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charts/chart2.xml" ContentType="application/vnd.openxmlformats-officedocument.drawingml.chart+xml"/>
  <Override PartName="/word/charts/chart3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pStyle w:val="Heading1"/>
      </w:pPr>
      <w:r>
        <w:t>Photon OS Package Report</w:t>
      </w:r>
    </w:p>
    <w:p>
      <w:r>
        <w:t xml:space="preserve">Generated: 2026-08-10</w:t>
      </w:r>
    </w:p>
    <w:p>
      <w:pPr>
        <w:pStyle w:val="Heading2"/>
      </w:pPr>
      <w:r>
        <w:t>1. Package Health Timeline</w:t>
      </w:r>
    </w:p>
    <w:p>
      <w:r>
        <w:t xml:space="preserve">Packages matching UrlHealth=200, UpdateAvailable with version, and correct UpdateDownloadName (name-version.tar.*), per branch over time.</w:t>
      </w:r>
    </w:p>
    <w:p>
      <w:r>
        <w:drawing>
          <wp:inline xmlns:wp="http://schemas.openxmlformats.org/drawingml/2006/wordprocessingDrawing" distT="0" distB="0" distL="0" distR="0">
            <wp:extent cx="5486400" cy="2350881"/>
            <wp:docPr id="1" name="Timelin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timeline.png"/>
                    <pic:cNvPicPr/>
                  </pic:nvPicPr>
                  <pic:blipFill>
                    <a:blip xmlns:r="http://schemas.openxmlformats.org/officeDocument/2006/relationships" r:embed="rId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35088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Heading2"/>
      </w:pPr>
      <w:r>
        <w:t>2. Top 10 Most-Changed Packages (all branches, 2023-current)</w:t>
      </w:r>
    </w:p>
    <w:tbl>
      <w:tblPr>
        <w:tblStyle w:val="TableGrid"/>
        <w:tblW w:w="0" w:type="auto"/>
      </w:tblPr>
      <w:tblGrid>
        <w:gridCol w:w="2400"/>
        <w:gridCol w:w="900"/>
        <w:gridCol w:w="900"/>
        <w:gridCol w:w="900"/>
        <w:gridCol w:w="900"/>
        <w:gridCol w:w="900"/>
        <w:gridCol w:w="3100"/>
      </w:tblGrid>
      <w:tr>
        <w:tc>
          <w:p>
            <w:r>
              <w:t>Package</w:t>
            </w:r>
          </w:p>
        </w:tc>
        <w:tc>
          <w:p>
            <w:r>
              <w:t>2023</w:t>
            </w:r>
          </w:p>
        </w:tc>
        <w:tc>
          <w:p>
            <w:r>
              <w:t>2024</w:t>
            </w:r>
          </w:p>
        </w:tc>
        <w:tc>
          <w:p>
            <w:r>
              <w:t>2025</w:t>
            </w:r>
          </w:p>
        </w:tc>
        <w:tc>
          <w:p>
            <w:r>
              <w:t>2026</w:t>
            </w:r>
          </w:p>
        </w:tc>
        <w:tc>
          <w:p>
            <w:r>
              <w:t>Total</w:t>
            </w:r>
          </w:p>
        </w:tc>
        <w:tc>
          <w:p>
            <w:r>
              <w:t>Branches</w:t>
            </w:r>
          </w:p>
        </w:tc>
      </w:tr>
      <w:tr>
        <w:tc>
          <w:p>
            <w:r>
              <w:t>openjdk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1043</w:t>
            </w:r>
          </w:p>
        </w:tc>
        <w:tc>
          <w:p>
            <w:r>
              <w:t>1043</w:t>
            </w:r>
          </w:p>
        </w:tc>
        <w:tc>
          <w:p>
            <w:r>
              <w:t>4.0,5.0,6.0,dev,main,master</w:t>
            </w:r>
          </w:p>
        </w:tc>
      </w:tr>
      <w:tr>
        <w:tc>
          <w:p>
            <w:r>
              <w:t>linux</w:t>
            </w:r>
          </w:p>
        </w:tc>
        <w:tc>
          <w:p>
            <w:r>
              <w:t>0</w:t>
            </w:r>
          </w:p>
        </w:tc>
        <w:tc>
          <w:p>
            <w:r>
              <w:t>15</w:t>
            </w:r>
          </w:p>
        </w:tc>
        <w:tc>
          <w:p>
            <w:r>
              <w:t>4</w:t>
            </w:r>
          </w:p>
        </w:tc>
        <w:tc>
          <w:p>
            <w:r>
              <w:t>654</w:t>
            </w:r>
          </w:p>
        </w:tc>
        <w:tc>
          <w:p>
            <w:r>
              <w:t>673</w:t>
            </w:r>
          </w:p>
        </w:tc>
        <w:tc>
          <w:p>
            <w:r>
              <w:t>3.0,4.0,5.0,6.0,common,dev,main,master</w:t>
            </w:r>
          </w:p>
        </w:tc>
      </w:tr>
      <w:tr>
        <w:tc>
          <w:p>
            <w:r>
              <w:t>postgresql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0</w:t>
            </w:r>
          </w:p>
        </w:tc>
        <w:tc>
          <w:p>
            <w:r>
              <w:t>599</w:t>
            </w:r>
          </w:p>
        </w:tc>
        <w:tc>
          <w:p>
            <w:r>
              <w:t>599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docker</w:t>
            </w:r>
          </w:p>
        </w:tc>
        <w:tc>
          <w:p>
            <w:r>
              <w:t>0</w:t>
            </w:r>
          </w:p>
        </w:tc>
        <w:tc>
          <w:p>
            <w:r>
              <w:t>17</w:t>
            </w:r>
          </w:p>
        </w:tc>
        <w:tc>
          <w:p>
            <w:r>
              <w:t>5</w:t>
            </w:r>
          </w:p>
        </w:tc>
        <w:tc>
          <w:p>
            <w:r>
              <w:t>386</w:t>
            </w:r>
          </w:p>
        </w:tc>
        <w:tc>
          <w:p>
            <w:r>
              <w:t>408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vim</w:t>
            </w:r>
          </w:p>
        </w:tc>
        <w:tc>
          <w:p>
            <w:r>
              <w:t>0</w:t>
            </w:r>
          </w:p>
        </w:tc>
        <w:tc>
          <w:p>
            <w:r>
              <w:t>22</w:t>
            </w:r>
          </w:p>
        </w:tc>
        <w:tc>
          <w:p>
            <w:r>
              <w:t>10</w:t>
            </w:r>
          </w:p>
        </w:tc>
        <w:tc>
          <w:p>
            <w:r>
              <w:t>358</w:t>
            </w:r>
          </w:p>
        </w:tc>
        <w:tc>
          <w:p>
            <w:r>
              <w:t>390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nodejs</w:t>
            </w:r>
          </w:p>
        </w:tc>
        <w:tc>
          <w:p>
            <w:r>
              <w:t>0</w:t>
            </w:r>
          </w:p>
        </w:tc>
        <w:tc>
          <w:p>
            <w:r>
              <w:t>13</w:t>
            </w:r>
          </w:p>
        </w:tc>
        <w:tc>
          <w:p>
            <w:r>
              <w:t>5</w:t>
            </w:r>
          </w:p>
        </w:tc>
        <w:tc>
          <w:p>
            <w:r>
              <w:t>322</w:t>
            </w:r>
          </w:p>
        </w:tc>
        <w:tc>
          <w:p>
            <w:r>
              <w:t>340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apache-tomcat</w:t>
            </w:r>
          </w:p>
        </w:tc>
        <w:tc>
          <w:p>
            <w:r>
              <w:t>0</w:t>
            </w:r>
          </w:p>
        </w:tc>
        <w:tc>
          <w:p>
            <w:r>
              <w:t>7</w:t>
            </w:r>
          </w:p>
        </w:tc>
        <w:tc>
          <w:p>
            <w:r>
              <w:t>1</w:t>
            </w:r>
          </w:p>
        </w:tc>
        <w:tc>
          <w:p>
            <w:r>
              <w:t>321</w:t>
            </w:r>
          </w:p>
        </w:tc>
        <w:tc>
          <w:p>
            <w:r>
              <w:t>329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libselinux</w:t>
            </w:r>
          </w:p>
        </w:tc>
        <w:tc>
          <w:p>
            <w:r>
              <w:t>0</w:t>
            </w:r>
          </w:p>
        </w:tc>
        <w:tc>
          <w:p>
            <w:r>
              <w:t>6</w:t>
            </w:r>
          </w:p>
        </w:tc>
        <w:tc>
          <w:p>
            <w:r>
              <w:t>9</w:t>
            </w:r>
          </w:p>
        </w:tc>
        <w:tc>
          <w:p>
            <w:r>
              <w:t>310</w:t>
            </w:r>
          </w:p>
        </w:tc>
        <w:tc>
          <w:p>
            <w:r>
              <w:t>325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openssl</w:t>
            </w:r>
          </w:p>
        </w:tc>
        <w:tc>
          <w:p>
            <w:r>
              <w:t>0</w:t>
            </w:r>
          </w:p>
        </w:tc>
        <w:tc>
          <w:p>
            <w:r>
              <w:t>5</w:t>
            </w:r>
          </w:p>
        </w:tc>
        <w:tc>
          <w:p>
            <w:r>
              <w:t>6</w:t>
            </w:r>
          </w:p>
        </w:tc>
        <w:tc>
          <w:p>
            <w:r>
              <w:t>311</w:t>
            </w:r>
          </w:p>
        </w:tc>
        <w:tc>
          <w:p>
            <w:r>
              <w:t>322</w:t>
            </w:r>
          </w:p>
        </w:tc>
        <w:tc>
          <w:p>
            <w:r>
              <w:t>3.0,4.0,5.0,6.0,dev,main,master</w:t>
            </w:r>
          </w:p>
        </w:tc>
      </w:tr>
      <w:tr>
        <w:tc>
          <w:p>
            <w:r>
              <w:t>python-botocore</w:t>
            </w:r>
          </w:p>
        </w:tc>
        <w:tc>
          <w:p>
            <w:r>
              <w:t>0</w:t>
            </w:r>
          </w:p>
        </w:tc>
        <w:tc>
          <w:p>
            <w:r>
              <w:t>16</w:t>
            </w:r>
          </w:p>
        </w:tc>
        <w:tc>
          <w:p>
            <w:r>
              <w:t>12</w:t>
            </w:r>
          </w:p>
        </w:tc>
        <w:tc>
          <w:p>
            <w:r>
              <w:t>290</w:t>
            </w:r>
          </w:p>
        </w:tc>
        <w:tc>
          <w:p>
            <w:r>
              <w:t>318</w:t>
            </w:r>
          </w:p>
        </w:tc>
        <w:tc>
          <w:p>
            <w:r>
              <w:t>3.0,4.0,5.0,6.0,dev,main,master</w:t>
            </w:r>
          </w:p>
        </w:tc>
      </w:tr>
    </w:tbl>
    <w:p>
      <w:pPr>
        <w:pStyle w:val="Heading2"/>
      </w:pPr>
      <w:r>
        <w:t>3. Least-Changed Packages (all branches, 2023-current)</w:t>
      </w:r>
    </w:p>
    <w:p>
      <w:r>
        <w:t xml:space="preserve">Packages with the same release version in every scan. Excludes VMware-internal and archived packages.</w:t>
      </w:r>
    </w:p>
    <w:p>
      <w:r>
        <w:rPr>
          <w:b/>
        </w:rPr>
        <w:t>64 packages: </w:t>
      </w:r>
      <w:r>
        <w:t xml:space="preserve">PyPAM, abupdate, alternatives, asciidoc3, autoconf213, backward-cpp, basic, blktrace, bluez-tools, build-essential, c-rest-engine, ca-certificates, calico-bgp-daemon, calico-bird, calico-confd, cereal, connect-proxy, copenapi, cppunit, crash-gcore-command, cyrus-sasl, dbxtool, dcerpc, dhcp, distcc, distrib-compat, docker-pycreds, docker-vsock, duktape, erlang-sd_notify, fcgi, finger, fipsify, flex, gnome-common, gperf, grub2-theme, hawkey, heapster, help2man, initramfs, inotify-tools, iptraf, iptraf-ng, ipvsadm, kube-controllers, lasso, libICE, libXinerama, libdnet, libecap, libestr, libev, libgd, libgsystem, libgudev, liblognorm, libmd, libmnl, libndp, libnetfilter_cthelper, libnfnetlink, libnsl, libpwquality</w:t>
      </w:r>
    </w:p>
    <w:p>
      <w:pPr>
        <w:pStyle w:val="Heading2"/>
      </w:pPr>
      <w:r>
        <w:t>4. Source Category Drift</w:t>
      </w:r>
    </w:p>
    <w:p>
      <w:r>
        <w:t xml:space="preserve">Distribution of packages by source URL domain for branch 5.0 (latest scan). Categories below 3% are merged into Other.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2" name="Chart 2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3"/>
              </a:graphicData>
            </a:graphic>
          </wp:inline>
        </w:drawing>
      </w:r>
    </w:p>
    <w:p>
      <w:r>
        <w:t xml:space="preserve">Category percentage drift over time for 5.0 branch.</w:t>
      </w:r>
    </w:p>
    <w:p>
      <w:r>
        <w:drawing>
          <wp:inline xmlns:wp="http://schemas.openxmlformats.org/drawingml/2006/wordprocessingDrawing" distT="0" distB="0" distL="0" distR="0">
            <wp:extent cx="5486400" cy="3200400"/>
            <wp:docPr id="3" name="Chart 3"/>
            <a:graphic xmlns:a="http://schemas.openxmlformats.org/drawingml/2006/main">
              <a:graphicData uri="http://schemas.openxmlformats.org/drawingml/2006/chart">
                <c:chart xmlns:c="http://schemas.openxmlformats.org/drawingml/2006/chart" xmlns:r="http://schemas.openxmlformats.org/officeDocument/2006/relationships" r:id="rId4"/>
              </a:graphicData>
            </a:graphic>
          </wp:inline>
        </w:drawing>
      </w:r>
    </w:p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Calibri">
    <w:panose1 w:val="020F0502020204030204"/>
    <w:charset w:val="00"/>
    <w:family w:val="swiss"/>
    <w:pitch w:val="variable"/>
  </w:font>
  <w:font w:name="Times New Roman">
    <w:panose1 w:val="02020603050405020304"/>
    <w:charset w:val="00"/>
    <w:family w:val="roman"/>
    <w:pitch w:val="variable"/>
  </w:font>
</w:fonts>
</file>

<file path=word/settings.xml><?xml version="1.0" encoding="utf-8"?>
<w:settings xmlns:w="http://schemas.openxmlformats.org/wordprocessingml/2006/main" xmlns:o="urn:schemas-microsoft-com:office:office" xmlns:r="http://schemas.openxmlformats.org/officeDocument/2006/relationships" xmlns:m="http://schemas.openxmlformats.org/officeDocument/2006/math" xmlns:v="urn:schemas-microsoft-com:vml">
  <w:zoom w:percent="100"/>
  <w:defaultTabStop w:val="720"/>
  <w:characterSpacingControl w:val="doNotCompress"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style w:type="paragraph" w:styleId="Heading1">
    <w:name w:val="heading 1"/>
    <w:pPr>
      <w:spacing w:before="240" w:after="120"/>
    </w:pPr>
    <w:rPr>
      <w:b/>
      <w:sz w:val="32"/>
    </w:rPr>
  </w:style>
  <w:style w:type="paragraph" w:styleId="Heading2">
    <w:name w:val="heading 2"/>
    <w:pPr>
      <w:spacing w:before="200" w:after="80"/>
    </w:pPr>
    <w:rPr>
      <w:b/>
      <w:sz w:val="26"/>
    </w:rPr>
  </w:style>
  <w:style w:type="table" w:styleId="TableGrid">
    <w:name w:val="Table Grid"/>
    <w:tblPr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</w:tblPr>
  </w:style>
</w:styles>
</file>

<file path=word/webSettings.xml><?xml version="1.0" encoding="utf-8"?>
<w:webSettings xmlns:w="http://schemas.openxmlformats.org/wordprocessingml/2006/main" xmlns:r="http://schemas.openxmlformats.org/officeDocument/2006/relationships">
  <w:optimizeForBrowser/>
  <w:allowPNG/>
</w:webSetting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image" Target="media/timeline.png"/><Relationship Id="rId3" Type="http://schemas.openxmlformats.org/officeDocument/2006/relationships/chart" Target="charts/chart2.xml"/><Relationship Id="rId4" Type="http://schemas.openxmlformats.org/officeDocument/2006/relationships/chart" Target="charts/chart3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/Relationships>
</file>

<file path=word/charts/chart2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pieChart>
        <c:varyColors val="1"/>
        <c:ser>
          <c:idx val="0"/>
          <c:order val="0"/>
          <c:tx>
            <c:strRef>
              <c:strCache>
                <c:ptCount val="1"/>
                <c:pt idx="0">
                  <c:v>Package Sources</c:v>
                </c:pt>
              </c:strCache>
            </c:strRef>
          </c:tx>
          <c:cat>
            <c:strRef>
              <c:strCache>
                <c:ptCount val="8"/>
                <c:pt idx="0">
                  <c:v>github.com (344, 30.0%)</c:v>
                </c:pt>
                <c:pt idx="1">
                  <c:v>Other (320, 27.9%)</c:v>
                </c:pt>
                <c:pt idx="2">
                  <c:v>rubygems.org (119, 10.4%)</c:v>
                </c:pt>
                <c:pt idx="3">
                  <c:v>pypi (119, 10.4%)</c:v>
                </c:pt>
                <c:pt idx="4">
                  <c:v>(scan issues) (115, 10.0%)</c:v>
                </c:pt>
                <c:pt idx="5">
                  <c:v>cpan.org (45, 3.9%)</c:v>
                </c:pt>
                <c:pt idx="6">
                  <c:v>gnu.org (44, 3.8%)</c:v>
                </c:pt>
                <c:pt idx="7">
                  <c:v>sourceforge.net (42, 3.7%)</c:v>
                </c:pt>
              </c:strCache>
            </c:strRef>
          </c:cat>
          <c:val>
            <c:numRef>
              <c:numCache>
                <c:formatCode>General</c:formatCode>
                <c:ptCount val="8"/>
                <c:pt idx="0">
                  <c:v>344</c:v>
                </c:pt>
                <c:pt idx="1">
                  <c:v>320</c:v>
                </c:pt>
                <c:pt idx="2">
                  <c:v>119</c:v>
                </c:pt>
                <c:pt idx="3">
                  <c:v>119</c:v>
                </c:pt>
                <c:pt idx="4">
                  <c:v>115</c:v>
                </c:pt>
                <c:pt idx="5">
                  <c:v>45</c:v>
                </c:pt>
                <c:pt idx="6">
                  <c:v>44</c:v>
                </c:pt>
                <c:pt idx="7">
                  <c:v>42</c:v>
                </c:pt>
              </c:numCache>
            </c:numRef>
          </c:val>
        </c:ser>
      </c:pieChart>
    </c:plotArea>
    <c:legend>
      <c:legendPos val="r"/>
      <c:overlay val="0"/>
    </c:legend>
    <c:plotVisOnly val="1"/>
  </c:chart>
</c:chartSpace>
</file>

<file path=word/charts/chart3.xml><?xml version="1.0" encoding="utf-8"?>
<c:chartSpace xmlns:c="http://schemas.openxmlformats.org/drawingml/2006/chart" xmlns:a="http://schemas.openxmlformats.org/drawingml/2006/main" xmlns:r="http://schemas.openxmlformats.org/officeDocument/2006/relationships">
  <c:spPr>
    <a:ln>
      <a:noFill/>
    </a:ln>
  </c:spPr>
  <c:chart>
    <c:plotArea>
      <c:layout/>
      <c:barChart>
        <c:barDir val="col"/>
        <c:grouping val="percentStacked"/>
        <c:varyColors val="0"/>
        <c:ser>
          <c:idx val="0"/>
          <c:order val="0"/>
          <c:tx>
            <c:strRef>
              <c:strCache>
                <c:ptCount val="1"/>
                <c:pt idx="0">
                  <c:v>(scan issues)</c:v>
                </c:pt>
              </c:strCache>
            </c:strRef>
          </c:tx>
          <c:spPr>
            <a:solidFill>
              <a:srgbClr val="4472C4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10.2</c:v>
                </c:pt>
                <c:pt idx="1">
                  <c:v>10.1</c:v>
                </c:pt>
                <c:pt idx="2">
                  <c:v>10.1</c:v>
                </c:pt>
                <c:pt idx="3">
                  <c:v>9.9</c:v>
                </c:pt>
                <c:pt idx="4">
                  <c:v>10.2</c:v>
                </c:pt>
                <c:pt idx="5">
                  <c:v>10.2</c:v>
                </c:pt>
                <c:pt idx="6">
                  <c:v>10.2</c:v>
                </c:pt>
                <c:pt idx="7">
                  <c:v>10.2</c:v>
                </c:pt>
                <c:pt idx="8">
                  <c:v>10.2</c:v>
                </c:pt>
                <c:pt idx="9">
                  <c:v>9.7</c:v>
                </c:pt>
                <c:pt idx="10">
                  <c:v>9.6</c:v>
                </c:pt>
                <c:pt idx="11">
                  <c:v>9.8</c:v>
                </c:pt>
                <c:pt idx="12">
                  <c:v>9.8</c:v>
                </c:pt>
              </c:numCache>
            </c:numRef>
          </c:val>
        </c:ser>
        <c:ser>
          <c:idx val="1"/>
          <c:order val="1"/>
          <c:tx>
            <c:strRef>
              <c:strCache>
                <c:ptCount val="1"/>
                <c:pt idx="0">
                  <c:v>Other</c:v>
                </c:pt>
              </c:strCache>
            </c:strRef>
          </c:tx>
          <c:spPr>
            <a:solidFill>
              <a:srgbClr val="ED7D31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28.2</c:v>
                </c:pt>
                <c:pt idx="1">
                  <c:v>27.8</c:v>
                </c:pt>
                <c:pt idx="2">
                  <c:v>27.8</c:v>
                </c:pt>
                <c:pt idx="3">
                  <c:v>27.9</c:v>
                </c:pt>
                <c:pt idx="4">
                  <c:v>27.4</c:v>
                </c:pt>
                <c:pt idx="5">
                  <c:v>27.4</c:v>
                </c:pt>
                <c:pt idx="6">
                  <c:v>27.4</c:v>
                </c:pt>
                <c:pt idx="7">
                  <c:v>27.4</c:v>
                </c:pt>
                <c:pt idx="8">
                  <c:v>27.4</c:v>
                </c:pt>
                <c:pt idx="9">
                  <c:v>26.6</c:v>
                </c:pt>
                <c:pt idx="10">
                  <c:v>26.7</c:v>
                </c:pt>
                <c:pt idx="11">
                  <c:v>22.5</c:v>
                </c:pt>
                <c:pt idx="12">
                  <c:v>22.5</c:v>
                </c:pt>
              </c:numCache>
            </c:numRef>
          </c:val>
        </c:ser>
        <c:ser>
          <c:idx val="2"/>
          <c:order val="2"/>
          <c:tx>
            <c:strRef>
              <c:strCache>
                <c:ptCount val="1"/>
                <c:pt idx="0">
                  <c:v>cpan.org</c:v>
                </c:pt>
              </c:strCache>
            </c:strRef>
          </c:tx>
          <c:spPr>
            <a:solidFill>
              <a:srgbClr val="A5A5A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2.9</c:v>
                </c:pt>
                <c:pt idx="1">
                  <c:v>2.9</c:v>
                </c:pt>
                <c:pt idx="2">
                  <c:v>2.9</c:v>
                </c:pt>
                <c:pt idx="3">
                  <c:v>2.8</c:v>
                </c:pt>
                <c:pt idx="4">
                  <c:v>3.5</c:v>
                </c:pt>
                <c:pt idx="5">
                  <c:v>3.5</c:v>
                </c:pt>
                <c:pt idx="6">
                  <c:v>3.5</c:v>
                </c:pt>
                <c:pt idx="7">
                  <c:v>3.5</c:v>
                </c:pt>
                <c:pt idx="8">
                  <c:v>3.5</c:v>
                </c:pt>
                <c:pt idx="9">
                  <c:v>3.4</c:v>
                </c:pt>
                <c:pt idx="10">
                  <c:v>3.3</c:v>
                </c:pt>
                <c:pt idx="11">
                  <c:v>4.3</c:v>
                </c:pt>
                <c:pt idx="12">
                  <c:v>4.3</c:v>
                </c:pt>
              </c:numCache>
            </c:numRef>
          </c:val>
        </c:ser>
        <c:ser>
          <c:idx val="3"/>
          <c:order val="3"/>
          <c:tx>
            <c:strRef>
              <c:strCache>
                <c:ptCount val="1"/>
                <c:pt idx="0">
                  <c:v>github.com</c:v>
                </c:pt>
              </c:strCache>
            </c:strRef>
          </c:tx>
          <c:spPr>
            <a:solidFill>
              <a:srgbClr val="FFC000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28.3</c:v>
                </c:pt>
                <c:pt idx="1">
                  <c:v>27.9</c:v>
                </c:pt>
                <c:pt idx="2">
                  <c:v>27.9</c:v>
                </c:pt>
                <c:pt idx="3">
                  <c:v>28.1</c:v>
                </c:pt>
                <c:pt idx="4">
                  <c:v>27.8</c:v>
                </c:pt>
                <c:pt idx="5">
                  <c:v>27.7</c:v>
                </c:pt>
                <c:pt idx="6">
                  <c:v>27.7</c:v>
                </c:pt>
                <c:pt idx="7">
                  <c:v>27.7</c:v>
                </c:pt>
                <c:pt idx="8">
                  <c:v>27.7</c:v>
                </c:pt>
                <c:pt idx="9">
                  <c:v>28.3</c:v>
                </c:pt>
                <c:pt idx="10">
                  <c:v>28.8</c:v>
                </c:pt>
                <c:pt idx="11">
                  <c:v>29.7</c:v>
                </c:pt>
                <c:pt idx="12">
                  <c:v>29.7</c:v>
                </c:pt>
              </c:numCache>
            </c:numRef>
          </c:val>
        </c:ser>
        <c:ser>
          <c:idx val="4"/>
          <c:order val="4"/>
          <c:tx>
            <c:strRef>
              <c:strCache>
                <c:ptCount val="1"/>
                <c:pt idx="0">
                  <c:v>gnu.org</c:v>
                </c:pt>
              </c:strCache>
            </c:strRef>
          </c:tx>
          <c:spPr>
            <a:solidFill>
              <a:srgbClr val="5B9BD5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5.3</c:v>
                </c:pt>
                <c:pt idx="1">
                  <c:v>5.1</c:v>
                </c:pt>
                <c:pt idx="2">
                  <c:v>5.1</c:v>
                </c:pt>
                <c:pt idx="3">
                  <c:v>5.1</c:v>
                </c:pt>
                <c:pt idx="4">
                  <c:v>5.0</c:v>
                </c:pt>
                <c:pt idx="5">
                  <c:v>5.1</c:v>
                </c:pt>
                <c:pt idx="6">
                  <c:v>5.1</c:v>
                </c:pt>
                <c:pt idx="7">
                  <c:v>5.1</c:v>
                </c:pt>
                <c:pt idx="8">
                  <c:v>5.1</c:v>
                </c:pt>
                <c:pt idx="9">
                  <c:v>4.8</c:v>
                </c:pt>
                <c:pt idx="10">
                  <c:v>4.9</c:v>
                </c:pt>
                <c:pt idx="11">
                  <c:v>3.4</c:v>
                </c:pt>
                <c:pt idx="12">
                  <c:v>3.4</c:v>
                </c:pt>
              </c:numCache>
            </c:numRef>
          </c:val>
        </c:ser>
        <c:ser>
          <c:idx val="5"/>
          <c:order val="5"/>
          <c:tx>
            <c:strRef>
              <c:strCache>
                <c:ptCount val="1"/>
                <c:pt idx="0">
                  <c:v>kernel.org</c:v>
                </c:pt>
              </c:strCache>
            </c:strRef>
          </c:tx>
          <c:spPr>
            <a:solidFill>
              <a:srgbClr val="70AD47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3.1</c:v>
                </c:pt>
                <c:pt idx="1">
                  <c:v>3.1</c:v>
                </c:pt>
                <c:pt idx="2">
                  <c:v>3.1</c:v>
                </c:pt>
                <c:pt idx="3">
                  <c:v>2.8</c:v>
                </c:pt>
                <c:pt idx="4">
                  <c:v>3.1</c:v>
                </c:pt>
                <c:pt idx="5">
                  <c:v>3.1</c:v>
                </c:pt>
                <c:pt idx="6">
                  <c:v>3.1</c:v>
                </c:pt>
                <c:pt idx="7">
                  <c:v>3.1</c:v>
                </c:pt>
                <c:pt idx="8">
                  <c:v>3.1</c:v>
                </c:pt>
                <c:pt idx="9">
                  <c:v>3.0</c:v>
                </c:pt>
                <c:pt idx="10">
                  <c:v>3.1</c:v>
                </c:pt>
                <c:pt idx="11">
                  <c:v>3.0</c:v>
                </c:pt>
                <c:pt idx="12">
                  <c:v>3.0</c:v>
                </c:pt>
              </c:numCache>
            </c:numRef>
          </c:val>
        </c:ser>
        <c:ser>
          <c:idx val="6"/>
          <c:order val="6"/>
          <c:tx>
            <c:strRef>
              <c:strCache>
                <c:ptCount val="1"/>
                <c:pt idx="0">
                  <c:v>pypi</c:v>
                </c:pt>
              </c:strCache>
            </c:strRef>
          </c:tx>
          <c:spPr>
            <a:solidFill>
              <a:srgbClr val="264478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9.7</c:v>
                </c:pt>
                <c:pt idx="1">
                  <c:v>9.5</c:v>
                </c:pt>
                <c:pt idx="2">
                  <c:v>9.5</c:v>
                </c:pt>
                <c:pt idx="3">
                  <c:v>10.4</c:v>
                </c:pt>
                <c:pt idx="4">
                  <c:v>10.1</c:v>
                </c:pt>
                <c:pt idx="5">
                  <c:v>10.1</c:v>
                </c:pt>
                <c:pt idx="6">
                  <c:v>10.1</c:v>
                </c:pt>
                <c:pt idx="7">
                  <c:v>10.1</c:v>
                </c:pt>
                <c:pt idx="8">
                  <c:v>10.1</c:v>
                </c:pt>
                <c:pt idx="9">
                  <c:v>9.8</c:v>
                </c:pt>
                <c:pt idx="10">
                  <c:v>9.7</c:v>
                </c:pt>
                <c:pt idx="11">
                  <c:v>11.0</c:v>
                </c:pt>
                <c:pt idx="12">
                  <c:v>11.0</c:v>
                </c:pt>
              </c:numCache>
            </c:numRef>
          </c:val>
        </c:ser>
        <c:ser>
          <c:idx val="7"/>
          <c:order val="7"/>
          <c:tx>
            <c:strRef>
              <c:strCache>
                <c:ptCount val="1"/>
                <c:pt idx="0">
                  <c:v>rubygems.org</c:v>
                </c:pt>
              </c:strCache>
            </c:strRef>
          </c:tx>
          <c:spPr>
            <a:solidFill>
              <a:srgbClr val="9B59B6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7.7</c:v>
                </c:pt>
                <c:pt idx="1">
                  <c:v>8.8</c:v>
                </c:pt>
                <c:pt idx="2">
                  <c:v>8.8</c:v>
                </c:pt>
                <c:pt idx="3">
                  <c:v>8.7</c:v>
                </c:pt>
                <c:pt idx="4">
                  <c:v>8.5</c:v>
                </c:pt>
                <c:pt idx="5">
                  <c:v>8.5</c:v>
                </c:pt>
                <c:pt idx="6">
                  <c:v>8.5</c:v>
                </c:pt>
                <c:pt idx="7">
                  <c:v>8.5</c:v>
                </c:pt>
                <c:pt idx="8">
                  <c:v>8.5</c:v>
                </c:pt>
                <c:pt idx="9">
                  <c:v>10.5</c:v>
                </c:pt>
                <c:pt idx="10">
                  <c:v>10.3</c:v>
                </c:pt>
                <c:pt idx="11">
                  <c:v>13.2</c:v>
                </c:pt>
                <c:pt idx="12">
                  <c:v>13.2</c:v>
                </c:pt>
              </c:numCache>
            </c:numRef>
          </c:val>
        </c:ser>
        <c:ser>
          <c:idx val="8"/>
          <c:order val="8"/>
          <c:tx>
            <c:strRef>
              <c:strCache>
                <c:ptCount val="1"/>
                <c:pt idx="0">
                  <c:v>sourceforge.net</c:v>
                </c:pt>
              </c:strCache>
            </c:strRef>
          </c:tx>
          <c:spPr>
            <a:solidFill>
              <a:srgbClr val="E74C3C"/>
            </a:solidFill>
            <a:ln w="3175">
              <a:solidFill>
                <a:srgbClr val="FFFFFF"/>
              </a:solidFill>
            </a:ln>
          </c:spPr>
          <c:cat>
            <c:strRef>
              <c:strCache>
                <c:ptCount val="13"/>
                <c:pt idx="0">
                  <c:v/>
                </c:pt>
                <c:pt idx="1">
                  <c:v>2024</c:v>
                </c:pt>
                <c:pt idx="2">
                  <c:v/>
                </c:pt>
                <c:pt idx="3">
                  <c:v/>
                </c:pt>
                <c:pt idx="4">
                  <c:v/>
                </c:pt>
                <c:pt idx="5">
                  <c:v>2025</c:v>
                </c:pt>
                <c:pt idx="6">
                  <c:v/>
                </c:pt>
                <c:pt idx="7">
                  <c:v/>
                </c:pt>
                <c:pt idx="8">
                  <c:v/>
                </c:pt>
                <c:pt idx="9">
                  <c:v>2026</c:v>
                </c:pt>
                <c:pt idx="10">
                  <c:v/>
                </c:pt>
                <c:pt idx="11">
                  <c:v/>
                </c:pt>
                <c:pt idx="12">
                  <c:v/>
                </c:pt>
              </c:strCache>
            </c:strRef>
          </c:cat>
          <c:val>
            <c:numRef>
              <c:numCache>
                <c:formatCode>0.0</c:formatCode>
                <c:ptCount val="13"/>
                <c:pt idx="0">
                  <c:v>4.4</c:v>
                </c:pt>
                <c:pt idx="1">
                  <c:v>5.1</c:v>
                </c:pt>
                <c:pt idx="2">
                  <c:v>5.1</c:v>
                </c:pt>
                <c:pt idx="3">
                  <c:v>4.3</c:v>
                </c:pt>
                <c:pt idx="4">
                  <c:v>4.4</c:v>
                </c:pt>
                <c:pt idx="5">
                  <c:v>4.4</c:v>
                </c:pt>
                <c:pt idx="6">
                  <c:v>4.4</c:v>
                </c:pt>
                <c:pt idx="7">
                  <c:v>4.4</c:v>
                </c:pt>
                <c:pt idx="8">
                  <c:v>4.4</c:v>
                </c:pt>
                <c:pt idx="9">
                  <c:v>3.8</c:v>
                </c:pt>
                <c:pt idx="10">
                  <c:v>3.8</c:v>
                </c:pt>
                <c:pt idx="11">
                  <c:v>3.0</c:v>
                </c:pt>
                <c:pt idx="12">
                  <c:v>3.0</c:v>
                </c:pt>
              </c:numCache>
            </c:numRef>
          </c:val>
        </c:ser>
        <c:overlap val="100"/>
        <c:gapWidth val="50"/>
        <c:axId val="1"/>
        <c:axId val="2"/>
      </c:barChart>
      <c:catAx>
        <c:axId val="1"/>
        <c:scaling>
          <c:orientation val="minMax"/>
        </c:scaling>
        <c:delete val="0"/>
        <c:axPos val="b"/>
        <c:crossAx val="2"/>
        <c:tickLblSkip val="1"/>
        <c:txPr>
          <a:bodyPr rot="0" vert="horz"/>
          <a:lstStyle/>
          <a:p>
            <a:pPr>
              <a:defRPr sz="700"/>
            </a:pPr>
            <a:endParaRPr lang="en-US"/>
          </a:p>
        </c:txPr>
      </c:catAx>
      <c:valAx>
        <c:axId val="2"/>
        <c:scaling>
          <c:orientation val="minMax"/>
          <c:min val="0"/>
          <c:max val="1"/>
        </c:scaling>
        <c:delete val="0"/>
        <c:axPos val="l"/>
        <c:crossAx val="1"/>
        <c:numFmt formatCode="0%" sourceLinked="0"/>
        <c:majorUnit val="0.2"/>
        <c:txPr>
          <a:bodyPr/>
          <a:lstStyle/>
          <a:p>
            <a:pPr>
              <a:defRPr sz="700"/>
            </a:pPr>
            <a:endParaRPr lang="en-US"/>
          </a:p>
        </c:txPr>
      </c:valAx>
    </c:plotArea>
    <c:legend>
      <c:legendPos val="b"/>
      <c:overlay val="0"/>
    </c:legend>
    <c:plotVisOnly val="1"/>
  </c:chart>
</c:chartSpace>
</file>