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Photon OS Package Report</w:t>
      </w:r>
    </w:p>
    <w:p>
      <w:r>
        <w:t xml:space="preserve">Generated: 2026-05-11</w:t>
      </w:r>
    </w:p>
    <w:p>
      <w:pPr>
        <w:pStyle w:val="Heading2"/>
      </w:pPr>
      <w:r>
        <w:t>1. Package Health Timeline</w:t>
      </w:r>
    </w:p>
    <w:p>
      <w:r>
        <w:t xml:space="preserve">Packages matching UrlHealth=200, UpdateAvailable with version, and correct UpdateDownloadName (name-version.tar.*), per branch over time.</w:t>
      </w:r>
    </w:p>
    <w:p>
      <w:r>
        <w:drawing>
          <wp:inline xmlns:wp="http://schemas.openxmlformats.org/drawingml/2006/wordprocessingDrawing" distT="0" distB="0" distL="0" distR="0">
            <wp:extent cx="5486400" cy="3200400"/>
            <wp:docPr id="1" name="Chart 1"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"/>
              </a:graphicData>
            </a:graphic>
          </wp:inline>
        </w:drawing>
      </w:r>
    </w:p>
    <w:p>
      <w:pPr>
        <w:pStyle w:val="Heading2"/>
      </w:pPr>
      <w:r>
        <w:t>2. Top 10 Most-Changed Packages (all branches, 2023-current)</w:t>
      </w:r>
    </w:p>
    <w:tbl>
      <w:tblPr>
        <w:tblStyle w:val="TableGrid"/>
        <w:tblW w:w="0" w:type="auto"/>
      </w:tblPr>
      <w:tblGrid>
        <w:gridCol w:w="2400"/>
        <w:gridCol w:w="900"/>
        <w:gridCol w:w="900"/>
        <w:gridCol w:w="900"/>
        <w:gridCol w:w="900"/>
        <w:gridCol w:w="900"/>
        <w:gridCol w:w="3100"/>
      </w:tblGrid>
      <w:tr>
        <w:tc>
          <w:p>
            <w:r>
              <w:t>Package</w:t>
            </w:r>
          </w:p>
        </w:tc>
        <w:tc>
          <w:p>
            <w:r>
              <w:t>2023</w:t>
            </w:r>
          </w:p>
        </w:tc>
        <w:tc>
          <w:p>
            <w:r>
              <w:t>2024</w:t>
            </w:r>
          </w:p>
        </w:tc>
        <w:tc>
          <w:p>
            <w:r>
              <w:t>2025</w:t>
            </w:r>
          </w:p>
        </w:tc>
        <w:tc>
          <w:p>
            <w:r>
              <w:t>2026</w:t>
            </w:r>
          </w:p>
        </w:tc>
        <w:tc>
          <w:p>
            <w:r>
              <w:t>Total</w:t>
            </w:r>
          </w:p>
        </w:tc>
        <w:tc>
          <w:p>
            <w:r>
              <w:t>Branches</w:t>
            </w:r>
          </w:p>
        </w:tc>
      </w:tr>
      <w:tr>
        <w:tc>
          <w:p>
            <w:r>
              <w:t>linux</w:t>
            </w:r>
          </w:p>
        </w:tc>
        <w:tc>
          <w:p>
            <w:r>
              <w:t>0</w:t>
            </w:r>
          </w:p>
        </w:tc>
        <w:tc>
          <w:p>
            <w:r>
              <w:t>15</w:t>
            </w:r>
          </w:p>
        </w:tc>
        <w:tc>
          <w:p>
            <w:r>
              <w:t>4</w:t>
            </w:r>
          </w:p>
        </w:tc>
        <w:tc>
          <w:p>
            <w:r>
              <w:t>103</w:t>
            </w:r>
          </w:p>
        </w:tc>
        <w:tc>
          <w:p>
            <w:r>
              <w:t>122</w:t>
            </w:r>
          </w:p>
        </w:tc>
        <w:tc>
          <w:p>
            <w:r>
              <w:t>3.0,4.0,5.0,6.0,common,dev,master</w:t>
            </w:r>
          </w:p>
        </w:tc>
      </w:tr>
      <w:tr>
        <w:tc>
          <w:p>
            <w:r>
              <w:t>openjdk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114</w:t>
            </w:r>
          </w:p>
        </w:tc>
        <w:tc>
          <w:p>
            <w:r>
              <w:t>114</w:t>
            </w:r>
          </w:p>
        </w:tc>
        <w:tc>
          <w:p>
            <w:r>
              <w:t>4.0,5.0,6.0,dev,master</w:t>
            </w:r>
          </w:p>
        </w:tc>
      </w:tr>
      <w:tr>
        <w:tc>
          <w:p>
            <w:r>
              <w:t>vim</w:t>
            </w:r>
          </w:p>
        </w:tc>
        <w:tc>
          <w:p>
            <w:r>
              <w:t>0</w:t>
            </w:r>
          </w:p>
        </w:tc>
        <w:tc>
          <w:p>
            <w:r>
              <w:t>22</w:t>
            </w:r>
          </w:p>
        </w:tc>
        <w:tc>
          <w:p>
            <w:r>
              <w:t>10</w:t>
            </w:r>
          </w:p>
        </w:tc>
        <w:tc>
          <w:p>
            <w:r>
              <w:t>73</w:t>
            </w:r>
          </w:p>
        </w:tc>
        <w:tc>
          <w:p>
            <w:r>
              <w:t>105</w:t>
            </w:r>
          </w:p>
        </w:tc>
        <w:tc>
          <w:p>
            <w:r>
              <w:t>3.0,4.0,5.0,6.0,dev,master</w:t>
            </w:r>
          </w:p>
        </w:tc>
      </w:tr>
      <w:tr>
        <w:tc>
          <w:p>
            <w:r>
              <w:t>aws-sdk-cpp</w:t>
            </w:r>
          </w:p>
        </w:tc>
        <w:tc>
          <w:p>
            <w:r>
              <w:t>0</w:t>
            </w:r>
          </w:p>
        </w:tc>
        <w:tc>
          <w:p>
            <w:r>
              <w:t>15</w:t>
            </w:r>
          </w:p>
        </w:tc>
        <w:tc>
          <w:p>
            <w:r>
              <w:t>11</w:t>
            </w:r>
          </w:p>
        </w:tc>
        <w:tc>
          <w:p>
            <w:r>
              <w:t>65</w:t>
            </w:r>
          </w:p>
        </w:tc>
        <w:tc>
          <w:p>
            <w:r>
              <w:t>91</w:t>
            </w:r>
          </w:p>
        </w:tc>
        <w:tc>
          <w:p>
            <w:r>
              <w:t>3.0,4.0,5.0,6.0,dev,master</w:t>
            </w:r>
          </w:p>
        </w:tc>
      </w:tr>
      <w:tr>
        <w:tc>
          <w:p>
            <w:r>
              <w:t>python-botocore</w:t>
            </w:r>
          </w:p>
        </w:tc>
        <w:tc>
          <w:p>
            <w:r>
              <w:t>0</w:t>
            </w:r>
          </w:p>
        </w:tc>
        <w:tc>
          <w:p>
            <w:r>
              <w:t>16</w:t>
            </w:r>
          </w:p>
        </w:tc>
        <w:tc>
          <w:p>
            <w:r>
              <w:t>12</w:t>
            </w:r>
          </w:p>
        </w:tc>
        <w:tc>
          <w:p>
            <w:r>
              <w:t>62</w:t>
            </w:r>
          </w:p>
        </w:tc>
        <w:tc>
          <w:p>
            <w:r>
              <w:t>90</w:t>
            </w:r>
          </w:p>
        </w:tc>
        <w:tc>
          <w:p>
            <w:r>
              <w:t>3.0,4.0,5.0,6.0,dev,master</w:t>
            </w:r>
          </w:p>
        </w:tc>
      </w:tr>
      <w:tr>
        <w:tc>
          <w:p>
            <w:r>
              <w:t>python-boto3</w:t>
            </w:r>
          </w:p>
        </w:tc>
        <w:tc>
          <w:p>
            <w:r>
              <w:t>0</w:t>
            </w:r>
          </w:p>
        </w:tc>
        <w:tc>
          <w:p>
            <w:r>
              <w:t>16</w:t>
            </w:r>
          </w:p>
        </w:tc>
        <w:tc>
          <w:p>
            <w:r>
              <w:t>12</w:t>
            </w:r>
          </w:p>
        </w:tc>
        <w:tc>
          <w:p>
            <w:r>
              <w:t>62</w:t>
            </w:r>
          </w:p>
        </w:tc>
        <w:tc>
          <w:p>
            <w:r>
              <w:t>90</w:t>
            </w:r>
          </w:p>
        </w:tc>
        <w:tc>
          <w:p>
            <w:r>
              <w:t>3.0,4.0,5.0,6.0,dev,master</w:t>
            </w:r>
          </w:p>
        </w:tc>
      </w:tr>
      <w:tr>
        <w:tc>
          <w:p>
            <w:r>
              <w:t>nodejs</w:t>
            </w:r>
          </w:p>
        </w:tc>
        <w:tc>
          <w:p>
            <w:r>
              <w:t>0</w:t>
            </w:r>
          </w:p>
        </w:tc>
        <w:tc>
          <w:p>
            <w:r>
              <w:t>13</w:t>
            </w:r>
          </w:p>
        </w:tc>
        <w:tc>
          <w:p>
            <w:r>
              <w:t>5</w:t>
            </w:r>
          </w:p>
        </w:tc>
        <w:tc>
          <w:p>
            <w:r>
              <w:t>64</w:t>
            </w:r>
          </w:p>
        </w:tc>
        <w:tc>
          <w:p>
            <w:r>
              <w:t>82</w:t>
            </w:r>
          </w:p>
        </w:tc>
        <w:tc>
          <w:p>
            <w:r>
              <w:t>3.0,4.0,5.0,6.0,dev,master</w:t>
            </w:r>
          </w:p>
        </w:tc>
      </w:tr>
      <w:tr>
        <w:tc>
          <w:p>
            <w:r>
              <w:t>docker</w:t>
            </w:r>
          </w:p>
        </w:tc>
        <w:tc>
          <w:p>
            <w:r>
              <w:t>0</w:t>
            </w:r>
          </w:p>
        </w:tc>
        <w:tc>
          <w:p>
            <w:r>
              <w:t>17</w:t>
            </w:r>
          </w:p>
        </w:tc>
        <w:tc>
          <w:p>
            <w:r>
              <w:t>5</w:t>
            </w:r>
          </w:p>
        </w:tc>
        <w:tc>
          <w:p>
            <w:r>
              <w:t>57</w:t>
            </w:r>
          </w:p>
        </w:tc>
        <w:tc>
          <w:p>
            <w:r>
              <w:t>79</w:t>
            </w:r>
          </w:p>
        </w:tc>
        <w:tc>
          <w:p>
            <w:r>
              <w:t>3.0,4.0,5.0,6.0,dev,master</w:t>
            </w:r>
          </w:p>
        </w:tc>
      </w:tr>
      <w:tr>
        <w:tc>
          <w:p>
            <w:r>
              <w:t>rubygem-aws-partitions</w:t>
            </w:r>
          </w:p>
        </w:tc>
        <w:tc>
          <w:p>
            <w:r>
              <w:t>0</w:t>
            </w:r>
          </w:p>
        </w:tc>
        <w:tc>
          <w:p>
            <w:r>
              <w:t>16</w:t>
            </w:r>
          </w:p>
        </w:tc>
        <w:tc>
          <w:p>
            <w:r>
              <w:t>10</w:t>
            </w:r>
          </w:p>
        </w:tc>
        <w:tc>
          <w:p>
            <w:r>
              <w:t>48</w:t>
            </w:r>
          </w:p>
        </w:tc>
        <w:tc>
          <w:p>
            <w:r>
              <w:t>74</w:t>
            </w:r>
          </w:p>
        </w:tc>
        <w:tc>
          <w:p>
            <w:r>
              <w:t>3.0,4.0,5.0,6.0,dev,master</w:t>
            </w:r>
          </w:p>
        </w:tc>
      </w:tr>
      <w:tr>
        <w:tc>
          <w:p>
            <w:r>
              <w:t>chromium</w:t>
            </w:r>
          </w:p>
        </w:tc>
        <w:tc>
          <w:p>
            <w:r>
              <w:t>0</w:t>
            </w:r>
          </w:p>
        </w:tc>
        <w:tc>
          <w:p>
            <w:r>
              <w:t>17</w:t>
            </w:r>
          </w:p>
        </w:tc>
        <w:tc>
          <w:p>
            <w:r>
              <w:t>10</w:t>
            </w:r>
          </w:p>
        </w:tc>
        <w:tc>
          <w:p>
            <w:r>
              <w:t>43</w:t>
            </w:r>
          </w:p>
        </w:tc>
        <w:tc>
          <w:p>
            <w:r>
              <w:t>70</w:t>
            </w:r>
          </w:p>
        </w:tc>
        <w:tc>
          <w:p>
            <w:r>
              <w:t>4.0,5.0,6.0,dev,master</w:t>
            </w:r>
          </w:p>
        </w:tc>
      </w:tr>
    </w:tbl>
    <w:p>
      <w:pPr>
        <w:pStyle w:val="Heading2"/>
      </w:pPr>
      <w:r>
        <w:t>3. Least-Changed Packages (all branches, 2023-current)</w:t>
      </w:r>
    </w:p>
    <w:p>
      <w:r>
        <w:t xml:space="preserve">Packages with the same release version in every scan. Excludes VMware-internal and archived packages.</w:t>
      </w:r>
    </w:p>
    <w:p>
      <w:r>
        <w:rPr>
          <w:b/>
        </w:rPr>
        <w:t>64 packages: </w:t>
      </w:r>
      <w:r>
        <w:t xml:space="preserve">PyPAM, abupdate, apr-util, asciidoc3, autoconf213, backward-cpp, basic, blktrace, bluez-tools, build-essential, c-rest-engine, ca-certificates, calico-libnetwork, cereal, cloud-utils, connect-proxy, copenapi, cppunit, crash-gcore-command, cyrus-sasl, dbxtool, dcerpc, dhcp, distcc, distrib-compat, docker-pycreds, docker-vsock, dwz, erlang-sd_notify, fcgi, finger, fipsify, flex, fmt, gnome-common, gperf, grub2-theme, hawkey, heapster, help2man, httpd-mod_jk, hunspell, initramfs, inotify-tools, ipcalc, iptraf, iptraf-ng, ipvsadm, isa-l, kube-controllers, lasso, libICE, libXinerama, libdb, libdnet, libecap, libestr, libev, libevent, libglvnd, libgsystem, libgudev, libmnl, libndp</w:t>
      </w:r>
    </w:p>
    <w:p>
      <w:pPr>
        <w:pStyle w:val="Heading2"/>
      </w:pPr>
      <w:r>
        <w:t>4. Source Category Drift</w:t>
      </w:r>
    </w:p>
    <w:p>
      <w:r>
        <w:t xml:space="preserve">Distribution of packages by source URL domain for branch 5.0 (latest scan). Categories below 3% are merged into Other.</w:t>
      </w:r>
    </w:p>
    <w:p>
      <w:r>
        <w:drawing>
          <wp:inline xmlns:wp="http://schemas.openxmlformats.org/drawingml/2006/wordprocessingDrawing" distT="0" distB="0" distL="0" distR="0">
            <wp:extent cx="5486400" cy="3200400"/>
            <wp:docPr id="2" name="Chart 2"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"/>
              </a:graphicData>
            </a:graphic>
          </wp:inline>
        </w:drawing>
      </w:r>
    </w:p>
    <w:p>
      <w:r>
        <w:t xml:space="preserve">Category percentage drift over time for 5.0 branch.</w:t>
      </w:r>
    </w:p>
    <w:p>
      <w:r>
        <w:drawing>
          <wp:inline xmlns:wp="http://schemas.openxmlformats.org/drawingml/2006/wordprocessingDrawing" distT="0" distB="0" distL="0" distR="0">
            <wp:extent cx="5486400" cy="3200400"/>
            <wp:docPr id="3" name="Chart 3"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00"/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styleId="Heading1">
    <w:name w:val="heading 1"/>
    <w:pPr>
      <w:spacing w:before="240" w:after="120"/>
    </w:pPr>
    <w:rPr>
      <w:b/>
      <w:sz w:val="32"/>
    </w:rPr>
  </w:style>
  <w:style w:type="paragraph" w:styleId="Heading2">
    <w:name w:val="heading 2"/>
    <w:pPr>
      <w:spacing w:before="200" w:after="80"/>
    </w:pPr>
    <w:rPr>
      <w:b/>
      <w:sz w:val="26"/>
    </w:rPr>
  </w:style>
  <w:style w:type="table" w:styleId="TableGrid">
    <w:name w:val="Table Gri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>
  <w:optimizeForBrowser/>
  <w:allowPNG/>
</w:webSetting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chart" Target="charts/chart1.xml"/><Relationship Id="rId3" Type="http://schemas.openxmlformats.org/officeDocument/2006/relationships/chart" Target="charts/chart2.xml"/><Relationship Id="rId4" Type="http://schemas.openxmlformats.org/officeDocument/2006/relationships/chart" Target="charts/chart3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spPr>
    <a:ln>
      <a:noFill/>
    </a:ln>
  </c:spPr>
  <c:chart>
    <c:plotArea>
      <c:layout/>
      <c:scatterChart>
        <c:scatterStyle val="line"/>
        <c:varyColors val="0"/>
        <c:ser>
          <c:idx val="0"/>
          <c:order val="0"/>
          <c:tx>
            <c:strRef>
              <c:strCache>
                <c:ptCount val="1"/>
                <c:pt idx="0">
                  <c:v>3.0</c:v>
                </c:pt>
              </c:strCache>
            </c:strRef>
          </c:tx>
          <c:marker>
            <c:symbol val="none"/>
          </c:marker>
          <c:spPr>
            <a:ln w="22225">
              <a:solidFill>
                <a:srgbClr val="4472C4"/>
              </a:solidFill>
            </a:ln>
          </c:spPr>
          <c:xVal>
            <c:numRef>
              <c:numCache>
                <c:formatCode>0</c:formatCode>
                <c:ptCount val="36"/>
                <c:pt idx="0">
                  <c:v>2023.9115</c:v>
                </c:pt>
                <c:pt idx="1">
                  <c:v>2024.0649</c:v>
                </c:pt>
                <c:pt idx="2">
                  <c:v>2024.0907</c:v>
                </c:pt>
                <c:pt idx="3">
                  <c:v>2024.0928</c:v>
                </c:pt>
                <c:pt idx="4">
                  <c:v>2024.1830</c:v>
                </c:pt>
                <c:pt idx="5">
                  <c:v>2024.1845</c:v>
                </c:pt>
                <c:pt idx="6">
                  <c:v>2024.6856</c:v>
                </c:pt>
                <c:pt idx="7">
                  <c:v>2024.9932</c:v>
                </c:pt>
                <c:pt idx="8">
                  <c:v>2025.1098</c:v>
                </c:pt>
                <c:pt idx="9">
                  <c:v>2025.1157</c:v>
                </c:pt>
                <c:pt idx="10">
                  <c:v>2025.1173</c:v>
                </c:pt>
                <c:pt idx="11">
                  <c:v>2025.5768</c:v>
                </c:pt>
                <c:pt idx="12">
                  <c:v>2026.1128</c:v>
                </c:pt>
                <c:pt idx="13">
                  <c:v>2026.1129</c:v>
                </c:pt>
                <c:pt idx="14">
                  <c:v>2026.1152</c:v>
                </c:pt>
                <c:pt idx="15">
                  <c:v>2026.1179</c:v>
                </c:pt>
                <c:pt idx="16">
                  <c:v>2026.1212</c:v>
                </c:pt>
                <c:pt idx="17">
                  <c:v>2026.1242</c:v>
                </c:pt>
                <c:pt idx="18">
                  <c:v>2026.1292</c:v>
                </c:pt>
                <c:pt idx="19">
                  <c:v>2026.1294</c:v>
                </c:pt>
                <c:pt idx="20">
                  <c:v>2026.1432</c:v>
                </c:pt>
                <c:pt idx="21">
                  <c:v>2026.1449</c:v>
                </c:pt>
                <c:pt idx="22">
                  <c:v>2026.1454</c:v>
                </c:pt>
                <c:pt idx="23">
                  <c:v>2026.1456</c:v>
                </c:pt>
                <c:pt idx="24">
                  <c:v>2026.1458</c:v>
                </c:pt>
                <c:pt idx="25">
                  <c:v>2026.1461</c:v>
                </c:pt>
                <c:pt idx="26">
                  <c:v>2026.1481</c:v>
                </c:pt>
                <c:pt idx="27">
                  <c:v>2026.1583</c:v>
                </c:pt>
                <c:pt idx="28">
                  <c:v>2026.1683</c:v>
                </c:pt>
                <c:pt idx="29">
                  <c:v>2026.1687</c:v>
                </c:pt>
                <c:pt idx="30">
                  <c:v>2026.1693</c:v>
                </c:pt>
                <c:pt idx="31">
                  <c:v>2026.1710</c:v>
                </c:pt>
                <c:pt idx="32">
                  <c:v>2026.1939</c:v>
                </c:pt>
                <c:pt idx="33">
                  <c:v>2026.2050</c:v>
                </c:pt>
                <c:pt idx="34">
                  <c:v>2026.3469</c:v>
                </c:pt>
                <c:pt idx="35">
                  <c:v>2026.3496</c:v>
                </c:pt>
              </c:numCache>
            </c:numRef>
          </c:xVal>
          <c:yVal>
            <c:numRef>
              <c:numCache>
                <c:formatCode>General</c:formatCode>
                <c:ptCount val="36"/>
                <c:pt idx="0">
                  <c:v>649</c:v>
                </c:pt>
                <c:pt idx="1">
                  <c:v>653</c:v>
                </c:pt>
                <c:pt idx="2">
                  <c:v>661</c:v>
                </c:pt>
                <c:pt idx="3">
                  <c:v>665</c:v>
                </c:pt>
                <c:pt idx="4">
                  <c:v>667</c:v>
                </c:pt>
                <c:pt idx="5">
                  <c:v>668</c:v>
                </c:pt>
                <c:pt idx="6">
                  <c:v>674</c:v>
                </c:pt>
                <c:pt idx="7">
                  <c:v>679</c:v>
                </c:pt>
                <c:pt idx="8">
                  <c:v>573</c:v>
                </c:pt>
                <c:pt idx="9">
                  <c:v>688</c:v>
                </c:pt>
                <c:pt idx="10">
                  <c:v>693</c:v>
                </c:pt>
                <c:pt idx="11">
                  <c:v>717</c:v>
                </c:pt>
                <c:pt idx="12">
                  <c:v>682</c:v>
                </c:pt>
                <c:pt idx="13">
                  <c:v>682</c:v>
                </c:pt>
                <c:pt idx="14">
                  <c:v>736</c:v>
                </c:pt>
                <c:pt idx="15">
                  <c:v>744</c:v>
                </c:pt>
                <c:pt idx="16">
                  <c:v>627</c:v>
                </c:pt>
                <c:pt idx="17">
                  <c:v>737</c:v>
                </c:pt>
                <c:pt idx="18">
                  <c:v>775</c:v>
                </c:pt>
                <c:pt idx="19">
                  <c:v>771</c:v>
                </c:pt>
                <c:pt idx="20">
                  <c:v>751</c:v>
                </c:pt>
                <c:pt idx="21">
                  <c:v>594</c:v>
                </c:pt>
                <c:pt idx="22">
                  <c:v>592</c:v>
                </c:pt>
                <c:pt idx="23">
                  <c:v>592</c:v>
                </c:pt>
                <c:pt idx="24">
                  <c:v>594</c:v>
                </c:pt>
                <c:pt idx="25">
                  <c:v>594</c:v>
                </c:pt>
                <c:pt idx="26">
                  <c:v>543</c:v>
                </c:pt>
                <c:pt idx="27">
                  <c:v>527</c:v>
                </c:pt>
                <c:pt idx="28">
                  <c:v>561</c:v>
                </c:pt>
                <c:pt idx="29">
                  <c:v>574</c:v>
                </c:pt>
                <c:pt idx="30">
                  <c:v>537</c:v>
                </c:pt>
                <c:pt idx="31">
                  <c:v>556</c:v>
                </c:pt>
                <c:pt idx="32">
                  <c:v>592</c:v>
                </c:pt>
                <c:pt idx="33">
                  <c:v>591</c:v>
                </c:pt>
                <c:pt idx="34">
                  <c:v>595</c:v>
                </c:pt>
                <c:pt idx="35">
                  <c:v>588</c:v>
                </c:pt>
              </c:numCache>
            </c:numRef>
          </c:yVal>
          <c:smooth val="0"/>
        </c:ser>
        <c:ser>
          <c:idx val="1"/>
          <c:order val="1"/>
          <c:tx>
            <c:strRef>
              <c:strCache>
                <c:ptCount val="1"/>
                <c:pt idx="0">
                  <c:v>4.0</c:v>
                </c:pt>
              </c:strCache>
            </c:strRef>
          </c:tx>
          <c:marker>
            <c:symbol val="none"/>
          </c:marker>
          <c:spPr>
            <a:ln w="22225">
              <a:solidFill>
                <a:srgbClr val="ED7D31"/>
              </a:solidFill>
            </a:ln>
          </c:spPr>
          <c:xVal>
            <c:numRef>
              <c:numCache>
                <c:formatCode>0</c:formatCode>
                <c:ptCount val="31"/>
                <c:pt idx="0">
                  <c:v>2023.9117</c:v>
                </c:pt>
                <c:pt idx="1">
                  <c:v>2024.0652</c:v>
                </c:pt>
                <c:pt idx="2">
                  <c:v>2024.0674</c:v>
                </c:pt>
                <c:pt idx="3">
                  <c:v>2024.0905</c:v>
                </c:pt>
                <c:pt idx="4">
                  <c:v>2024.0910</c:v>
                </c:pt>
                <c:pt idx="5">
                  <c:v>2024.0929</c:v>
                </c:pt>
                <c:pt idx="6">
                  <c:v>2024.1848</c:v>
                </c:pt>
                <c:pt idx="7">
                  <c:v>2024.6857</c:v>
                </c:pt>
                <c:pt idx="8">
                  <c:v>2024.9934</c:v>
                </c:pt>
                <c:pt idx="9">
                  <c:v>2025.1099</c:v>
                </c:pt>
                <c:pt idx="10">
                  <c:v>2025.1175</c:v>
                </c:pt>
                <c:pt idx="11">
                  <c:v>2026.1130</c:v>
                </c:pt>
                <c:pt idx="12">
                  <c:v>2026.1152</c:v>
                </c:pt>
                <c:pt idx="13">
                  <c:v>2026.1180</c:v>
                </c:pt>
                <c:pt idx="14">
                  <c:v>2026.1213</c:v>
                </c:pt>
                <c:pt idx="15">
                  <c:v>2026.1243</c:v>
                </c:pt>
                <c:pt idx="16">
                  <c:v>2026.1293</c:v>
                </c:pt>
                <c:pt idx="17">
                  <c:v>2026.1295</c:v>
                </c:pt>
                <c:pt idx="18">
                  <c:v>2026.1433</c:v>
                </c:pt>
                <c:pt idx="19">
                  <c:v>2026.1449</c:v>
                </c:pt>
                <c:pt idx="20">
                  <c:v>2026.1474</c:v>
                </c:pt>
                <c:pt idx="21">
                  <c:v>2026.1481</c:v>
                </c:pt>
                <c:pt idx="22">
                  <c:v>2026.1584</c:v>
                </c:pt>
                <c:pt idx="23">
                  <c:v>2026.1684</c:v>
                </c:pt>
                <c:pt idx="24">
                  <c:v>2026.1688</c:v>
                </c:pt>
                <c:pt idx="25">
                  <c:v>2026.1693</c:v>
                </c:pt>
                <c:pt idx="26">
                  <c:v>2026.1713</c:v>
                </c:pt>
                <c:pt idx="27">
                  <c:v>2026.1940</c:v>
                </c:pt>
                <c:pt idx="28">
                  <c:v>2026.2051</c:v>
                </c:pt>
                <c:pt idx="29">
                  <c:v>2026.3469</c:v>
                </c:pt>
                <c:pt idx="30">
                  <c:v>2026.3496</c:v>
                </c:pt>
              </c:numCache>
            </c:numRef>
          </c:xVal>
          <c:yVal>
            <c:numRef>
              <c:numCache>
                <c:formatCode>General</c:formatCode>
                <c:ptCount val="31"/>
                <c:pt idx="0">
                  <c:v>695</c:v>
                </c:pt>
                <c:pt idx="1">
                  <c:v>707</c:v>
                </c:pt>
                <c:pt idx="2">
                  <c:v>706</c:v>
                </c:pt>
                <c:pt idx="3">
                  <c:v>711</c:v>
                </c:pt>
                <c:pt idx="4">
                  <c:v>712</c:v>
                </c:pt>
                <c:pt idx="5">
                  <c:v>713</c:v>
                </c:pt>
                <c:pt idx="6">
                  <c:v>726</c:v>
                </c:pt>
                <c:pt idx="7">
                  <c:v>741</c:v>
                </c:pt>
                <c:pt idx="8">
                  <c:v>754</c:v>
                </c:pt>
                <c:pt idx="9">
                  <c:v>635</c:v>
                </c:pt>
                <c:pt idx="10">
                  <c:v>772</c:v>
                </c:pt>
                <c:pt idx="11">
                  <c:v>773</c:v>
                </c:pt>
                <c:pt idx="12">
                  <c:v>811</c:v>
                </c:pt>
                <c:pt idx="13">
                  <c:v>832</c:v>
                </c:pt>
                <c:pt idx="14">
                  <c:v>701</c:v>
                </c:pt>
                <c:pt idx="15">
                  <c:v>838</c:v>
                </c:pt>
                <c:pt idx="16">
                  <c:v>864</c:v>
                </c:pt>
                <c:pt idx="17">
                  <c:v>862</c:v>
                </c:pt>
                <c:pt idx="18">
                  <c:v>841</c:v>
                </c:pt>
                <c:pt idx="19">
                  <c:v>641</c:v>
                </c:pt>
                <c:pt idx="20">
                  <c:v>560</c:v>
                </c:pt>
                <c:pt idx="21">
                  <c:v>458</c:v>
                </c:pt>
                <c:pt idx="22">
                  <c:v>593</c:v>
                </c:pt>
                <c:pt idx="23">
                  <c:v>632</c:v>
                </c:pt>
                <c:pt idx="24">
                  <c:v>627</c:v>
                </c:pt>
                <c:pt idx="25">
                  <c:v>603</c:v>
                </c:pt>
                <c:pt idx="26">
                  <c:v>630</c:v>
                </c:pt>
                <c:pt idx="27">
                  <c:v>649</c:v>
                </c:pt>
                <c:pt idx="28">
                  <c:v>652</c:v>
                </c:pt>
                <c:pt idx="29">
                  <c:v>657</c:v>
                </c:pt>
                <c:pt idx="30">
                  <c:v>656</c:v>
                </c:pt>
              </c:numCache>
            </c:numRef>
          </c:yVal>
          <c:smooth val="0"/>
        </c:ser>
        <c:ser>
          <c:idx val="2"/>
          <c:order val="2"/>
          <c:tx>
            <c:strRef>
              <c:strCache>
                <c:ptCount val="1"/>
                <c:pt idx="0">
                  <c:v>5.0</c:v>
                </c:pt>
              </c:strCache>
            </c:strRef>
          </c:tx>
          <c:marker>
            <c:symbol val="none"/>
          </c:marker>
          <c:spPr>
            <a:ln w="22225">
              <a:solidFill>
                <a:srgbClr val="A5A5A5"/>
              </a:solidFill>
            </a:ln>
          </c:spPr>
          <c:xVal>
            <c:numRef>
              <c:numCache>
                <c:formatCode>0</c:formatCode>
                <c:ptCount val="28"/>
                <c:pt idx="0">
                  <c:v>2023.9120</c:v>
                </c:pt>
                <c:pt idx="1">
                  <c:v>2024.0658</c:v>
                </c:pt>
                <c:pt idx="2">
                  <c:v>2024.0678</c:v>
                </c:pt>
                <c:pt idx="3">
                  <c:v>2024.0911</c:v>
                </c:pt>
                <c:pt idx="4">
                  <c:v>2024.0931</c:v>
                </c:pt>
                <c:pt idx="5">
                  <c:v>2024.1852</c:v>
                </c:pt>
                <c:pt idx="6">
                  <c:v>2024.6859</c:v>
                </c:pt>
                <c:pt idx="7">
                  <c:v>2024.9936</c:v>
                </c:pt>
                <c:pt idx="8">
                  <c:v>2025.1100</c:v>
                </c:pt>
                <c:pt idx="9">
                  <c:v>2025.1107</c:v>
                </c:pt>
                <c:pt idx="10">
                  <c:v>2025.1152</c:v>
                </c:pt>
                <c:pt idx="11">
                  <c:v>2025.1160</c:v>
                </c:pt>
                <c:pt idx="12">
                  <c:v>2025.1177</c:v>
                </c:pt>
                <c:pt idx="13">
                  <c:v>2026.1131</c:v>
                </c:pt>
                <c:pt idx="14">
                  <c:v>2026.1153</c:v>
                </c:pt>
                <c:pt idx="15">
                  <c:v>2026.1181</c:v>
                </c:pt>
                <c:pt idx="16">
                  <c:v>2026.1213</c:v>
                </c:pt>
                <c:pt idx="17">
                  <c:v>2026.1244</c:v>
                </c:pt>
                <c:pt idx="18">
                  <c:v>2026.1433</c:v>
                </c:pt>
                <c:pt idx="19">
                  <c:v>2026.1450</c:v>
                </c:pt>
                <c:pt idx="20">
                  <c:v>2026.1482</c:v>
                </c:pt>
                <c:pt idx="21">
                  <c:v>2026.1584</c:v>
                </c:pt>
                <c:pt idx="22">
                  <c:v>2026.1693</c:v>
                </c:pt>
                <c:pt idx="23">
                  <c:v>2026.1716</c:v>
                </c:pt>
                <c:pt idx="24">
                  <c:v>2026.1941</c:v>
                </c:pt>
                <c:pt idx="25">
                  <c:v>2026.2052</c:v>
                </c:pt>
                <c:pt idx="26">
                  <c:v>2026.3470</c:v>
                </c:pt>
                <c:pt idx="27">
                  <c:v>2026.3496</c:v>
                </c:pt>
              </c:numCache>
            </c:numRef>
          </c:xVal>
          <c:yVal>
            <c:numRef>
              <c:numCache>
                <c:formatCode>General</c:formatCode>
                <c:ptCount val="28"/>
                <c:pt idx="0">
                  <c:v>590</c:v>
                </c:pt>
                <c:pt idx="1">
                  <c:v>611</c:v>
                </c:pt>
                <c:pt idx="2">
                  <c:v>611</c:v>
                </c:pt>
                <c:pt idx="3">
                  <c:v>626</c:v>
                </c:pt>
                <c:pt idx="4">
                  <c:v>628</c:v>
                </c:pt>
                <c:pt idx="5">
                  <c:v>646</c:v>
                </c:pt>
                <c:pt idx="6">
                  <c:v>678</c:v>
                </c:pt>
                <c:pt idx="7">
                  <c:v>708</c:v>
                </c:pt>
                <c:pt idx="8">
                  <c:v>605</c:v>
                </c:pt>
                <c:pt idx="9">
                  <c:v>709</c:v>
                </c:pt>
                <c:pt idx="10">
                  <c:v>713</c:v>
                </c:pt>
                <c:pt idx="11">
                  <c:v>727</c:v>
                </c:pt>
                <c:pt idx="12">
                  <c:v>731</c:v>
                </c:pt>
                <c:pt idx="13">
                  <c:v>727</c:v>
                </c:pt>
                <c:pt idx="14">
                  <c:v>782</c:v>
                </c:pt>
                <c:pt idx="15">
                  <c:v>795</c:v>
                </c:pt>
                <c:pt idx="16">
                  <c:v>647</c:v>
                </c:pt>
                <c:pt idx="17">
                  <c:v>756</c:v>
                </c:pt>
                <c:pt idx="18">
                  <c:v>794</c:v>
                </c:pt>
                <c:pt idx="19">
                  <c:v>617</c:v>
                </c:pt>
                <c:pt idx="20">
                  <c:v>558</c:v>
                </c:pt>
                <c:pt idx="21">
                  <c:v>512</c:v>
                </c:pt>
                <c:pt idx="22">
                  <c:v>588</c:v>
                </c:pt>
                <c:pt idx="23">
                  <c:v>596</c:v>
                </c:pt>
                <c:pt idx="24">
                  <c:v>621</c:v>
                </c:pt>
                <c:pt idx="25">
                  <c:v>624</c:v>
                </c:pt>
                <c:pt idx="26">
                  <c:v>637</c:v>
                </c:pt>
                <c:pt idx="27">
                  <c:v>631</c:v>
                </c:pt>
              </c:numCache>
            </c:numRef>
          </c:yVal>
          <c:smooth val="0"/>
        </c:ser>
        <c:ser>
          <c:idx val="3"/>
          <c:order val="3"/>
          <c:tx>
            <c:strRef>
              <c:strCache>
                <c:ptCount val="1"/>
                <c:pt idx="0">
                  <c:v>6.0</c:v>
                </c:pt>
              </c:strCache>
            </c:strRef>
          </c:tx>
          <c:marker>
            <c:symbol val="none"/>
          </c:marker>
          <c:spPr>
            <a:ln w="22225">
              <a:solidFill>
                <a:srgbClr val="FFC000"/>
              </a:solidFill>
            </a:ln>
          </c:spPr>
          <c:xVal>
            <c:numRef>
              <c:numCache>
                <c:formatCode>0</c:formatCode>
                <c:ptCount val="21"/>
                <c:pt idx="0">
                  <c:v>2024.6870</c:v>
                </c:pt>
                <c:pt idx="1">
                  <c:v>2024.9916</c:v>
                </c:pt>
                <c:pt idx="2">
                  <c:v>2024.9937</c:v>
                </c:pt>
                <c:pt idx="3">
                  <c:v>2025.1101</c:v>
                </c:pt>
                <c:pt idx="4">
                  <c:v>2025.1162</c:v>
                </c:pt>
                <c:pt idx="5">
                  <c:v>2025.1179</c:v>
                </c:pt>
                <c:pt idx="6">
                  <c:v>2026.1131</c:v>
                </c:pt>
                <c:pt idx="7">
                  <c:v>2026.1154</c:v>
                </c:pt>
                <c:pt idx="8">
                  <c:v>2026.1182</c:v>
                </c:pt>
                <c:pt idx="9">
                  <c:v>2026.1214</c:v>
                </c:pt>
                <c:pt idx="10">
                  <c:v>2026.1297</c:v>
                </c:pt>
                <c:pt idx="11">
                  <c:v>2026.1434</c:v>
                </c:pt>
                <c:pt idx="12">
                  <c:v>2026.1450</c:v>
                </c:pt>
                <c:pt idx="13">
                  <c:v>2026.1482</c:v>
                </c:pt>
                <c:pt idx="14">
                  <c:v>2026.1584</c:v>
                </c:pt>
                <c:pt idx="15">
                  <c:v>2026.1693</c:v>
                </c:pt>
                <c:pt idx="16">
                  <c:v>2026.1718</c:v>
                </c:pt>
                <c:pt idx="17">
                  <c:v>2026.1943</c:v>
                </c:pt>
                <c:pt idx="18">
                  <c:v>2026.2053</c:v>
                </c:pt>
                <c:pt idx="19">
                  <c:v>2026.3470</c:v>
                </c:pt>
                <c:pt idx="20">
                  <c:v>2026.3497</c:v>
                </c:pt>
              </c:numCache>
            </c:numRef>
          </c:xVal>
          <c:yVal>
            <c:numRef>
              <c:numCache>
                <c:formatCode>General</c:formatCode>
                <c:ptCount val="21"/>
                <c:pt idx="0">
                  <c:v>681</c:v>
                </c:pt>
                <c:pt idx="1">
                  <c:v>708</c:v>
                </c:pt>
                <c:pt idx="2">
                  <c:v>708</c:v>
                </c:pt>
                <c:pt idx="3">
                  <c:v>613</c:v>
                </c:pt>
                <c:pt idx="4">
                  <c:v>730</c:v>
                </c:pt>
                <c:pt idx="5">
                  <c:v>734</c:v>
                </c:pt>
                <c:pt idx="6">
                  <c:v>739</c:v>
                </c:pt>
                <c:pt idx="7">
                  <c:v>782</c:v>
                </c:pt>
                <c:pt idx="8">
                  <c:v>803</c:v>
                </c:pt>
                <c:pt idx="9">
                  <c:v>663</c:v>
                </c:pt>
                <c:pt idx="10">
                  <c:v>822</c:v>
                </c:pt>
                <c:pt idx="11">
                  <c:v>804</c:v>
                </c:pt>
                <c:pt idx="12">
                  <c:v>627</c:v>
                </c:pt>
                <c:pt idx="13">
                  <c:v>549</c:v>
                </c:pt>
                <c:pt idx="14">
                  <c:v>574</c:v>
                </c:pt>
                <c:pt idx="15">
                  <c:v>609</c:v>
                </c:pt>
                <c:pt idx="16">
                  <c:v>619</c:v>
                </c:pt>
                <c:pt idx="17">
                  <c:v>636</c:v>
                </c:pt>
                <c:pt idx="18">
                  <c:v>634</c:v>
                </c:pt>
                <c:pt idx="19">
                  <c:v>641</c:v>
                </c:pt>
                <c:pt idx="20">
                  <c:v>638</c:v>
                </c:pt>
              </c:numCache>
            </c:numRef>
          </c:yVal>
          <c:smooth val="0"/>
        </c:ser>
        <c:ser>
          <c:idx val="4"/>
          <c:order val="4"/>
          <c:tx>
            <c:strRef>
              <c:strCache>
                <c:ptCount val="1"/>
                <c:pt idx="0">
                  <c:v>common</c:v>
                </c:pt>
              </c:strCache>
            </c:strRef>
          </c:tx>
          <c:marker>
            <c:symbol val="none"/>
          </c:marker>
          <c:spPr>
            <a:ln w="22225">
              <a:solidFill>
                <a:srgbClr val="5B9BD5"/>
              </a:solidFill>
            </a:ln>
          </c:spPr>
          <c:xVal>
            <c:numRef>
              <c:numCache>
                <c:formatCode>0</c:formatCode>
                <c:ptCount val="14"/>
                <c:pt idx="0">
                  <c:v>2026.1132</c:v>
                </c:pt>
                <c:pt idx="1">
                  <c:v>2026.1155</c:v>
                </c:pt>
                <c:pt idx="2">
                  <c:v>2026.1182</c:v>
                </c:pt>
                <c:pt idx="3">
                  <c:v>2026.1215</c:v>
                </c:pt>
                <c:pt idx="4">
                  <c:v>2026.1434</c:v>
                </c:pt>
                <c:pt idx="5">
                  <c:v>2026.1451</c:v>
                </c:pt>
                <c:pt idx="6">
                  <c:v>2026.1483</c:v>
                </c:pt>
                <c:pt idx="7">
                  <c:v>2026.1586</c:v>
                </c:pt>
                <c:pt idx="8">
                  <c:v>2026.1694</c:v>
                </c:pt>
                <c:pt idx="9">
                  <c:v>2026.1719</c:v>
                </c:pt>
                <c:pt idx="10">
                  <c:v>2026.1944</c:v>
                </c:pt>
                <c:pt idx="11">
                  <c:v>2026.2054</c:v>
                </c:pt>
                <c:pt idx="12">
                  <c:v>2026.3474</c:v>
                </c:pt>
                <c:pt idx="13">
                  <c:v>2026.3497</c:v>
                </c:pt>
              </c:numCache>
            </c:numRef>
          </c:xVal>
          <c:yVal>
            <c:numRef>
              <c:numCache>
                <c:formatCode>General</c:formatCode>
                <c:ptCount val="14"/>
                <c:pt idx="0">
                  <c:v>6</c:v>
                </c:pt>
                <c:pt idx="1">
                  <c:v>6</c:v>
                </c:pt>
                <c:pt idx="2">
                  <c:v>6</c:v>
                </c:pt>
                <c:pt idx="3">
                  <c:v>6</c:v>
                </c:pt>
                <c:pt idx="4">
                  <c:v>6</c:v>
                </c:pt>
                <c:pt idx="5">
                  <c:v>3</c:v>
                </c:pt>
                <c:pt idx="6">
                  <c:v>3</c:v>
                </c:pt>
                <c:pt idx="7">
                  <c:v>3</c:v>
                </c:pt>
                <c:pt idx="8">
                  <c:v>3</c:v>
                </c:pt>
                <c:pt idx="9">
                  <c:v>3</c:v>
                </c:pt>
                <c:pt idx="10">
                  <c:v>4</c:v>
                </c:pt>
                <c:pt idx="11">
                  <c:v>4</c:v>
                </c:pt>
                <c:pt idx="12">
                  <c:v>4</c:v>
                </c:pt>
                <c:pt idx="13">
                  <c:v>4</c:v>
                </c:pt>
              </c:numCache>
            </c:numRef>
          </c:yVal>
          <c:smooth val="0"/>
        </c:ser>
        <c:ser>
          <c:idx val="5"/>
          <c:order val="5"/>
          <c:tx>
            <c:strRef>
              <c:strCache>
                <c:ptCount val="1"/>
                <c:pt idx="0">
                  <c:v>dev</c:v>
                </c:pt>
              </c:strCache>
            </c:strRef>
          </c:tx>
          <c:marker>
            <c:symbol val="none"/>
          </c:marker>
          <c:spPr>
            <a:ln w="22225">
              <a:solidFill>
                <a:srgbClr val="70AD47"/>
              </a:solidFill>
            </a:ln>
          </c:spPr>
          <c:xVal>
            <c:numRef>
              <c:numCache>
                <c:formatCode>0</c:formatCode>
                <c:ptCount val="11"/>
                <c:pt idx="0">
                  <c:v>2026.1132</c:v>
                </c:pt>
                <c:pt idx="1">
                  <c:v>2026.1155</c:v>
                </c:pt>
                <c:pt idx="2">
                  <c:v>2026.1182</c:v>
                </c:pt>
                <c:pt idx="3">
                  <c:v>2026.1215</c:v>
                </c:pt>
                <c:pt idx="4">
                  <c:v>2026.1434</c:v>
                </c:pt>
                <c:pt idx="5">
                  <c:v>2026.1694</c:v>
                </c:pt>
                <c:pt idx="6">
                  <c:v>2026.1719</c:v>
                </c:pt>
                <c:pt idx="7">
                  <c:v>2026.1944</c:v>
                </c:pt>
                <c:pt idx="8">
                  <c:v>2026.2054</c:v>
                </c:pt>
                <c:pt idx="9">
                  <c:v>2026.3474</c:v>
                </c:pt>
                <c:pt idx="10">
                  <c:v>2026.3497</c:v>
                </c:pt>
              </c:numCache>
            </c:numRef>
          </c:xVal>
          <c:yVal>
            <c:numRef>
              <c:numCache>
                <c:formatCode>General</c:formatCode>
                <c:ptCount val="11"/>
                <c:pt idx="0">
                  <c:v>771</c:v>
                </c:pt>
                <c:pt idx="1">
                  <c:v>814</c:v>
                </c:pt>
                <c:pt idx="2">
                  <c:v>830</c:v>
                </c:pt>
                <c:pt idx="3">
                  <c:v>689</c:v>
                </c:pt>
                <c:pt idx="4">
                  <c:v>837</c:v>
                </c:pt>
                <c:pt idx="5">
                  <c:v>622</c:v>
                </c:pt>
                <c:pt idx="6">
                  <c:v>633</c:v>
                </c:pt>
                <c:pt idx="7">
                  <c:v>653</c:v>
                </c:pt>
                <c:pt idx="8">
                  <c:v>655</c:v>
                </c:pt>
                <c:pt idx="9">
                  <c:v>335</c:v>
                </c:pt>
                <c:pt idx="10">
                  <c:v>659</c:v>
                </c:pt>
              </c:numCache>
            </c:numRef>
          </c:yVal>
          <c:smooth val="0"/>
        </c:ser>
        <c:ser>
          <c:idx val="6"/>
          <c:order val="6"/>
          <c:tx>
            <c:strRef>
              <c:strCache>
                <c:ptCount val="1"/>
                <c:pt idx="0">
                  <c:v>master</c:v>
                </c:pt>
              </c:strCache>
            </c:strRef>
          </c:tx>
          <c:marker>
            <c:symbol val="none"/>
          </c:marker>
          <c:spPr>
            <a:ln w="22225">
              <a:solidFill>
                <a:srgbClr val="264478"/>
              </a:solidFill>
            </a:ln>
          </c:spPr>
          <c:xVal>
            <c:numRef>
              <c:numCache>
                <c:formatCode>0</c:formatCode>
                <c:ptCount val="12"/>
                <c:pt idx="0">
                  <c:v>2026.1133</c:v>
                </c:pt>
                <c:pt idx="1">
                  <c:v>2026.1155</c:v>
                </c:pt>
                <c:pt idx="2">
                  <c:v>2026.1183</c:v>
                </c:pt>
                <c:pt idx="3">
                  <c:v>2026.1216</c:v>
                </c:pt>
                <c:pt idx="4">
                  <c:v>2026.1435</c:v>
                </c:pt>
                <c:pt idx="5">
                  <c:v>2026.1484</c:v>
                </c:pt>
                <c:pt idx="6">
                  <c:v>2026.1700</c:v>
                </c:pt>
                <c:pt idx="7">
                  <c:v>2026.1720</c:v>
                </c:pt>
                <c:pt idx="8">
                  <c:v>2026.1945</c:v>
                </c:pt>
                <c:pt idx="9">
                  <c:v>2026.2056</c:v>
                </c:pt>
                <c:pt idx="10">
                  <c:v>2026.3474</c:v>
                </c:pt>
                <c:pt idx="11">
                  <c:v>2026.3501</c:v>
                </c:pt>
              </c:numCache>
            </c:numRef>
          </c:xVal>
          <c:yVal>
            <c:numRef>
              <c:numCache>
                <c:formatCode>General</c:formatCode>
                <c:ptCount val="12"/>
                <c:pt idx="0">
                  <c:v>763</c:v>
                </c:pt>
                <c:pt idx="1">
                  <c:v>817</c:v>
                </c:pt>
                <c:pt idx="2">
                  <c:v>830</c:v>
                </c:pt>
                <c:pt idx="3">
                  <c:v>690</c:v>
                </c:pt>
                <c:pt idx="4">
                  <c:v>839</c:v>
                </c:pt>
                <c:pt idx="5">
                  <c:v>553</c:v>
                </c:pt>
                <c:pt idx="6">
                  <c:v>606</c:v>
                </c:pt>
                <c:pt idx="7">
                  <c:v>621</c:v>
                </c:pt>
                <c:pt idx="8">
                  <c:v>649</c:v>
                </c:pt>
                <c:pt idx="9">
                  <c:v>657</c:v>
                </c:pt>
                <c:pt idx="10">
                  <c:v>140</c:v>
                </c:pt>
                <c:pt idx="11">
                  <c:v>141</c:v>
                </c:pt>
              </c:numCache>
            </c:numRef>
          </c:yVal>
          <c:smooth val="0"/>
        </c:ser>
        <c:ser>
          <c:idx val="7"/>
          <c:order val="7"/>
          <c:tx>
            <c:strRef>
              <c:strCache>
                <c:ptCount val="1"/>
                <c:pt idx="0">
                  <c:v>5.0 trend</c:v>
                </c:pt>
              </c:strCache>
            </c:strRef>
          </c:tx>
          <c:marker>
            <c:symbol val="none"/>
          </c:marker>
          <c:spPr>
            <a:ln w="12700">
              <a:solidFill>
                <a:srgbClr val="A5A5A5"/>
              </a:solidFill>
              <a:prstDash val="dot"/>
            </a:ln>
          </c:spPr>
          <c:xVal>
            <c:numRef>
              <c:numCache>
                <c:formatCode>0</c:formatCode>
                <c:ptCount val="2"/>
                <c:pt idx="0">
                  <c:v>2024.0000</c:v>
                </c:pt>
                <c:pt idx="1">
                  <c:v>2026.0000</c:v>
                </c:pt>
              </c:numCache>
            </c:numRef>
          </c:xVal>
          <c:yVal>
            <c:numRef>
              <c:numCache>
                <c:formatCode>General</c:formatCode>
                <c:ptCount val="2"/>
                <c:pt idx="0">
                  <c:v>617.5</c:v>
                </c:pt>
                <c:pt idx="1">
                  <c:v>768.0</c:v>
                </c:pt>
              </c:numCache>
            </c:numRef>
          </c:yVal>
          <c:smooth val="0"/>
        </c:ser>
        <c:axId val="1"/>
        <c:axId val="2"/>
      </c:scatterChart>
      <c:valAx>
        <c:axId val="1"/>
        <c:scaling>
          <c:orientation val="minMax"/>
          <c:min val="2023"/>
          <c:max val="2027.0"/>
        </c:scaling>
        <c:delete val="0"/>
        <c:axPos val="b"/>
        <c:crossAx val="2"/>
        <c:majorUnit val="1"/>
        <c:minorUnit val="0.5"/>
        <c:numFmt formatCode="0" sourceLinked="0"/>
        <c:majorTickMark val="out"/>
        <c:minorTickMark val="out"/>
        <c:majorGridlines>
          <c:spPr>
            <a:ln w="3175">
              <a:solidFill>
                <a:srgbClr val="D9D9D9"/>
              </a:solidFill>
            </a:ln>
          </c:spPr>
        </c:majorGridlines>
        <c:minorGridlines>
          <c:spPr>
            <a:ln w="3175">
              <a:solidFill>
                <a:srgbClr val="F0F0F0"/>
              </a:solidFill>
              <a:prstDash val="dot"/>
            </a:ln>
          </c:spPr>
        </c:minorGridlines>
        <c:txPr>
          <a:bodyPr/>
          <a:lstStyle/>
          <a:p>
            <a:pPr>
              <a:defRPr sz="800"/>
            </a:pPr>
            <a:endParaRPr lang="en-US"/>
          </a:p>
        </c:txPr>
      </c:valAx>
      <c:valAx>
        <c:axId val="2"/>
        <c:scaling>
          <c:orientation val="minMax"/>
        </c:scaling>
        <c:delete val="0"/>
        <c:axPos val="l"/>
        <c:crossAx val="1"/>
        <c:majorUnit val="100"/>
        <c:majorGridlines>
          <c:spPr>
            <a:ln w="3175">
              <a:solidFill>
                <a:srgbClr val="D9D9D9"/>
              </a:solidFill>
            </a:ln>
          </c:spPr>
        </c:majorGridlines>
        <c:minorGridlines>
          <c:spPr>
            <a:ln w="3175">
              <a:solidFill>
                <a:srgbClr val="F0F0F0"/>
              </a:solidFill>
              <a:prstDash val="dot"/>
            </a:ln>
          </c:spPr>
        </c:minorGridlines>
        <c:title>
          <c:layout>
            <c:manualLayout>
              <c:xMode val="edge"/>
              <c:yMode val="edge"/>
              <c:x val="0.0"/>
              <c:y val="0.25"/>
            </c:manualLayout>
          </c:layout>
          <c:tx>
            <c:rich>
              <a:bodyPr rot="-5400000" vert="horz"/>
              <a:lstStyle/>
              <a:p>
                <a:pPr>
                  <a:defRPr sz="800"/>
                </a:pPr>
                <a:r>
                  <a:rPr sz="800"/>
                  <a:t>Qualifying packages</a:t>
                </a:r>
              </a:p>
            </c:rich>
          </c:tx>
        </c:title>
        <c:numFmt formatCode="#,##0" sourceLinked="0"/>
        <c:txPr>
          <a:bodyPr/>
          <a:lstStyle/>
          <a:p>
            <a:pPr>
              <a:defRPr sz="700"/>
            </a:pPr>
            <a:endParaRPr lang="en-US"/>
          </a:p>
        </c:txPr>
      </c:valAx>
    </c:plotArea>
    <c:legend>
      <c:legendPos val="b"/>
      <c:overlay val="0"/>
    </c:legend>
    <c:plotVisOnly val="1"/>
  </c:chart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spPr>
    <a:ln>
      <a:noFill/>
    </a:ln>
  </c:spPr>
  <c:chart>
    <c:plotArea>
      <c:layout/>
      <c:pieChart>
        <c:varyColors val="1"/>
        <c:ser>
          <c:idx val="0"/>
          <c:order val="0"/>
          <c:tx>
            <c:strRef>
              <c:strCache>
                <c:ptCount val="1"/>
                <c:pt idx="0">
                  <c:v>Package Sources</c:v>
                </c:pt>
              </c:strCache>
            </c:strRef>
          </c:tx>
          <c:cat>
            <c:strRef>
              <c:strCache>
                <c:ptCount val="8"/>
                <c:pt idx="0">
                  <c:v>Other (313, 29.1%)</c:v>
                </c:pt>
                <c:pt idx="1">
                  <c:v>github.com (304, 28.2%)</c:v>
                </c:pt>
                <c:pt idx="2">
                  <c:v>rubygems.org (115, 10.7%)</c:v>
                </c:pt>
                <c:pt idx="3">
                  <c:v>pypi (107, 9.9%)</c:v>
                </c:pt>
                <c:pt idx="4">
                  <c:v>(scan issues) (106, 9.8%)</c:v>
                </c:pt>
                <c:pt idx="5">
                  <c:v>gnu.org (53, 4.9%)</c:v>
                </c:pt>
                <c:pt idx="6">
                  <c:v>sourceforge.net (42, 3.9%)</c:v>
                </c:pt>
                <c:pt idx="7">
                  <c:v>cpan.org (37, 3.4%)</c:v>
                </c:pt>
              </c:strCache>
            </c:strRef>
          </c:cat>
          <c:val>
            <c:numRef>
              <c:numCache>
                <c:formatCode>General</c:formatCode>
                <c:ptCount val="8"/>
                <c:pt idx="0">
                  <c:v>313</c:v>
                </c:pt>
                <c:pt idx="1">
                  <c:v>304</c:v>
                </c:pt>
                <c:pt idx="2">
                  <c:v>115</c:v>
                </c:pt>
                <c:pt idx="3">
                  <c:v>107</c:v>
                </c:pt>
                <c:pt idx="4">
                  <c:v>106</c:v>
                </c:pt>
                <c:pt idx="5">
                  <c:v>53</c:v>
                </c:pt>
                <c:pt idx="6">
                  <c:v>42</c:v>
                </c:pt>
                <c:pt idx="7">
                  <c:v>37</c:v>
                </c:pt>
              </c:numCache>
            </c:numRef>
          </c:val>
        </c:ser>
      </c:pieChart>
    </c:plotArea>
    <c:legend>
      <c:legendPos val="r"/>
      <c:overlay val="0"/>
    </c:legend>
    <c:plotVisOnly val="1"/>
  </c:chart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spPr>
    <a:ln>
      <a:noFill/>
    </a:ln>
  </c:spPr>
  <c:chart>
    <c:plotArea>
      <c:layout/>
      <c:barChart>
        <c:barDir val="col"/>
        <c:grouping val="percentStacked"/>
        <c:varyColors val="0"/>
        <c:ser>
          <c:idx val="0"/>
          <c:order val="0"/>
          <c:tx>
            <c:strRef>
              <c:strCache>
                <c:ptCount val="1"/>
                <c:pt idx="0">
                  <c:v>(scan issues)</c:v>
                </c:pt>
              </c:strCache>
            </c:strRef>
          </c:tx>
          <c:spPr>
            <a:solidFill>
              <a:srgbClr val="4472C4"/>
            </a:solidFill>
            <a:ln w="3175">
              <a:solidFill>
                <a:srgbClr val="FFFFFF"/>
              </a:solidFill>
            </a:ln>
          </c:spPr>
          <c:cat>
            <c:strRef>
              <c:strCache>
                <c:ptCount val="13"/>
                <c:pt idx="0">
                  <c:v/>
                </c:pt>
                <c:pt idx="1">
                  <c:v>2024</c:v>
                </c:pt>
                <c:pt idx="2">
                  <c:v/>
                </c:pt>
                <c:pt idx="3">
                  <c:v/>
                </c:pt>
                <c:pt idx="4">
                  <c:v/>
                </c:pt>
                <c:pt idx="5">
                  <c:v>2025</c:v>
                </c:pt>
                <c:pt idx="6">
                  <c:v/>
                </c:pt>
                <c:pt idx="7">
                  <c:v/>
                </c:pt>
                <c:pt idx="8">
                  <c:v/>
                </c:pt>
                <c:pt idx="9">
                  <c:v>2026</c:v>
                </c:pt>
                <c:pt idx="10">
                  <c:v/>
                </c:pt>
                <c:pt idx="11">
                  <c:v/>
                </c:pt>
                <c:pt idx="12">
                  <c:v/>
                </c:pt>
              </c:strCache>
            </c:strRef>
          </c:cat>
          <c:val>
            <c:numRef>
              <c:numCache>
                <c:formatCode>0.0</c:formatCode>
                <c:ptCount val="13"/>
                <c:pt idx="0">
                  <c:v>10.2</c:v>
                </c:pt>
                <c:pt idx="1">
                  <c:v>10.1</c:v>
                </c:pt>
                <c:pt idx="2">
                  <c:v>10.1</c:v>
                </c:pt>
                <c:pt idx="3">
                  <c:v>9.9</c:v>
                </c:pt>
                <c:pt idx="4">
                  <c:v>10.2</c:v>
                </c:pt>
                <c:pt idx="5">
                  <c:v>10.2</c:v>
                </c:pt>
                <c:pt idx="6">
                  <c:v>10.2</c:v>
                </c:pt>
                <c:pt idx="7">
                  <c:v>10.2</c:v>
                </c:pt>
                <c:pt idx="8">
                  <c:v>10.2</c:v>
                </c:pt>
                <c:pt idx="9">
                  <c:v>9.7</c:v>
                </c:pt>
                <c:pt idx="10">
                  <c:v>9.6</c:v>
                </c:pt>
                <c:pt idx="11">
                  <c:v>9.6</c:v>
                </c:pt>
                <c:pt idx="12">
                  <c:v>9.6</c:v>
                </c:pt>
              </c:numCache>
            </c:numRef>
          </c:val>
        </c:ser>
        <c:ser>
          <c:idx val="1"/>
          <c:order val="1"/>
          <c:tx>
            <c:strRef>
              <c:strCache>
                <c:ptCount val="1"/>
                <c:pt idx="0">
                  <c:v>Other</c:v>
                </c:pt>
              </c:strCache>
            </c:strRef>
          </c:tx>
          <c:spPr>
            <a:solidFill>
              <a:srgbClr val="ED7D31"/>
            </a:solidFill>
            <a:ln w="3175">
              <a:solidFill>
                <a:srgbClr val="FFFFFF"/>
              </a:solidFill>
            </a:ln>
          </c:spPr>
          <c:cat>
            <c:strRef>
              <c:strCache>
                <c:ptCount val="13"/>
                <c:pt idx="0">
                  <c:v/>
                </c:pt>
                <c:pt idx="1">
                  <c:v>2024</c:v>
                </c:pt>
                <c:pt idx="2">
                  <c:v/>
                </c:pt>
                <c:pt idx="3">
                  <c:v/>
                </c:pt>
                <c:pt idx="4">
                  <c:v/>
                </c:pt>
                <c:pt idx="5">
                  <c:v>2025</c:v>
                </c:pt>
                <c:pt idx="6">
                  <c:v/>
                </c:pt>
                <c:pt idx="7">
                  <c:v/>
                </c:pt>
                <c:pt idx="8">
                  <c:v/>
                </c:pt>
                <c:pt idx="9">
                  <c:v>2026</c:v>
                </c:pt>
                <c:pt idx="10">
                  <c:v/>
                </c:pt>
                <c:pt idx="11">
                  <c:v/>
                </c:pt>
                <c:pt idx="12">
                  <c:v/>
                </c:pt>
              </c:strCache>
            </c:strRef>
          </c:cat>
          <c:val>
            <c:numRef>
              <c:numCache>
                <c:formatCode>0.0</c:formatCode>
                <c:ptCount val="13"/>
                <c:pt idx="0">
                  <c:v>28.2</c:v>
                </c:pt>
                <c:pt idx="1">
                  <c:v>27.8</c:v>
                </c:pt>
                <c:pt idx="2">
                  <c:v>27.8</c:v>
                </c:pt>
                <c:pt idx="3">
                  <c:v>27.9</c:v>
                </c:pt>
                <c:pt idx="4">
                  <c:v>27.4</c:v>
                </c:pt>
                <c:pt idx="5">
                  <c:v>27.4</c:v>
                </c:pt>
                <c:pt idx="6">
                  <c:v>27.4</c:v>
                </c:pt>
                <c:pt idx="7">
                  <c:v>27.4</c:v>
                </c:pt>
                <c:pt idx="8">
                  <c:v>27.4</c:v>
                </c:pt>
                <c:pt idx="9">
                  <c:v>26.6</c:v>
                </c:pt>
                <c:pt idx="10">
                  <c:v>26.7</c:v>
                </c:pt>
                <c:pt idx="11">
                  <c:v>26.7</c:v>
                </c:pt>
                <c:pt idx="12">
                  <c:v>26.7</c:v>
                </c:pt>
              </c:numCache>
            </c:numRef>
          </c:val>
        </c:ser>
        <c:ser>
          <c:idx val="2"/>
          <c:order val="2"/>
          <c:tx>
            <c:strRef>
              <c:strCache>
                <c:ptCount val="1"/>
                <c:pt idx="0">
                  <c:v>cpan.org</c:v>
                </c:pt>
              </c:strCache>
            </c:strRef>
          </c:tx>
          <c:spPr>
            <a:solidFill>
              <a:srgbClr val="A5A5A5"/>
            </a:solidFill>
            <a:ln w="3175">
              <a:solidFill>
                <a:srgbClr val="FFFFFF"/>
              </a:solidFill>
            </a:ln>
          </c:spPr>
          <c:cat>
            <c:strRef>
              <c:strCache>
                <c:ptCount val="13"/>
                <c:pt idx="0">
                  <c:v/>
                </c:pt>
                <c:pt idx="1">
                  <c:v>2024</c:v>
                </c:pt>
                <c:pt idx="2">
                  <c:v/>
                </c:pt>
                <c:pt idx="3">
                  <c:v/>
                </c:pt>
                <c:pt idx="4">
                  <c:v/>
                </c:pt>
                <c:pt idx="5">
                  <c:v>2025</c:v>
                </c:pt>
                <c:pt idx="6">
                  <c:v/>
                </c:pt>
                <c:pt idx="7">
                  <c:v/>
                </c:pt>
                <c:pt idx="8">
                  <c:v/>
                </c:pt>
                <c:pt idx="9">
                  <c:v>2026</c:v>
                </c:pt>
                <c:pt idx="10">
                  <c:v/>
                </c:pt>
                <c:pt idx="11">
                  <c:v/>
                </c:pt>
                <c:pt idx="12">
                  <c:v/>
                </c:pt>
              </c:strCache>
            </c:strRef>
          </c:cat>
          <c:val>
            <c:numRef>
              <c:numCache>
                <c:formatCode>0.0</c:formatCode>
                <c:ptCount val="13"/>
                <c:pt idx="0">
                  <c:v>2.9</c:v>
                </c:pt>
                <c:pt idx="1">
                  <c:v>2.9</c:v>
                </c:pt>
                <c:pt idx="2">
                  <c:v>2.9</c:v>
                </c:pt>
                <c:pt idx="3">
                  <c:v>2.8</c:v>
                </c:pt>
                <c:pt idx="4">
                  <c:v>3.5</c:v>
                </c:pt>
                <c:pt idx="5">
                  <c:v>3.5</c:v>
                </c:pt>
                <c:pt idx="6">
                  <c:v>3.5</c:v>
                </c:pt>
                <c:pt idx="7">
                  <c:v>3.5</c:v>
                </c:pt>
                <c:pt idx="8">
                  <c:v>3.5</c:v>
                </c:pt>
                <c:pt idx="9">
                  <c:v>3.4</c:v>
                </c:pt>
                <c:pt idx="10">
                  <c:v>3.3</c:v>
                </c:pt>
                <c:pt idx="11">
                  <c:v>3.3</c:v>
                </c:pt>
                <c:pt idx="12">
                  <c:v>3.3</c:v>
                </c:pt>
              </c:numCache>
            </c:numRef>
          </c:val>
        </c:ser>
        <c:ser>
          <c:idx val="3"/>
          <c:order val="3"/>
          <c:tx>
            <c:strRef>
              <c:strCache>
                <c:ptCount val="1"/>
                <c:pt idx="0">
                  <c:v>github.com</c:v>
                </c:pt>
              </c:strCache>
            </c:strRef>
          </c:tx>
          <c:spPr>
            <a:solidFill>
              <a:srgbClr val="FFC000"/>
            </a:solidFill>
            <a:ln w="3175">
              <a:solidFill>
                <a:srgbClr val="FFFFFF"/>
              </a:solidFill>
            </a:ln>
          </c:spPr>
          <c:cat>
            <c:strRef>
              <c:strCache>
                <c:ptCount val="13"/>
                <c:pt idx="0">
                  <c:v/>
                </c:pt>
                <c:pt idx="1">
                  <c:v>2024</c:v>
                </c:pt>
                <c:pt idx="2">
                  <c:v/>
                </c:pt>
                <c:pt idx="3">
                  <c:v/>
                </c:pt>
                <c:pt idx="4">
                  <c:v/>
                </c:pt>
                <c:pt idx="5">
                  <c:v>2025</c:v>
                </c:pt>
                <c:pt idx="6">
                  <c:v/>
                </c:pt>
                <c:pt idx="7">
                  <c:v/>
                </c:pt>
                <c:pt idx="8">
                  <c:v/>
                </c:pt>
                <c:pt idx="9">
                  <c:v>2026</c:v>
                </c:pt>
                <c:pt idx="10">
                  <c:v/>
                </c:pt>
                <c:pt idx="11">
                  <c:v/>
                </c:pt>
                <c:pt idx="12">
                  <c:v/>
                </c:pt>
              </c:strCache>
            </c:strRef>
          </c:cat>
          <c:val>
            <c:numRef>
              <c:numCache>
                <c:formatCode>0.0</c:formatCode>
                <c:ptCount val="13"/>
                <c:pt idx="0">
                  <c:v>28.3</c:v>
                </c:pt>
                <c:pt idx="1">
                  <c:v>27.9</c:v>
                </c:pt>
                <c:pt idx="2">
                  <c:v>27.9</c:v>
                </c:pt>
                <c:pt idx="3">
                  <c:v>28.1</c:v>
                </c:pt>
                <c:pt idx="4">
                  <c:v>27.8</c:v>
                </c:pt>
                <c:pt idx="5">
                  <c:v>27.7</c:v>
                </c:pt>
                <c:pt idx="6">
                  <c:v>27.7</c:v>
                </c:pt>
                <c:pt idx="7">
                  <c:v>27.7</c:v>
                </c:pt>
                <c:pt idx="8">
                  <c:v>27.7</c:v>
                </c:pt>
                <c:pt idx="9">
                  <c:v>28.3</c:v>
                </c:pt>
                <c:pt idx="10">
                  <c:v>28.8</c:v>
                </c:pt>
                <c:pt idx="11">
                  <c:v>28.8</c:v>
                </c:pt>
                <c:pt idx="12">
                  <c:v>28.8</c:v>
                </c:pt>
              </c:numCache>
            </c:numRef>
          </c:val>
        </c:ser>
        <c:ser>
          <c:idx val="4"/>
          <c:order val="4"/>
          <c:tx>
            <c:strRef>
              <c:strCache>
                <c:ptCount val="1"/>
                <c:pt idx="0">
                  <c:v>gnu.org</c:v>
                </c:pt>
              </c:strCache>
            </c:strRef>
          </c:tx>
          <c:spPr>
            <a:solidFill>
              <a:srgbClr val="5B9BD5"/>
            </a:solidFill>
            <a:ln w="3175">
              <a:solidFill>
                <a:srgbClr val="FFFFFF"/>
              </a:solidFill>
            </a:ln>
          </c:spPr>
          <c:cat>
            <c:strRef>
              <c:strCache>
                <c:ptCount val="13"/>
                <c:pt idx="0">
                  <c:v/>
                </c:pt>
                <c:pt idx="1">
                  <c:v>2024</c:v>
                </c:pt>
                <c:pt idx="2">
                  <c:v/>
                </c:pt>
                <c:pt idx="3">
                  <c:v/>
                </c:pt>
                <c:pt idx="4">
                  <c:v/>
                </c:pt>
                <c:pt idx="5">
                  <c:v>2025</c:v>
                </c:pt>
                <c:pt idx="6">
                  <c:v/>
                </c:pt>
                <c:pt idx="7">
                  <c:v/>
                </c:pt>
                <c:pt idx="8">
                  <c:v/>
                </c:pt>
                <c:pt idx="9">
                  <c:v>2026</c:v>
                </c:pt>
                <c:pt idx="10">
                  <c:v/>
                </c:pt>
                <c:pt idx="11">
                  <c:v/>
                </c:pt>
                <c:pt idx="12">
                  <c:v/>
                </c:pt>
              </c:strCache>
            </c:strRef>
          </c:cat>
          <c:val>
            <c:numRef>
              <c:numCache>
                <c:formatCode>0.0</c:formatCode>
                <c:ptCount val="13"/>
                <c:pt idx="0">
                  <c:v>5.3</c:v>
                </c:pt>
                <c:pt idx="1">
                  <c:v>5.1</c:v>
                </c:pt>
                <c:pt idx="2">
                  <c:v>5.1</c:v>
                </c:pt>
                <c:pt idx="3">
                  <c:v>5.1</c:v>
                </c:pt>
                <c:pt idx="4">
                  <c:v>5.0</c:v>
                </c:pt>
                <c:pt idx="5">
                  <c:v>5.1</c:v>
                </c:pt>
                <c:pt idx="6">
                  <c:v>5.1</c:v>
                </c:pt>
                <c:pt idx="7">
                  <c:v>5.1</c:v>
                </c:pt>
                <c:pt idx="8">
                  <c:v>5.1</c:v>
                </c:pt>
                <c:pt idx="9">
                  <c:v>4.8</c:v>
                </c:pt>
                <c:pt idx="10">
                  <c:v>4.9</c:v>
                </c:pt>
                <c:pt idx="11">
                  <c:v>4.9</c:v>
                </c:pt>
                <c:pt idx="12">
                  <c:v>4.9</c:v>
                </c:pt>
              </c:numCache>
            </c:numRef>
          </c:val>
        </c:ser>
        <c:ser>
          <c:idx val="5"/>
          <c:order val="5"/>
          <c:tx>
            <c:strRef>
              <c:strCache>
                <c:ptCount val="1"/>
                <c:pt idx="0">
                  <c:v>kernel.org</c:v>
                </c:pt>
              </c:strCache>
            </c:strRef>
          </c:tx>
          <c:spPr>
            <a:solidFill>
              <a:srgbClr val="70AD47"/>
            </a:solidFill>
            <a:ln w="3175">
              <a:solidFill>
                <a:srgbClr val="FFFFFF"/>
              </a:solidFill>
            </a:ln>
          </c:spPr>
          <c:cat>
            <c:strRef>
              <c:strCache>
                <c:ptCount val="13"/>
                <c:pt idx="0">
                  <c:v/>
                </c:pt>
                <c:pt idx="1">
                  <c:v>2024</c:v>
                </c:pt>
                <c:pt idx="2">
                  <c:v/>
                </c:pt>
                <c:pt idx="3">
                  <c:v/>
                </c:pt>
                <c:pt idx="4">
                  <c:v/>
                </c:pt>
                <c:pt idx="5">
                  <c:v>2025</c:v>
                </c:pt>
                <c:pt idx="6">
                  <c:v/>
                </c:pt>
                <c:pt idx="7">
                  <c:v/>
                </c:pt>
                <c:pt idx="8">
                  <c:v/>
                </c:pt>
                <c:pt idx="9">
                  <c:v>2026</c:v>
                </c:pt>
                <c:pt idx="10">
                  <c:v/>
                </c:pt>
                <c:pt idx="11">
                  <c:v/>
                </c:pt>
                <c:pt idx="12">
                  <c:v/>
                </c:pt>
              </c:strCache>
            </c:strRef>
          </c:cat>
          <c:val>
            <c:numRef>
              <c:numCache>
                <c:formatCode>0.0</c:formatCode>
                <c:ptCount val="13"/>
                <c:pt idx="0">
                  <c:v>3.1</c:v>
                </c:pt>
                <c:pt idx="1">
                  <c:v>3.1</c:v>
                </c:pt>
                <c:pt idx="2">
                  <c:v>3.1</c:v>
                </c:pt>
                <c:pt idx="3">
                  <c:v>2.8</c:v>
                </c:pt>
                <c:pt idx="4">
                  <c:v>3.1</c:v>
                </c:pt>
                <c:pt idx="5">
                  <c:v>3.1</c:v>
                </c:pt>
                <c:pt idx="6">
                  <c:v>3.1</c:v>
                </c:pt>
                <c:pt idx="7">
                  <c:v>3.1</c:v>
                </c:pt>
                <c:pt idx="8">
                  <c:v>3.1</c:v>
                </c:pt>
                <c:pt idx="9">
                  <c:v>3.0</c:v>
                </c:pt>
                <c:pt idx="10">
                  <c:v>3.1</c:v>
                </c:pt>
                <c:pt idx="11">
                  <c:v>3.1</c:v>
                </c:pt>
                <c:pt idx="12">
                  <c:v>3.1</c:v>
                </c:pt>
              </c:numCache>
            </c:numRef>
          </c:val>
        </c:ser>
        <c:ser>
          <c:idx val="6"/>
          <c:order val="6"/>
          <c:tx>
            <c:strRef>
              <c:strCache>
                <c:ptCount val="1"/>
                <c:pt idx="0">
                  <c:v>pypi</c:v>
                </c:pt>
              </c:strCache>
            </c:strRef>
          </c:tx>
          <c:spPr>
            <a:solidFill>
              <a:srgbClr val="264478"/>
            </a:solidFill>
            <a:ln w="3175">
              <a:solidFill>
                <a:srgbClr val="FFFFFF"/>
              </a:solidFill>
            </a:ln>
          </c:spPr>
          <c:cat>
            <c:strRef>
              <c:strCache>
                <c:ptCount val="13"/>
                <c:pt idx="0">
                  <c:v/>
                </c:pt>
                <c:pt idx="1">
                  <c:v>2024</c:v>
                </c:pt>
                <c:pt idx="2">
                  <c:v/>
                </c:pt>
                <c:pt idx="3">
                  <c:v/>
                </c:pt>
                <c:pt idx="4">
                  <c:v/>
                </c:pt>
                <c:pt idx="5">
                  <c:v>2025</c:v>
                </c:pt>
                <c:pt idx="6">
                  <c:v/>
                </c:pt>
                <c:pt idx="7">
                  <c:v/>
                </c:pt>
                <c:pt idx="8">
                  <c:v/>
                </c:pt>
                <c:pt idx="9">
                  <c:v>2026</c:v>
                </c:pt>
                <c:pt idx="10">
                  <c:v/>
                </c:pt>
                <c:pt idx="11">
                  <c:v/>
                </c:pt>
                <c:pt idx="12">
                  <c:v/>
                </c:pt>
              </c:strCache>
            </c:strRef>
          </c:cat>
          <c:val>
            <c:numRef>
              <c:numCache>
                <c:formatCode>0.0</c:formatCode>
                <c:ptCount val="13"/>
                <c:pt idx="0">
                  <c:v>9.7</c:v>
                </c:pt>
                <c:pt idx="1">
                  <c:v>9.5</c:v>
                </c:pt>
                <c:pt idx="2">
                  <c:v>9.5</c:v>
                </c:pt>
                <c:pt idx="3">
                  <c:v>10.4</c:v>
                </c:pt>
                <c:pt idx="4">
                  <c:v>10.1</c:v>
                </c:pt>
                <c:pt idx="5">
                  <c:v>10.1</c:v>
                </c:pt>
                <c:pt idx="6">
                  <c:v>10.1</c:v>
                </c:pt>
                <c:pt idx="7">
                  <c:v>10.1</c:v>
                </c:pt>
                <c:pt idx="8">
                  <c:v>10.1</c:v>
                </c:pt>
                <c:pt idx="9">
                  <c:v>9.8</c:v>
                </c:pt>
                <c:pt idx="10">
                  <c:v>9.7</c:v>
                </c:pt>
                <c:pt idx="11">
                  <c:v>9.7</c:v>
                </c:pt>
                <c:pt idx="12">
                  <c:v>9.7</c:v>
                </c:pt>
              </c:numCache>
            </c:numRef>
          </c:val>
        </c:ser>
        <c:ser>
          <c:idx val="7"/>
          <c:order val="7"/>
          <c:tx>
            <c:strRef>
              <c:strCache>
                <c:ptCount val="1"/>
                <c:pt idx="0">
                  <c:v>rubygems.org</c:v>
                </c:pt>
              </c:strCache>
            </c:strRef>
          </c:tx>
          <c:spPr>
            <a:solidFill>
              <a:srgbClr val="9B59B6"/>
            </a:solidFill>
            <a:ln w="3175">
              <a:solidFill>
                <a:srgbClr val="FFFFFF"/>
              </a:solidFill>
            </a:ln>
          </c:spPr>
          <c:cat>
            <c:strRef>
              <c:strCache>
                <c:ptCount val="13"/>
                <c:pt idx="0">
                  <c:v/>
                </c:pt>
                <c:pt idx="1">
                  <c:v>2024</c:v>
                </c:pt>
                <c:pt idx="2">
                  <c:v/>
                </c:pt>
                <c:pt idx="3">
                  <c:v/>
                </c:pt>
                <c:pt idx="4">
                  <c:v/>
                </c:pt>
                <c:pt idx="5">
                  <c:v>2025</c:v>
                </c:pt>
                <c:pt idx="6">
                  <c:v/>
                </c:pt>
                <c:pt idx="7">
                  <c:v/>
                </c:pt>
                <c:pt idx="8">
                  <c:v/>
                </c:pt>
                <c:pt idx="9">
                  <c:v>2026</c:v>
                </c:pt>
                <c:pt idx="10">
                  <c:v/>
                </c:pt>
                <c:pt idx="11">
                  <c:v/>
                </c:pt>
                <c:pt idx="12">
                  <c:v/>
                </c:pt>
              </c:strCache>
            </c:strRef>
          </c:cat>
          <c:val>
            <c:numRef>
              <c:numCache>
                <c:formatCode>0.0</c:formatCode>
                <c:ptCount val="13"/>
                <c:pt idx="0">
                  <c:v>7.7</c:v>
                </c:pt>
                <c:pt idx="1">
                  <c:v>8.8</c:v>
                </c:pt>
                <c:pt idx="2">
                  <c:v>8.8</c:v>
                </c:pt>
                <c:pt idx="3">
                  <c:v>8.7</c:v>
                </c:pt>
                <c:pt idx="4">
                  <c:v>8.5</c:v>
                </c:pt>
                <c:pt idx="5">
                  <c:v>8.5</c:v>
                </c:pt>
                <c:pt idx="6">
                  <c:v>8.5</c:v>
                </c:pt>
                <c:pt idx="7">
                  <c:v>8.5</c:v>
                </c:pt>
                <c:pt idx="8">
                  <c:v>8.5</c:v>
                </c:pt>
                <c:pt idx="9">
                  <c:v>10.5</c:v>
                </c:pt>
                <c:pt idx="10">
                  <c:v>10.3</c:v>
                </c:pt>
                <c:pt idx="11">
                  <c:v>10.3</c:v>
                </c:pt>
                <c:pt idx="12">
                  <c:v>10.3</c:v>
                </c:pt>
              </c:numCache>
            </c:numRef>
          </c:val>
        </c:ser>
        <c:ser>
          <c:idx val="8"/>
          <c:order val="8"/>
          <c:tx>
            <c:strRef>
              <c:strCache>
                <c:ptCount val="1"/>
                <c:pt idx="0">
                  <c:v>sourceforge.net</c:v>
                </c:pt>
              </c:strCache>
            </c:strRef>
          </c:tx>
          <c:spPr>
            <a:solidFill>
              <a:srgbClr val="E74C3C"/>
            </a:solidFill>
            <a:ln w="3175">
              <a:solidFill>
                <a:srgbClr val="FFFFFF"/>
              </a:solidFill>
            </a:ln>
          </c:spPr>
          <c:cat>
            <c:strRef>
              <c:strCache>
                <c:ptCount val="13"/>
                <c:pt idx="0">
                  <c:v/>
                </c:pt>
                <c:pt idx="1">
                  <c:v>2024</c:v>
                </c:pt>
                <c:pt idx="2">
                  <c:v/>
                </c:pt>
                <c:pt idx="3">
                  <c:v/>
                </c:pt>
                <c:pt idx="4">
                  <c:v/>
                </c:pt>
                <c:pt idx="5">
                  <c:v>2025</c:v>
                </c:pt>
                <c:pt idx="6">
                  <c:v/>
                </c:pt>
                <c:pt idx="7">
                  <c:v/>
                </c:pt>
                <c:pt idx="8">
                  <c:v/>
                </c:pt>
                <c:pt idx="9">
                  <c:v>2026</c:v>
                </c:pt>
                <c:pt idx="10">
                  <c:v/>
                </c:pt>
                <c:pt idx="11">
                  <c:v/>
                </c:pt>
                <c:pt idx="12">
                  <c:v/>
                </c:pt>
              </c:strCache>
            </c:strRef>
          </c:cat>
          <c:val>
            <c:numRef>
              <c:numCache>
                <c:formatCode>0.0</c:formatCode>
                <c:ptCount val="13"/>
                <c:pt idx="0">
                  <c:v>4.4</c:v>
                </c:pt>
                <c:pt idx="1">
                  <c:v>5.1</c:v>
                </c:pt>
                <c:pt idx="2">
                  <c:v>5.1</c:v>
                </c:pt>
                <c:pt idx="3">
                  <c:v>4.3</c:v>
                </c:pt>
                <c:pt idx="4">
                  <c:v>4.4</c:v>
                </c:pt>
                <c:pt idx="5">
                  <c:v>4.4</c:v>
                </c:pt>
                <c:pt idx="6">
                  <c:v>4.4</c:v>
                </c:pt>
                <c:pt idx="7">
                  <c:v>4.4</c:v>
                </c:pt>
                <c:pt idx="8">
                  <c:v>4.4</c:v>
                </c:pt>
                <c:pt idx="9">
                  <c:v>3.8</c:v>
                </c:pt>
                <c:pt idx="10">
                  <c:v>3.8</c:v>
                </c:pt>
                <c:pt idx="11">
                  <c:v>3.8</c:v>
                </c:pt>
                <c:pt idx="12">
                  <c:v>3.8</c:v>
                </c:pt>
              </c:numCache>
            </c:numRef>
          </c:val>
        </c:ser>
        <c:overlap val="100"/>
        <c:gapWidth val="50"/>
        <c:axId val="1"/>
        <c:axId val="2"/>
      </c:barChart>
      <c:catAx>
        <c:axId val="1"/>
        <c:scaling>
          <c:orientation val="minMax"/>
        </c:scaling>
        <c:delete val="0"/>
        <c:axPos val="b"/>
        <c:crossAx val="2"/>
        <c:tickLblSkip val="1"/>
        <c:txPr>
          <a:bodyPr rot="0" vert="horz"/>
          <a:lstStyle/>
          <a:p>
            <a:pPr>
              <a:defRPr sz="700"/>
            </a:pPr>
            <a:endParaRPr lang="en-US"/>
          </a:p>
        </c:txPr>
      </c:catAx>
      <c:valAx>
        <c:axId val="2"/>
        <c:scaling>
          <c:orientation val="minMax"/>
          <c:min val="0"/>
          <c:max val="1"/>
        </c:scaling>
        <c:delete val="0"/>
        <c:axPos val="l"/>
        <c:crossAx val="1"/>
        <c:numFmt formatCode="0%" sourceLinked="0"/>
        <c:majorUnit val="0.2"/>
        <c:txPr>
          <a:bodyPr/>
          <a:lstStyle/>
          <a:p>
            <a:pPr>
              <a:defRPr sz="700"/>
            </a:pPr>
            <a:endParaRPr lang="en-US"/>
          </a:p>
        </c:txPr>
      </c:valAx>
    </c:plotArea>
    <c:legend>
      <c:legendPos val="b"/>
      <c:overlay val="0"/>
    </c:legend>
    <c:plotVisOnly val="1"/>
  </c:chart>
</c:chartSpace>
</file>