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2E5C8A"/>
          <w:sz w:val="80"/>
        </w:rPr>
        <w:t>JavAI Extensions</w:t>
      </w:r>
    </w:p>
    <w:p>
      <w:pPr>
        <w:jc w:val="center"/>
      </w:pPr>
      <w:r>
        <w:rPr>
          <w:color w:val="555555"/>
          <w:sz w:val="36"/>
        </w:rPr>
        <w:t>A Validated Extension Layer for the Java Platform</w:t>
      </w:r>
    </w:p>
    <w:p>
      <w:pPr>
        <w:spacing w:before="120"/>
        <w:jc w:val="center"/>
      </w:pPr>
      <w:r>
        <w:rPr>
          <w:i/>
          <w:color w:val="555555"/>
          <w:sz w:val="26"/>
        </w:rPr>
        <w:t>Design Whitepaper, Primitive Typology &amp; Implementation Roadmap</w:t>
      </w:r>
    </w:p>
    <w:p>
      <w:pPr>
        <w:spacing w:before="1200"/>
        <w:jc w:val="center"/>
      </w:pPr>
      <w:r>
        <w:rPr>
          <w:color w:val="555555"/>
          <w:sz w:val="22"/>
        </w:rPr>
        <w:t>Working draft — July 7, 2026</w:t>
      </w:r>
    </w:p>
    <w:p>
      <w:pPr>
        <w:spacing w:before="200"/>
        <w:jc w:val="center"/>
      </w:pPr>
      <w:r>
        <w:rPr>
          <w:i/>
          <w:color w:val="555555"/>
          <w:sz w:val="20"/>
        </w:rPr>
        <w:t>Renamed from an earlier working name, “JAI,” after discovering a collision with an existing, actively developed language (Jonathan Blow’s Jai), then reframed from a standalone language to “JavAI Extensions” — an extension layer and validation testbed for Java itself. See §1 and §11.1. Code-level identifiers keep the shorter “JavAI” prefix (JavAIVectorizable, JavAIPI, etc.); “JavAI Extensions” names the project.</w:t>
      </w:r>
    </w:p>
    <w:p>
      <w:r>
        <w:br w:type="page"/>
      </w:r>
    </w:p>
    <w:p>
      <w:pPr>
        <w:pStyle w:val="Heading1"/>
      </w:pPr>
      <w:r>
        <w:t>1. Executive Summary</w:t>
      </w:r>
    </w:p>
    <w:p>
      <w:pPr>
        <w:spacing w:after="160"/>
      </w:pPr>
      <w:r>
        <w:rPr>
          <w:b w:val="0"/>
          <w:i w:val="0"/>
        </w:rPr>
        <w:t>JavAI Extensions (renamed from an earlier working name, JAI, to avoid colliding with an existing language — see §11.1) is a proposed set of extensions to Java — not a new language — that make semantic embedding vectors, knowledge-graph structure, and LLM-codegen guidance first-class, automatically-maintained properties of the object model itself, rather than infrastructure bolted on after the fact. The project exists to validate that design space against real usage: extensions that prove their worth are candidates for proposal back to Java itself; extensions that don't remain a self-contained library, never a stranded fork. Code and prose throughout this document use the shorter “JavAI” as shorthand for the project and as the shared prefix on generated types (JavAIVectorizable, JavAIPI, JavAIList, and so on) — “JavAI Extensions” is the full project name.</w:t>
      </w:r>
    </w:p>
    <w:p>
      <w:pPr>
        <w:spacing w:after="160"/>
      </w:pPr>
      <w:r>
        <w:rPr>
          <w:b w:val="0"/>
          <w:i w:val="0"/>
        </w:rPr>
        <w:t>Its central bet, checked against current prior art, is a genuine gap: no existing ORM, object-graph mapper, or programming language automatically re-embeds an object as a side effect of mutating it. Vector databases, pgvector/Hibernate integrations, and even the mature Java graph-object mapper (Neo4j-OGM) all treat vectorization as a manual, explicit application-level step. JavAI proposes making it an object-model-level invariant: vectorizable fields are re-embedded automatically on mutation, container and containment-graph “summary vectors” stay consistent via lazy, cycle-safe dependency propagation, and the resulting vectors are queryable — by similarity, by graph structure, or both — against either the live in-process object graph or a persisted third-party store, with GPU acceleration available but never required for correctness.</w:t>
      </w:r>
    </w:p>
    <w:p>
      <w:pPr>
        <w:spacing w:after="160"/>
      </w:pPr>
      <w:r>
        <w:rPr>
          <w:b w:val="0"/>
          <w:i w:val="0"/>
        </w:rPr>
        <w:t>Rather than committing up front to a from-scratch language or a JVM fork, JavAI Extensions treats an eventual real compiler as one candidate delivery mechanism for whichever extensions prove valuable — not the goal in itself (§9.1's Golden Contract: every extension here must work as a plain library plus runtime bytecode weaving first). If and when deeper tooling is warranted, the path runs through the same sanctioned extension points used throughout: the javac Plugin API, invokedynamic, Hibernate-style bytecode enhancement, and the now-finalized Panama Foreign Function &amp; Memory API. Every JavAI-compiled or JavAI-woven class is a fully valid, standalone class file that runs correctly on any stock JDK 21+; any custom-optimized runtime is strictly an optional accelerated backend, never a requirement.</w:t>
      </w:r>
    </w:p>
    <w:p>
      <w:pPr>
        <w:spacing w:after="160"/>
      </w:pPr>
      <w:r>
        <w:rPr>
          <w:b w:val="0"/>
          <w:i w:val="0"/>
        </w:rPr>
        <w:t>This report lays out the primitive-level design, surveys competing and adjacent prior art, proposes a four-phase validation roadmap that proves out every extension as a library before any compiler work begins, and concludes with a conditional-go recommendation whose success criteria are upstream interest or continued niche utility — not language-market share.</w:t>
      </w:r>
    </w:p>
    <w:p>
      <w:pPr>
        <w:pStyle w:val="Heading1"/>
      </w:pPr>
      <w:r>
        <w:t>2. Vision</w:t>
      </w:r>
    </w:p>
    <w:p>
      <w:pPr>
        <w:spacing w:after="160"/>
      </w:pPr>
      <w:r>
        <w:rPr>
          <w:b w:val="0"/>
          <w:i w:val="0"/>
        </w:rPr>
        <w:t>The starting question was what “AI-native” could mean for a programming language. Three largely independent axes came up:</w:t>
      </w:r>
    </w:p>
    <w:p>
      <w:pPr>
        <w:pStyle w:val="ListBullet"/>
      </w:pPr>
      <w:r>
        <w:t>LLM-native syntax — a grammar and semantics unambiguous enough that an LLM generating code token-by-token rarely produces subtly wrong output.</w:t>
      </w:r>
    </w:p>
    <w:p>
      <w:pPr>
        <w:pStyle w:val="ListBullet"/>
      </w:pPr>
      <w:r>
        <w:t>Built-in AI/ML primitives — first-class types for prompts, model calls, and structured output, with an effect system that tags model calls as non-deterministic/costly.</w:t>
      </w:r>
    </w:p>
    <w:p>
      <w:pPr>
        <w:pStyle w:val="ListBullet"/>
      </w:pPr>
      <w:r>
        <w:t>Self-describing, verifiable code — contracts and invariants as language constructs, giving an agent a hard compiler-checked pass/fail signal instead of vague runtime feedback.</w:t>
      </w:r>
    </w:p>
    <w:p>
      <w:pPr>
        <w:spacing w:after="160"/>
      </w:pPr>
      <w:r>
        <w:rPr>
          <w:b w:val="0"/>
          <w:i w:val="0"/>
        </w:rPr>
        <w:t>The direction that emerged through discussion is more specific than any single axis, and — per the research in §8 — appears to be genuinely unoccupied ground: not a new language, but an extension layer over Java's existing object model, in which every object's semantic content is continuously and automatically embedded, hierarchically summarized across its containment and reference graph, and queryable by similarity and structure together. The “LLM-informing” layer from axis one and three rides on the same annotation mechanism that governs search visibility, rather than being a separate system.</w:t>
      </w:r>
    </w:p>
    <w:p>
      <w:pPr>
        <w:spacing w:after="160"/>
      </w:pPr>
      <w:r>
        <w:rPr>
          <w:b w:val="0"/>
          <w:i w:val="0"/>
        </w:rPr>
        <w:t>Guiding philosophy: JavAI Extensions exists to validate this design space against real usage, not to establish a permanent parallel ecosystem. Individual extensions that earn their keep are candidates for proposal back to the Java platform itself — as a JEP, a widely-adopted library convention, or both — following the precedent OpenJDK's own incubator projects (Loom, Panama, Amber) and influential community tooling (Lombok's fingerprints on records and var; Kotlin's null-safety and data classes informing ongoing Java proposals) have already set. Extensions that don't earn adoption remain a useful, self-contained library — not a stranded fork nobody asked for. This reframes the project's own success criteria, covered further in §10.3.</w:t>
      </w:r>
    </w:p>
    <w:p>
      <w:pPr>
        <w:pStyle w:val="Heading2"/>
      </w:pPr>
      <w:r>
        <w:t>2.1 Priority Feature List</w:t>
      </w:r>
    </w:p>
    <w:p>
      <w:pPr>
        <w:pStyle w:val="ListBullet"/>
      </w:pPr>
      <w:r>
        <w:t>Vector search across the object graph — embedding vectors attached to in-memory structures, automatically kept current and searchable.</w:t>
      </w:r>
    </w:p>
    <w:p>
      <w:pPr>
        <w:pStyle w:val="ListBullet"/>
      </w:pPr>
      <w:r>
        <w:t>An ORM that integrates vector search natively, so persistence inherently includes vectorization.</w:t>
      </w:r>
    </w:p>
    <w:p>
      <w:pPr>
        <w:pStyle w:val="ListBullet"/>
      </w:pPr>
      <w:r>
        <w:t>Native support for knowledge graphs as a first-class collection type.</w:t>
      </w:r>
    </w:p>
    <w:p>
      <w:pPr>
        <w:pStyle w:val="ListBullet"/>
      </w:pPr>
      <w:r>
        <w:t>Meta-code (annotations) that controls search visibility of fields — a public/private/protected analog for semantic search.</w:t>
      </w:r>
    </w:p>
    <w:p>
      <w:pPr>
        <w:pStyle w:val="ListBullet"/>
      </w:pPr>
      <w:r>
        <w:t>Meta-code that guides LLM-driven code generation and validation.</w:t>
      </w:r>
    </w:p>
    <w:p>
      <w:pPr>
        <w:pStyle w:val="ListBullet"/>
      </w:pPr>
      <w:r>
        <w:t>Built-in local embedding-vector generation.</w:t>
      </w:r>
    </w:p>
    <w:p>
      <w:pPr>
        <w:pStyle w:val="ListBullet"/>
      </w:pPr>
      <w:r>
        <w:t>GPU-accelerated cosine-similarity evaluation, usable both against a persisted database and against the live runtime object graph.</w:t>
      </w:r>
    </w:p>
    <w:p>
      <w:pPr>
        <w:spacing w:after="160"/>
      </w:pPr>
      <w:r>
        <w:rPr>
          <w:b w:val="0"/>
          <w:i w:val="0"/>
        </w:rPr>
        <w:t>Vectorizable fields are re-embedded automatically whenever they are modified. Every object also carries summary vectors describing both itself and the object graph it contains; container classes and graph data structures are optimized for vector search in the same way and carry their own summary vectors. This is the core mechanic the rest of the design serves.</w:t>
      </w:r>
    </w:p>
    <w:p>
      <w:r>
        <w:br w:type="page"/>
      </w:r>
    </w:p>
    <w:p>
      <w:pPr>
        <w:pStyle w:val="Heading1"/>
      </w:pPr>
      <w:r>
        <w:t>3. The Hard Design Constraint: The Interop Guarantee</w:t>
      </w:r>
    </w:p>
    <w:p>
      <w:pPr>
        <w:spacing w:after="160"/>
      </w:pPr>
      <w:r>
        <w:rPr>
          <w:b w:val="0"/>
          <w:i w:val="0"/>
        </w:rPr>
        <w:t>The single most consequential decision in this design is a hard, non-negotiable constraint:</w:t>
      </w:r>
    </w:p>
    <w:p>
      <w:pPr>
        <w:ind w:left="576"/>
      </w:pPr>
      <w:r>
        <w:rPr>
          <w:i/>
          <w:color w:val="2E5C8A"/>
        </w:rPr>
        <w:t>A JavAI-compiled class must always be a complete, correct, standalone standard JVM class file, runnable on any stock JDK, with the JavAI runtime as an ordinary classpath dependency. Any custom JVM, GPU dispatch, or modified bytecode is allowed to exist only as an optional accelerated execution path with a required correct fallback — never as a requirement for the semantics to work at all.</w:t>
      </w:r>
    </w:p>
    <w:p>
      <w:pPr>
        <w:spacing w:after="160"/>
      </w:pPr>
      <w:r>
        <w:rPr>
          <w:b w:val="0"/>
          <w:i w:val="0"/>
        </w:rPr>
        <w:t>This resolves what is otherwise the project's central risk. Calling existing Java from JavAI is essentially free: a JVM method call is resolved by class name and method signature, not by which compiler produced the target class file, which is exactly why Kotlin, Scala, Groovy, and Clojure all call arbitrary Java libraries with no special effort. The harder direction — existing, unmodified Java code calling JavAI-compiled code and getting correct behavior — is not automatic, and depends entirely on where the “magic” lives. If vectorization and dependency-propagation logic are compiled directly into the ordinary bytecode of a class's own methods (§4.3), a plain Java program calling that method on a stock JVM gets full JavAI behavior for free. If, instead, correctness depended on new bytecode instructions only a custom JVM understood, a JavAI-compiled class would fail to verify anywhere else — at which point JavAI would not be a Java superset with optional acceleration, but a separate platform that merely resembles Java, and every consumer would be forced onto a custom runtime just to call one method.</w:t>
      </w:r>
    </w:p>
    <w:p>
      <w:pPr>
        <w:spacing w:after="160"/>
      </w:pPr>
      <w:r>
        <w:rPr>
          <w:b w:val="0"/>
          <w:i w:val="0"/>
        </w:rPr>
        <w:t>This is the same design pattern the JDK itself already uses for jdk.incubator.vector: JIT-compile to real SIMD hardware instructions when available, fall back to correct scalar code otherwise. JavAI applies the identical discipline to embedding vectors and similarity search.</w:t>
      </w:r>
    </w:p>
    <w:p>
      <w:pPr>
        <w:spacing w:after="160"/>
      </w:pPr>
      <w:r>
        <w:rPr>
          <w:b w:val="0"/>
          <w:i w:val="0"/>
        </w:rPr>
        <w:t>One honest caveat: “interoperates” and “feels native” are not the same thing. Any JavAI-only type-system feature will be visible to plain Java as just another class with methods — fully callable, but without JavAI's syntactic sugar. This is the same, well-precedented cost every JVM guest language pays (Java calling Kotlin data classes or Scala case classes is common and unremarkable, just less pretty than native use) — not a sign the design is broken.</w:t>
      </w:r>
    </w:p>
    <w:p>
      <w:pPr>
        <w:pStyle w:val="Heading1"/>
      </w:pPr>
      <w:r>
        <w:t>4. Architecture Overview</w:t>
      </w:r>
    </w:p>
    <w:p>
      <w:pPr>
        <w:pStyle w:val="Heading2"/>
      </w:pPr>
      <w:r>
        <w:t>4.1 Compiler (javaic)</w:t>
      </w:r>
    </w:p>
    <w:p>
      <w:pPr>
        <w:spacing w:after="160"/>
      </w:pPr>
      <w:r>
        <w:rPr>
          <w:b w:val="0"/>
          <w:i w:val="0"/>
        </w:rPr>
        <w:t>javaic is built as a plugin on top of stock javac using the sanctioned javac Plugin SPI (-Xplugin), following the model already proven by Manifold — an actively maintained project (release 2026.1.6, supporting JDK 8 through 25+) that extends Java's type system through a legitimate compiler extension point rather than hacking javac's internal, unsupported Tree API. That internal-API approach is Project Lombok's mechanism, and it is the field's clearest cautionary tale: Lombok has repeatedly broken across JDK releases (for example, version 1.18.36 threw NoClassDefFoundError under JDK 22), forcing a perpetual chase of every new javac internal. Building javaic on the same foundation Manifold uses — or depending on Manifold directly — avoids inheriting that fragility.</w:t>
      </w:r>
    </w:p>
    <w:p>
      <w:pPr>
        <w:spacing w:after="160"/>
      </w:pPr>
      <w:r>
        <w:rPr>
          <w:b w:val="0"/>
          <w:i w:val="0"/>
        </w:rPr>
        <w:t>The strict-superset promise operates at the source level: javaic must correctly compile 100% of existing, valid .java files, plus new JavAI syntax and annotations. Stock javac will never understand .javai-only syntax — that asymmetry is expected and unproblematic, the same relationship a C++ compiler has to C. Recommended parsing strategy: extend javac's own parser/Compiler Tree API directly rather than writing an independent ANTLR grammar, since this guarantees byte-for-byte agreement with whatever javac itself accepts and removes the risk of grammar drift — the single biggest threat to the superset claim. An external grammar tool (ANTLR, or hand-written recursive descent) should be reserved for genuinely new syntax the Plugin SPI can't express, if that ever becomes necessary.</w:t>
      </w:r>
    </w:p>
    <w:p>
      <w:pPr>
        <w:spacing w:after="160"/>
      </w:pPr>
      <w:r>
        <w:rPr>
          <w:b w:val="0"/>
          <w:i w:val="0"/>
        </w:rPr>
        <w:t>Output is always standard JVM bytecode: no new opcodes, verifiable on any JDK 21+.</w:t>
      </w:r>
    </w:p>
    <w:p>
      <w:pPr>
        <w:spacing w:after="160"/>
      </w:pPr>
      <w:r>
        <w:rPr>
          <w:b w:val="0"/>
          <w:i w:val="0"/>
        </w:rPr>
        <w:t>javaic itself is not on the critical path for a functionally complete developer experience, though — §9.1 covers a Phase 0 that delivers the entire surface described in §5 and §6 via runtime bytecode weaving (the same ByteBuddy-based mechanism Hibernate already uses for dirty-checking), with javaic arriving in Phase 1 purely as a performance and tooling upgrade over that already-working mechanism.</w:t>
      </w:r>
    </w:p>
    <w:p>
      <w:pPr>
        <w:pStyle w:val="Heading2"/>
      </w:pPr>
      <w:r>
        <w:t>4.2 Runtime &amp; Acceleration</w:t>
      </w:r>
    </w:p>
    <w:p>
      <w:pPr>
        <w:spacing w:after="160"/>
      </w:pPr>
      <w:r>
        <w:rPr>
          <w:b w:val="0"/>
          <w:i w:val="0"/>
        </w:rPr>
        <w:t>invokedynamic (JSR 292, introduced in Java 7) is the mechanism for choosing an embedding/similarity backend at a given call site without adding bytecode instructions. This was its original design purpose — letting JVM languages express dispatch semantics standard invoke instructions can't — and it is the same mechanism behind Java's own lambda expressions and, as of Kotlin 2.0, Kotlin's default lambda code generation.</w:t>
      </w:r>
    </w:p>
    <w:p>
      <w:pPr>
        <w:spacing w:after="160"/>
      </w:pPr>
      <w:r>
        <w:rPr>
          <w:b w:val="0"/>
          <w:i w:val="0"/>
        </w:rPr>
        <w:t>The Foreign Function &amp; Memory API (Project Panama) reached JEP 454 and finalized, unflagged status in JDK 22 (March 2024) — it has been stable for over two years as of this writing. It is already proven in production for exactly JavAI's GPU use case: cuvs-java, built on NVIDIA's cuVS library, uses the FFM API to expose GPU-accelerated vector search (IVF-Flat, IVF-PQ, CAGRA) to Java, and Elasticsearch has integrated it for in-process, same-node GPU vector indexing — a directly analogous architecture to what JavAI needs.</w:t>
      </w:r>
    </w:p>
    <w:p>
      <w:pPr>
        <w:spacing w:after="160"/>
      </w:pPr>
      <w:r>
        <w:rPr>
          <w:b w:val="0"/>
          <w:i w:val="0"/>
        </w:rPr>
        <w:t>A CPU fallback is always present and always correct; a GPU or otherwise-accelerated backend is chosen via the invokedynamic bootstrap when available. One naming note carried over from research: jdk.incubator.vector (the JDK's own SIMD-oriented Vector API) remains incubating — its eleventh incubation shipped as JEP 529 in JDK 26 (March 2026), a twelfth is proposed for JDK 27, and realistic finalization is not expected before JDK 30 or 31 (2027–2028), since it is blocked on Project Valhalla's value classes. JavAI should claim distinct terminology now — “embedding vector” / “summary vector” rather than bare “vector” — since this naming collision will persist for years, not resolve itself soon.</w:t>
      </w:r>
    </w:p>
    <w:p>
      <w:pPr>
        <w:pStyle w:val="Heading2"/>
      </w:pPr>
      <w:r>
        <w:t>4.3 Automatic Vectorization &amp; Dependency Propagation</w:t>
      </w:r>
    </w:p>
    <w:p>
      <w:pPr>
        <w:jc w:val="center"/>
      </w:pPr>
      <w:r>
        <w:drawing>
          <wp:inline xmlns:a="http://schemas.openxmlformats.org/drawingml/2006/main" xmlns:pic="http://schemas.openxmlformats.org/drawingml/2006/picture">
            <wp:extent cx="5120640" cy="6628697"/>
            <wp:docPr id="1" name="Picture 1"/>
            <wp:cNvGraphicFramePr>
              <a:graphicFrameLocks noChangeAspect="1"/>
            </wp:cNvGraphicFramePr>
            <a:graphic>
              <a:graphicData uri="http://schemas.openxmlformats.org/drawingml/2006/picture">
                <pic:pic>
                  <pic:nvPicPr>
                    <pic:cNvPr id="0" name="propagation.png"/>
                    <pic:cNvPicPr/>
                  </pic:nvPicPr>
                  <pic:blipFill>
                    <a:blip r:embed="rId10"/>
                    <a:stretch>
                      <a:fillRect/>
                    </a:stretch>
                  </pic:blipFill>
                  <pic:spPr>
                    <a:xfrm>
                      <a:off x="0" y="0"/>
                      <a:ext cx="5120640" cy="6628697"/>
                    </a:xfrm>
                    <a:prstGeom prst="rect"/>
                  </pic:spPr>
                </pic:pic>
              </a:graphicData>
            </a:graphic>
          </wp:inline>
        </w:drawing>
      </w:r>
    </w:p>
    <w:p>
      <w:pPr>
        <w:jc w:val="center"/>
      </w:pPr>
      <w:r>
        <w:rPr>
          <w:i/>
          <w:color w:val="555555"/>
          <w:sz w:val="19"/>
        </w:rPr>
        <w:t>Figure 1. Mutation-triggered, cycle-safe dirty propagation via a back-edge dependency graph.</w:t>
      </w:r>
    </w:p>
    <w:p>
      <w:pPr>
        <w:spacing w:after="160"/>
      </w:pPr>
      <w:r>
        <w:rPr>
          <w:b w:val="0"/>
          <w:i w:val="0"/>
        </w:rPr>
        <w:t>An early framing of this problem reached for a reference-counting analogy — walking the call stack on mutation to find what needs revectorizing. That mechanism doesn't work: the call stack only reflects what's in the current frames, not the full set of heap objects that hold a reference elsewhere. The applicable precedent is instead incremental-computation systems — Excel's recalculation engine, or frameworks like Salsa and Adapton — not reference counting.</w:t>
      </w:r>
    </w:p>
    <w:p>
      <w:pPr>
        <w:spacing w:after="160"/>
      </w:pPr>
      <w:r>
        <w:rPr>
          <w:b w:val="0"/>
          <w:i w:val="0"/>
        </w:rPr>
        <w:t>The mechanism: each object that participates in a containment or reference relationship keeps a back-edge set of weak references to its dependents, populated whenever that relationship is established. A mutation hook — compiled directly into the ordinary bytecode of the mutating setter at build time, the same trick Hibernate already uses via ByteBuddy for entity dirty-checking, exposed through a public SPI comparable to Hibernate's EnhancementContext — marks the object dirty and walks its dependents transitively, stopping at any node already marked dirty. That stopping rule makes the walk safe under cycles for free, and recomputation itself is lazy: the summary vector is not recomputed until the next read or similarity query, not on every write.</w:t>
      </w:r>
    </w:p>
    <w:p>
      <w:pPr>
        <w:spacing w:after="160"/>
      </w:pPr>
      <w:r>
        <w:rPr>
          <w:b w:val="0"/>
          <w:i w:val="0"/>
        </w:rPr>
        <w:t>JVMTI-based field-watch mechanisms were evaluated and rejected as the primary path: field-access/modification event notifications carry roughly one to two orders of magnitude more overhead than ordinary bytecode instrumentation, appropriate for occasional debugging, not an always-on production hot path. Separately, Instrumentation.redefineClasses (the standard -javaagent live-redefinition route) can only change method bodies, not add fields — so it cannot retrofit the back-edge bookkeeping onto an already-loaded class regardless of overhead. Build-time or class-load-time bytecode rewriting is both faster and the only mechanism that can add the needed schema at all.</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C586C0"/>
                <w:sz w:val="19"/>
              </w:rPr>
              <w:t>@JavAIVectorizable</w:t>
            </w:r>
            <w:r>
              <w:rPr>
                <w:rFonts w:ascii="Consolas" w:hAnsi="Consolas"/>
                <w:color w:val="D4D4D4"/>
                <w:sz w:val="19"/>
              </w:rPr>
              <w:t xml:space="preserve">   </w:t>
            </w:r>
            <w:r>
              <w:rPr>
                <w:rFonts w:ascii="Consolas" w:hAnsi="Consolas"/>
                <w:i/>
                <w:color w:val="6A9955"/>
                <w:sz w:val="19"/>
              </w:rPr>
              <w:t>// compiler implements JavAIVectorizable's methods on this class</w:t>
            </w:r>
          </w:p>
          <w:p>
            <w:pPr>
              <w:spacing w:before="0" w:after="0" w:line="240" w:lineRule="auto"/>
            </w:pPr>
            <w:r>
              <w:rPr>
                <w:rFonts w:ascii="Consolas" w:hAnsi="Consolas"/>
                <w:color w:val="C586C0"/>
                <w:sz w:val="19"/>
              </w:rPr>
              <w:t>@JavAIGraphNode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 xml:space="preserve"> {</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@Vectorize</w:t>
            </w:r>
            <w:r>
              <w:rPr>
                <w:rFonts w:ascii="Consolas" w:hAnsi="Consolas"/>
                <w:color w:val="D4D4D4"/>
                <w:sz w:val="19"/>
              </w:rPr>
              <w:t xml:space="preserve"> </w:t>
            </w:r>
            <w:r>
              <w:rPr>
                <w:rFonts w:ascii="Consolas" w:hAnsi="Consolas"/>
                <w:color w:val="C586C0"/>
                <w:sz w:val="19"/>
              </w:rPr>
              <w:t>@SearchVisibility</w:t>
            </w:r>
            <w:r>
              <w:rPr>
                <w:rFonts w:ascii="Consolas" w:hAnsi="Consolas"/>
                <w:color w:val="D4D4D4"/>
                <w:sz w:val="19"/>
              </w:rPr>
              <w:t>(</w:t>
            </w:r>
            <w:r>
              <w:rPr>
                <w:rFonts w:ascii="Consolas" w:hAnsi="Consolas"/>
                <w:color w:val="4EC9C0"/>
                <w:sz w:val="19"/>
              </w:rPr>
              <w:t>PUBLIC</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title;</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@Vectorize</w:t>
            </w:r>
            <w:r>
              <w:rPr>
                <w:rFonts w:ascii="Consolas" w:hAnsi="Consolas"/>
                <w:color w:val="D4D4D4"/>
                <w:sz w:val="19"/>
              </w:rPr>
              <w:t xml:space="preserve"> </w:t>
            </w:r>
            <w:r>
              <w:rPr>
                <w:rFonts w:ascii="Consolas" w:hAnsi="Consolas"/>
                <w:color w:val="C586C0"/>
                <w:sz w:val="19"/>
              </w:rPr>
              <w:t>@SearchVisibility</w:t>
            </w:r>
            <w:r>
              <w:rPr>
                <w:rFonts w:ascii="Consolas" w:hAnsi="Consolas"/>
                <w:color w:val="D4D4D4"/>
                <w:sz w:val="19"/>
              </w:rPr>
              <w:t>(</w:t>
            </w:r>
            <w:r>
              <w:rPr>
                <w:rFonts w:ascii="Consolas" w:hAnsi="Consolas"/>
                <w:color w:val="4EC9C0"/>
                <w:sz w:val="19"/>
              </w:rPr>
              <w:t>PROTECTED</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body;</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CDCAA"/>
                <w:sz w:val="19"/>
              </w:rPr>
              <w:t>setBody</w:t>
            </w:r>
            <w:r>
              <w:rPr>
                <w:rFonts w:ascii="Consolas" w:hAnsi="Consolas"/>
                <w:color w:val="D4D4D4"/>
                <w:sz w:val="19"/>
              </w:rPr>
              <w:t>(</w:t>
            </w:r>
            <w:r>
              <w:rPr>
                <w:rFonts w:ascii="Consolas" w:hAnsi="Consolas"/>
                <w:color w:val="4EC9C0"/>
                <w:sz w:val="19"/>
              </w:rPr>
              <w:t>String</w:t>
            </w:r>
            <w:r>
              <w:rPr>
                <w:rFonts w:ascii="Consolas" w:hAnsi="Consolas"/>
                <w:color w:val="D4D4D4"/>
                <w:sz w:val="19"/>
              </w:rPr>
              <w:t xml:space="preserve"> body) {</w:t>
            </w:r>
          </w:p>
          <w:p>
            <w:pPr>
              <w:spacing w:before="0" w:after="0" w:line="240" w:lineRule="auto"/>
            </w:pP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.body = body;</w:t>
            </w:r>
          </w:p>
          <w:p>
            <w:pPr>
              <w:spacing w:before="0" w:after="0" w:line="240" w:lineRule="auto"/>
            </w:pPr>
            <w:r>
              <w:rPr>
                <w:rFonts w:ascii="Consolas" w:hAnsi="Consolas"/>
                <w:color w:val="D4D4D4"/>
                <w:sz w:val="19"/>
              </w:rPr>
              <w:t xml:space="preserve">        </w:t>
            </w:r>
            <w:r>
              <w:rPr>
                <w:rFonts w:ascii="Consolas" w:hAnsi="Consolas"/>
                <w:i/>
                <w:color w:val="6A9955"/>
                <w:sz w:val="19"/>
              </w:rPr>
              <w:t>// javaic-compiled hook runs here automatically:</w:t>
            </w:r>
          </w:p>
          <w:p>
            <w:pPr>
              <w:spacing w:before="0" w:after="0" w:line="240" w:lineRule="auto"/>
            </w:pPr>
            <w:r>
              <w:rPr>
                <w:rFonts w:ascii="Consolas" w:hAnsi="Consolas"/>
                <w:color w:val="D4D4D4"/>
                <w:sz w:val="19"/>
              </w:rPr>
              <w:t xml:space="preserve">        </w:t>
            </w:r>
            <w:r>
              <w:rPr>
                <w:rFonts w:ascii="Consolas" w:hAnsi="Consolas"/>
                <w:i/>
                <w:color w:val="6A9955"/>
                <w:sz w:val="19"/>
              </w:rPr>
              <w:t>//   markDirty(); dependents().forEach(JavAIRuntime::propagateDirty);</w:t>
            </w:r>
          </w:p>
          <w:p>
            <w:pPr>
              <w:spacing w:before="0" w:after="0" w:line="240" w:lineRule="auto"/>
            </w:pPr>
            <w:r>
              <w:rPr>
                <w:rFonts w:ascii="Consolas" w:hAnsi="Consolas"/>
                <w:color w:val="D4D4D4"/>
                <w:sz w:val="19"/>
              </w:rPr>
              <w:t xml:space="preserve">        </w:t>
            </w:r>
            <w:r>
              <w:rPr>
                <w:rFonts w:ascii="Consolas" w:hAnsi="Consolas"/>
                <w:i/>
                <w:color w:val="6A9955"/>
                <w:sz w:val="19"/>
              </w:rPr>
              <w:t>// -- nothing above is hand-written; this is what the setter</w:t>
            </w:r>
          </w:p>
          <w:p>
            <w:pPr>
              <w:spacing w:before="0" w:after="0" w:line="240" w:lineRule="auto"/>
            </w:pPr>
            <w:r>
              <w:rPr>
                <w:rFonts w:ascii="Consolas" w:hAnsi="Consolas"/>
                <w:color w:val="D4D4D4"/>
                <w:sz w:val="19"/>
              </w:rPr>
              <w:t xml:space="preserve">        </w:t>
            </w:r>
            <w:r>
              <w:rPr>
                <w:rFonts w:ascii="Consolas" w:hAnsi="Consolas"/>
                <w:i/>
                <w:color w:val="6A9955"/>
                <w:sz w:val="19"/>
              </w:rPr>
              <w:t>//    actually compiles to.</w:t>
            </w:r>
          </w:p>
          <w:p>
            <w:pPr>
              <w:spacing w:before="0" w:after="0" w:line="240" w:lineRule="auto"/>
            </w:pPr>
            <w:r>
              <w:rPr>
                <w:rFonts w:ascii="Consolas" w:hAnsi="Consolas"/>
                <w:color w:val="D4D4D4"/>
                <w:sz w:val="19"/>
              </w:rPr>
              <w:t xml:space="preserve">    }</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Article</w:t>
            </w:r>
            <w:r>
              <w:rPr>
                <w:rFonts w:ascii="Consolas" w:hAnsi="Consolas"/>
                <w:color w:val="D4D4D4"/>
                <w:sz w:val="19"/>
              </w:rPr>
              <w:t xml:space="preserve"> a = </w:t>
            </w:r>
            <w:r>
              <w:rPr>
                <w:rFonts w:ascii="Consolas" w:hAnsi="Consolas"/>
                <w:color w:val="569CD6"/>
                <w:sz w:val="19"/>
              </w:rPr>
              <w:t>new</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w:t>
            </w:r>
          </w:p>
          <w:p>
            <w:pPr>
              <w:spacing w:before="0" w:after="0" w:line="240" w:lineRule="auto"/>
            </w:pPr>
            <w:r>
              <w:rPr>
                <w:rFonts w:ascii="Consolas" w:hAnsi="Consolas"/>
                <w:color w:val="D4D4D4"/>
                <w:sz w:val="19"/>
              </w:rPr>
              <w:t>a.</w:t>
            </w:r>
            <w:r>
              <w:rPr>
                <w:rFonts w:ascii="Consolas" w:hAnsi="Consolas"/>
                <w:color w:val="DCDCAA"/>
                <w:sz w:val="19"/>
              </w:rPr>
              <w:t>setBody</w:t>
            </w:r>
            <w:r>
              <w:rPr>
                <w:rFonts w:ascii="Consolas" w:hAnsi="Consolas"/>
                <w:color w:val="D4D4D4"/>
                <w:sz w:val="19"/>
              </w:rPr>
              <w:t>(</w:t>
            </w:r>
            <w:r>
              <w:rPr>
                <w:rFonts w:ascii="Consolas" w:hAnsi="Consolas"/>
                <w:color w:val="CE9178"/>
                <w:sz w:val="19"/>
              </w:rPr>
              <w:t>"..."</w:t>
            </w:r>
            <w:r>
              <w:rPr>
                <w:rFonts w:ascii="Consolas" w:hAnsi="Consolas"/>
                <w:color w:val="D4D4D4"/>
                <w:sz w:val="19"/>
              </w:rPr>
              <w:t xml:space="preserve">);                 </w:t>
            </w:r>
            <w:r>
              <w:rPr>
                <w:rFonts w:ascii="Consolas" w:hAnsi="Consolas"/>
                <w:i/>
                <w:color w:val="6A9955"/>
                <w:sz w:val="19"/>
              </w:rPr>
              <w:t>// triggers dirty-mark + lazy back-edge walk</w:t>
            </w:r>
          </w:p>
          <w:p>
            <w:pPr>
              <w:spacing w:before="0" w:after="0" w:line="240" w:lineRule="auto"/>
            </w:pPr>
            <w:r>
              <w:rPr>
                <w:sz w:val="19"/>
              </w:rPr>
              <w:t xml:space="preserve"> </w:t>
            </w:r>
          </w:p>
          <w:p>
            <w:pPr>
              <w:spacing w:before="0" w:after="0" w:line="240" w:lineRule="auto"/>
            </w:pPr>
            <w:r>
              <w:rPr>
                <w:rFonts w:ascii="Consolas" w:hAnsi="Consolas"/>
                <w:color w:val="4EC9C0"/>
                <w:sz w:val="19"/>
              </w:rPr>
              <w:t>EmbeddingVector</w:t>
            </w:r>
            <w:r>
              <w:rPr>
                <w:rFonts w:ascii="Consolas" w:hAnsi="Consolas"/>
                <w:color w:val="D4D4D4"/>
                <w:sz w:val="19"/>
              </w:rPr>
              <w:t xml:space="preserve"> v   = a.</w:t>
            </w:r>
            <w:r>
              <w:rPr>
                <w:rFonts w:ascii="Consolas" w:hAnsi="Consolas"/>
                <w:color w:val="DCDCAA"/>
                <w:sz w:val="19"/>
              </w:rPr>
              <w:t>vector</w:t>
            </w:r>
            <w:r>
              <w:rPr>
                <w:rFonts w:ascii="Consolas" w:hAnsi="Consolas"/>
                <w:color w:val="D4D4D4"/>
                <w:sz w:val="19"/>
              </w:rPr>
              <w:t xml:space="preserve">();        </w:t>
            </w:r>
            <w:r>
              <w:rPr>
                <w:rFonts w:ascii="Consolas" w:hAnsi="Consolas"/>
                <w:i/>
                <w:color w:val="6A9955"/>
                <w:sz w:val="19"/>
              </w:rPr>
              <w:t>// recomputed lazily, since it was marked dirty</w:t>
            </w:r>
          </w:p>
          <w:p>
            <w:pPr>
              <w:spacing w:before="0" w:after="0" w:line="240" w:lineRule="auto"/>
            </w:pPr>
            <w:r>
              <w:rPr>
                <w:rFonts w:ascii="Consolas" w:hAnsi="Consolas"/>
                <w:color w:val="4EC9C0"/>
                <w:sz w:val="19"/>
              </w:rPr>
              <w:t>EmbeddingVector</w:t>
            </w:r>
            <w:r>
              <w:rPr>
                <w:rFonts w:ascii="Consolas" w:hAnsi="Consolas"/>
                <w:color w:val="D4D4D4"/>
                <w:sz w:val="19"/>
              </w:rPr>
              <w:t xml:space="preserve"> sv  = a.</w:t>
            </w:r>
            <w:r>
              <w:rPr>
                <w:rFonts w:ascii="Consolas" w:hAnsi="Consolas"/>
                <w:color w:val="DCDCAA"/>
                <w:sz w:val="19"/>
              </w:rPr>
              <w:t>summaryVector</w:t>
            </w:r>
            <w:r>
              <w:rPr>
                <w:rFonts w:ascii="Consolas" w:hAnsi="Consolas"/>
                <w:color w:val="D4D4D4"/>
                <w:sz w:val="19"/>
              </w:rPr>
              <w:t xml:space="preserve">(); </w:t>
            </w:r>
            <w:r>
              <w:rPr>
                <w:rFonts w:ascii="Consolas" w:hAnsi="Consolas"/>
                <w:i/>
                <w:color w:val="6A9955"/>
                <w:sz w:val="19"/>
              </w:rPr>
              <w:t>// hierarchical embedding over a's contained/referenced graph</w:t>
            </w:r>
          </w:p>
          <w:p>
            <w:pPr>
              <w:spacing w:before="0" w:after="0" w:line="240" w:lineRule="auto"/>
            </w:pPr>
            <w:r>
              <w:rPr>
                <w:rFonts w:ascii="Consolas" w:hAnsi="Consolas"/>
                <w:color w:val="569CD6"/>
                <w:sz w:val="19"/>
              </w:rPr>
              <w:t>double</w:t>
            </w:r>
            <w:r>
              <w:rPr>
                <w:rFonts w:ascii="Consolas" w:hAnsi="Consolas"/>
                <w:color w:val="D4D4D4"/>
                <w:sz w:val="19"/>
              </w:rPr>
              <w:t xml:space="preserve">          sim = a.</w:t>
            </w:r>
            <w:r>
              <w:rPr>
                <w:rFonts w:ascii="Consolas" w:hAnsi="Consolas"/>
                <w:color w:val="DCDCAA"/>
                <w:sz w:val="19"/>
              </w:rPr>
              <w:t>similarityTo</w:t>
            </w:r>
            <w:r>
              <w:rPr>
                <w:rFonts w:ascii="Consolas" w:hAnsi="Consolas"/>
                <w:color w:val="D4D4D4"/>
                <w:sz w:val="19"/>
              </w:rPr>
              <w:t>(other);</w:t>
            </w:r>
          </w:p>
        </w:tc>
      </w:tr>
    </w:tbl>
    <w:p>
      <w:pPr>
        <w:spacing w:before="80"/>
        <w:jc w:val="center"/>
      </w:pPr>
      <w:r>
        <w:rPr>
          <w:i/>
          <w:color w:val="555555"/>
          <w:sz w:val="19"/>
        </w:rPr>
        <w:t>Example 1. @JavAIVectorizable is the only thing you write — the interface is implemented for you, not declared by hand.</w:t>
      </w:r>
    </w:p>
    <w:p>
      <w:pPr>
        <w:pStyle w:val="Heading3"/>
      </w:pPr>
      <w:r>
        <w:t>4.3.1 Object Lifecycle State Machine</w:t>
      </w:r>
    </w:p>
    <w:p>
      <w:pPr>
        <w:spacing w:after="160"/>
      </w:pPr>
      <w:r>
        <w:rPr>
          <w:b w:val="0"/>
          <w:i w:val="0"/>
        </w:rPr>
        <w:t>The prose above describes the mechanism; this makes it precise. Every JavAIVectorizable instance carries two independent staleness flags, not one — its own field embedding can be current while its summary embedding is stale, or vice versa — because they're invalidated by different events and recomputed by different reads.</w:t>
      </w:r>
    </w:p>
    <w:p>
      <w:pPr>
        <w:jc w:val="center"/>
      </w:pPr>
      <w:r>
        <w:drawing>
          <wp:inline xmlns:a="http://schemas.openxmlformats.org/drawingml/2006/main" xmlns:pic="http://schemas.openxmlformats.org/drawingml/2006/picture">
            <wp:extent cx="5760720" cy="1469884"/>
            <wp:docPr id="2" name="Picture 2"/>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5760720" cy="1469884"/>
                    </a:xfrm>
                    <a:prstGeom prst="rect"/>
                  </pic:spPr>
                </pic:pic>
              </a:graphicData>
            </a:graphic>
          </wp:inline>
        </w:drawing>
      </w:r>
    </w:p>
    <w:p>
      <w:pPr>
        <w:jc w:val="center"/>
      </w:pPr>
      <w:r>
        <w:rPr>
          <w:i/>
          <w:color w:val="555555"/>
          <w:sz w:val="19"/>
        </w:rPr>
        <w:t>Figure 1b. Two independent lifecycles: an object's own field embedding (left), and the same staleness propagating outward to every live dependent (right).</w:t>
      </w:r>
    </w:p>
    <w:p>
      <w:pPr>
        <w:pStyle w:val="ListBullet"/>
      </w:pPr>
      <w:r>
        <w:t>Clean — vector() and summaryVector() both reflect current field state; nothing pending.</w:t>
      </w:r>
    </w:p>
    <w:p>
      <w:pPr>
        <w:pStyle w:val="ListBullet"/>
      </w:pPr>
      <w:r>
        <w:t>FieldDirty — a @Vectorize field was mutated via a woven setter; this object's own vector() is stale. Entered directly from Clean by a local mutation, nothing else.</w:t>
      </w:r>
    </w:p>
    <w:p>
      <w:pPr>
        <w:pStyle w:val="ListBullet"/>
      </w:pPr>
      <w:r>
        <w:t>SummaryDirty — a reachable descendant went through FieldDirty (or was itself already SummaryDirty) and the back-edge walk (JavAIRuntime.propagateDirty, §4.3) reached this object. This object's own field vector may still be perfectly current; only summaryVector() is stale.</w:t>
      </w:r>
    </w:p>
    <w:p>
      <w:pPr>
        <w:pStyle w:val="ListBullet"/>
      </w:pPr>
      <w:r>
        <w:t>EmbeddingRecomputing / SummaryRecomputing — transient, in-process states entered by the next read of vector() or summaryVector() respectively, never entered by the write itself. This is what "lazy" means concretely: recomputation is a read-time side effect, not a write-time one.</w:t>
      </w:r>
    </w:p>
    <w:p>
      <w:pPr>
        <w:spacing w:after="160"/>
      </w:pPr>
      <w:r>
        <w:rPr>
          <w:b w:val="0"/>
          <w:i w:val="0"/>
        </w:rPr>
        <w:t>An object can be FieldDirty and SummaryDirty at the same time — they're independent flags, and each clears on its own corresponding read, not both at once. The propagation walk that sets SummaryDirty on a dependent stops the instant it reaches a node already marked SummaryDirty, which is both the cycle-safety guarantee and the reason repeated mutations in a batch don't re-walk the same ancestors repeatedly. Nothing here is global: there is no single graph-wide "generation counter" or epoch — each object's pair of flags is the entire durable state, which is what makes the mechanism cheap enough to run on every setter call in Phase 0 without a background thread.</w:t>
      </w:r>
    </w:p>
    <w:p>
      <w:pPr>
        <w:pStyle w:val="Heading2"/>
      </w:pPr>
      <w:r>
        <w:t>4.4 Persistence: JavAIPI / JPA Shim</w:t>
      </w:r>
    </w:p>
    <w:p>
      <w:pPr>
        <w:jc w:val="center"/>
      </w:pPr>
      <w:r>
        <w:drawing>
          <wp:inline xmlns:a="http://schemas.openxmlformats.org/drawingml/2006/main" xmlns:pic="http://schemas.openxmlformats.org/drawingml/2006/picture">
            <wp:extent cx="5669280" cy="1644366"/>
            <wp:docPr id="3" name="Picture 3"/>
            <wp:cNvGraphicFramePr>
              <a:graphicFrameLocks noChangeAspect="1"/>
            </wp:cNvGraphicFramePr>
            <a:graphic>
              <a:graphicData uri="http://schemas.openxmlformats.org/drawingml/2006/picture">
                <pic:pic>
                  <pic:nvPicPr>
                    <pic:cNvPr id="0" name="persistence.png"/>
                    <pic:cNvPicPr/>
                  </pic:nvPicPr>
                  <pic:blipFill>
                    <a:blip r:embed="rId12"/>
                    <a:stretch>
                      <a:fillRect/>
                    </a:stretch>
                  </pic:blipFill>
                  <pic:spPr>
                    <a:xfrm>
                      <a:off x="0" y="0"/>
                      <a:ext cx="5669280" cy="1644366"/>
                    </a:xfrm>
                    <a:prstGeom prst="rect"/>
                  </pic:spPr>
                </pic:pic>
              </a:graphicData>
            </a:graphic>
          </wp:inline>
        </w:drawing>
      </w:r>
    </w:p>
    <w:p>
      <w:pPr>
        <w:jc w:val="center"/>
      </w:pPr>
      <w:r>
        <w:rPr>
          <w:i/>
          <w:color w:val="555555"/>
          <w:sz w:val="19"/>
        </w:rPr>
        <w:t>Figure 2. JavAIPI is implemented once, against a Hibernate-based reference shim, targeting existing stores unmodified.</w:t>
      </w:r>
    </w:p>
    <w:p>
      <w:pPr>
        <w:spacing w:after="160"/>
      </w:pPr>
      <w:r>
        <w:rPr>
          <w:b w:val="0"/>
          <w:i w:val="0"/>
        </w:rPr>
        <w:t>JavAIPI (JavAI Persistence Interface) is the save/query/re-index contract JavAI objects speak internally. A Hibernate-based reference implementation — ByteBuddy enhancement plus an EnhancementContext-style SPI — translates JavAIPI to JPA, leveraging Hibernate 6.4+'s existing hibernate-vector module (@JdbcTypeCode(SqlTypes.VECTOR) mapped onto a pgvector column) rather than proposing a change to the JPA/Jakarta EE specification itself, which moves through a slow, multi-vendor standards process outside this project's control. A parallel shim targets graph-native backends: Neo4j already supports native vector indexes alongside Cypher traversal at the database level, though notably the mature Java graph-object mapper (Neo4j-OGM, currently at 5.0.6) does not yet unify vector search and graph mapping as one abstraction — precisely the gap JavAI's native KnowledgeGraph collection type is designed to fill at the language level (§5.4).</w:t>
      </w:r>
    </w:p>
    <w:p>
      <w:pPr>
        <w:spacing w:after="160"/>
      </w:pPr>
      <w:r>
        <w:rPr>
          <w:b w:val="0"/>
          <w:i w:val="0"/>
        </w:rPr>
        <w:t>Embedding-model versioning is a runtime configuration concern rather than a language feature: swapping the configured model triggers a non-destructive, background re-indexing pass across the object graph (and, via the shim, across the persisted store) rather than a blocking schema migration.</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C586C0"/>
                <w:sz w:val="19"/>
              </w:rPr>
              <w:t>@JavAIVectorizable</w:t>
            </w:r>
          </w:p>
          <w:p>
            <w:pPr>
              <w:spacing w:before="0" w:after="0" w:line="240" w:lineRule="auto"/>
            </w:pPr>
            <w:r>
              <w:rPr>
                <w:rFonts w:ascii="Consolas" w:hAnsi="Consolas"/>
                <w:color w:val="C586C0"/>
                <w:sz w:val="19"/>
              </w:rPr>
              <w:t>@JavAIGraphNode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 xml:space="preserve"> { /* fields as above */ }</w:t>
            </w:r>
          </w:p>
          <w:p>
            <w:pPr>
              <w:spacing w:before="0" w:after="0" w:line="240" w:lineRule="auto"/>
            </w:pPr>
            <w:r>
              <w:rPr>
                <w:sz w:val="19"/>
              </w:rPr>
              <w:t xml:space="preserve"> </w:t>
            </w:r>
          </w:p>
          <w:p>
            <w:pPr>
              <w:spacing w:before="0" w:after="0" w:line="240" w:lineRule="auto"/>
            </w:pPr>
            <w:r>
              <w:rPr>
                <w:rFonts w:ascii="Consolas" w:hAnsi="Consolas"/>
                <w:color w:val="4EC9C0"/>
                <w:sz w:val="19"/>
              </w:rPr>
              <w:t>JavAIRepository</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&gt; repo = </w:t>
            </w:r>
            <w:r>
              <w:rPr>
                <w:rFonts w:ascii="Consolas" w:hAnsi="Consolas"/>
                <w:color w:val="4EC9C0"/>
                <w:sz w:val="19"/>
              </w:rPr>
              <w:t>JavAIPI</w:t>
            </w:r>
            <w:r>
              <w:rPr>
                <w:rFonts w:ascii="Consolas" w:hAnsi="Consolas"/>
                <w:color w:val="D4D4D4"/>
                <w:sz w:val="19"/>
              </w:rPr>
              <w:t>.</w:t>
            </w:r>
            <w:r>
              <w:rPr>
                <w:rFonts w:ascii="Consolas" w:hAnsi="Consolas"/>
                <w:color w:val="DCDCAA"/>
                <w:sz w:val="19"/>
              </w:rPr>
              <w:t>repository</w:t>
            </w:r>
            <w:r>
              <w:rPr>
                <w:rFonts w:ascii="Consolas" w:hAnsi="Consolas"/>
                <w:color w:val="D4D4D4"/>
                <w:sz w:val="19"/>
              </w:rPr>
              <w:t>(</w:t>
            </w:r>
            <w:r>
              <w:rPr>
                <w:rFonts w:ascii="Consolas" w:hAnsi="Consolas"/>
                <w:color w:val="4EC9C0"/>
                <w:sz w:val="19"/>
              </w:rPr>
              <w:t>Article</w:t>
            </w:r>
            <w:r>
              <w:rPr>
                <w:rFonts w:ascii="Consolas" w:hAnsi="Consolas"/>
                <w:color w:val="D4D4D4"/>
                <w:sz w:val="19"/>
              </w:rPr>
              <w:t>.</w:t>
            </w:r>
            <w:r>
              <w:rPr>
                <w:rFonts w:ascii="Consolas" w:hAnsi="Consolas"/>
                <w:color w:val="569CD6"/>
                <w:sz w:val="19"/>
              </w:rPr>
              <w:t>class</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D4D4D4"/>
                <w:sz w:val="19"/>
              </w:rPr>
              <w:t>repo.</w:t>
            </w:r>
            <w:r>
              <w:rPr>
                <w:rFonts w:ascii="Consolas" w:hAnsi="Consolas"/>
                <w:color w:val="DCDCAA"/>
                <w:sz w:val="19"/>
              </w:rPr>
              <w:t>save</w:t>
            </w:r>
            <w:r>
              <w:rPr>
                <w:rFonts w:ascii="Consolas" w:hAnsi="Consolas"/>
                <w:color w:val="D4D4D4"/>
                <w:sz w:val="19"/>
              </w:rPr>
              <w:t xml:space="preserve">(article);                         </w:t>
            </w:r>
            <w:r>
              <w:rPr>
                <w:rFonts w:ascii="Consolas" w:hAnsi="Consolas"/>
                <w:i/>
                <w:color w:val="6A9955"/>
                <w:sz w:val="19"/>
              </w:rPr>
              <w:t>// auto-vectorized on write, via the Hibernate-based shim</w:t>
            </w:r>
          </w:p>
          <w:p>
            <w:pPr>
              <w:spacing w:before="0" w:after="0" w:line="240" w:lineRule="auto"/>
            </w:pPr>
            <w:r>
              <w:rPr>
                <w:rFonts w:ascii="Consolas" w:hAnsi="Consolas"/>
                <w:color w:val="4EC9C0"/>
                <w:sz w:val="19"/>
              </w:rPr>
              <w:t>List</w:t>
            </w:r>
            <w:r>
              <w:rPr>
                <w:rFonts w:ascii="Consolas" w:hAnsi="Consolas"/>
                <w:color w:val="D4D4D4"/>
                <w:sz w:val="19"/>
              </w:rPr>
              <w:t>&lt;</w:t>
            </w:r>
            <w:r>
              <w:rPr>
                <w:rFonts w:ascii="Consolas" w:hAnsi="Consolas"/>
                <w:color w:val="4EC9C0"/>
                <w:sz w:val="19"/>
              </w:rPr>
              <w:t>Article</w:t>
            </w:r>
            <w:r>
              <w:rPr>
                <w:rFonts w:ascii="Consolas" w:hAnsi="Consolas"/>
                <w:color w:val="D4D4D4"/>
                <w:sz w:val="19"/>
              </w:rPr>
              <w:t>&gt; hits = repo.</w:t>
            </w:r>
            <w:r>
              <w:rPr>
                <w:rFonts w:ascii="Consolas" w:hAnsi="Consolas"/>
                <w:color w:val="DCDCAA"/>
                <w:sz w:val="19"/>
              </w:rPr>
              <w:t>nearest</w:t>
            </w:r>
            <w:r>
              <w:rPr>
                <w:rFonts w:ascii="Consolas" w:hAnsi="Consolas"/>
                <w:color w:val="D4D4D4"/>
                <w:sz w:val="19"/>
              </w:rPr>
              <w:t xml:space="preserve">(queryVector, </w:t>
            </w:r>
            <w:r>
              <w:rPr>
                <w:rFonts w:ascii="Consolas" w:hAnsi="Consolas"/>
                <w:color w:val="B5CEA8"/>
                <w:sz w:val="19"/>
              </w:rPr>
              <w:t>20</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Swapping the persisted backend is configuration, not code:</w:t>
            </w:r>
          </w:p>
          <w:p>
            <w:pPr>
              <w:spacing w:before="0" w:after="0" w:line="240" w:lineRule="auto"/>
            </w:pPr>
            <w:r>
              <w:rPr>
                <w:rFonts w:ascii="Consolas" w:hAnsi="Consolas"/>
                <w:i/>
                <w:color w:val="6A9955"/>
                <w:sz w:val="19"/>
              </w:rPr>
              <w:t>//   javai.persistence.backend=postgres+pgvector   (default, via hibernate-vector)</w:t>
            </w:r>
          </w:p>
          <w:p>
            <w:pPr>
              <w:spacing w:before="0" w:after="0" w:line="240" w:lineRule="auto"/>
            </w:pPr>
            <w:r>
              <w:rPr>
                <w:rFonts w:ascii="Consolas" w:hAnsi="Consolas"/>
                <w:i/>
                <w:color w:val="6A9955"/>
                <w:sz w:val="19"/>
              </w:rPr>
              <w:t>//   javai.persistence.backend=neo4j               (native vector index + Cypher traversal)</w:t>
            </w:r>
          </w:p>
        </w:tc>
      </w:tr>
    </w:tbl>
    <w:p>
      <w:pPr>
        <w:spacing w:before="80"/>
        <w:jc w:val="center"/>
      </w:pPr>
      <w:r>
        <w:rPr>
          <w:i/>
          <w:color w:val="555555"/>
          <w:sz w:val="19"/>
        </w:rPr>
        <w:t>Example 2. JavAIPI hides the persistence backend behind one repository call.</w:t>
      </w:r>
    </w:p>
    <w:p>
      <w:pPr>
        <w:pStyle w:val="Heading2"/>
      </w:pPr>
      <w:r>
        <w:t>4.5 Embedding Generation</w:t>
      </w:r>
    </w:p>
    <w:p>
      <w:pPr>
        <w:spacing w:after="160"/>
      </w:pPr>
      <w:r>
        <w:rPr>
          <w:b w:val="0"/>
          <w:i w:val="0"/>
        </w:rPr>
        <w:t>Everything upstream of this section assumes vectors simply exist. This section covers where they actually come from: which model, running where, deployed how, and how a persisted vector stays correctly matched to the model that produced it as that model changes over time.</w:t>
      </w:r>
    </w:p>
    <w:p>
      <w:pPr>
        <w:pStyle w:val="Heading3"/>
      </w:pPr>
      <w:r>
        <w:t>4.5.1 Reference Model</w:t>
      </w:r>
    </w:p>
    <w:p>
      <w:pPr>
        <w:spacing w:after="160"/>
      </w:pPr>
      <w:r>
        <w:rPr>
          <w:b w:val="0"/>
          <w:i w:val="0"/>
        </w:rPr>
        <w:t>Nominated reference/development model: Qwen3-Embedding-0.6B (Apache-2.0). It's part of a same-family size ladder (0.6B / 4B / 8B, all Apache-2.0), so a production deployment that needs the extra quality of the 4B or 8B variant is a model swap along a known path, not a jump to an unrelated architecture. The 0.6B size is deliberately chosen for Phase 0: it runs comfortably on a laptop CPU with no GPU, which matters because Phase 0 (§9.1) is explicitly CPU-only. It outputs a 1024-dimension vector and supports Matryoshka Representation Learning, so storage/index footprint can be trimmed by truncating dimensions without re-running inference, if that tradeoff is ever worth making. ONNX exports are already published by the community, and it's directly servable by Hugging Face's text-embeddings-inference (TEI) toolkit — the serving layer covered next.</w:t>
      </w:r>
    </w:p>
    <w:p>
      <w:pPr>
        <w:spacing w:after="160"/>
      </w:pPr>
      <w:r>
        <w:rPr>
          <w:b w:val="0"/>
          <w:i w:val="0"/>
        </w:rPr>
        <w:t>Two things to be precise about: “reference model” means the one this whitepaper designs against and ships as the Phase 0 default, not a permanent constraint — swapping to a different model (a larger sibling, a different vendor's model, a hosted embedding API) is exactly what JavAIEmbeddingProvider's provider-swap mechanism (below) exists for. And moving to a larger sibling in the same family is still a model swap, not a backend upgrade: 0.6B and 8B are different weights producing different embedding spaces, so that move goes through the same re-indexing path as switching to an unrelated model, not the free acceleration path GPU execution gets (§4.5.5).</w:t>
      </w:r>
    </w:p>
    <w:p>
      <w:pPr>
        <w:pStyle w:val="Heading3"/>
      </w:pPr>
      <w:r>
        <w:t>4.5.2 Phase 0 Deployment: A Sidecar Container, Not a Bespoke Service</w:t>
      </w:r>
    </w:p>
    <w:p>
      <w:pPr>
        <w:jc w:val="center"/>
      </w:pPr>
      <w:r>
        <w:drawing>
          <wp:inline xmlns:a="http://schemas.openxmlformats.org/drawingml/2006/main" xmlns:pic="http://schemas.openxmlformats.org/drawingml/2006/picture">
            <wp:extent cx="5760720" cy="2147926"/>
            <wp:docPr id="4" name="Picture 4"/>
            <wp:cNvGraphicFramePr>
              <a:graphicFrameLocks noChangeAspect="1"/>
            </wp:cNvGraphicFramePr>
            <a:graphic>
              <a:graphicData uri="http://schemas.openxmlformats.org/drawingml/2006/picture">
                <pic:pic>
                  <pic:nvPicPr>
                    <pic:cNvPr id="0" name="embedding.png"/>
                    <pic:cNvPicPr/>
                  </pic:nvPicPr>
                  <pic:blipFill>
                    <a:blip r:embed="rId13"/>
                    <a:stretch>
                      <a:fillRect/>
                    </a:stretch>
                  </pic:blipFill>
                  <pic:spPr>
                    <a:xfrm>
                      <a:off x="0" y="0"/>
                      <a:ext cx="5760720" cy="2147926"/>
                    </a:xfrm>
                    <a:prstGeom prst="rect"/>
                  </pic:spPr>
                </pic:pic>
              </a:graphicData>
            </a:graphic>
          </wp:inline>
        </w:drawing>
      </w:r>
    </w:p>
    <w:p>
      <w:pPr>
        <w:jc w:val="center"/>
      </w:pPr>
      <w:r>
        <w:rPr>
          <w:i/>
          <w:color w:val="555555"/>
          <w:sz w:val="19"/>
        </w:rPr>
        <w:t>Figure 4. One model file, one SPI, three deployment shapes — sidecar (dev/cloud) now, in-process later.</w:t>
      </w:r>
    </w:p>
    <w:p>
      <w:pPr>
        <w:spacing w:after="160"/>
      </w:pPr>
      <w:r>
        <w:rPr>
          <w:b w:val="0"/>
          <w:i w:val="0"/>
        </w:rPr>
        <w:t>Rather than hand-rolling a Python/PyTorch serving process, Phase 0 depends on Hugging Face's text-embeddings-inference (TEI) — an actively maintained, purpose-built toolkit for exactly this job, consistent with this whitepaper's “depend on, don't build” posture elsewhere (§5.7). TEI ships versioned Docker images per backend: a CPU image (Intel MKL or ONNX Runtime), a CUDA image for NVIDIA GPUs, and a Metal image for Apple Silicon — the same REST API in every case, so JavAIEmbeddingProvider's Phase 0 implementation is a thin HTTP client that never needs to know which image is running behind it.</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D4D4D4"/>
                <w:sz w:val="19"/>
              </w:rPr>
              <w:t># docker-compose.yml</w:t>
            </w:r>
          </w:p>
          <w:p>
            <w:pPr>
              <w:spacing w:before="0" w:after="0" w:line="240" w:lineRule="auto"/>
            </w:pPr>
            <w:r>
              <w:rPr>
                <w:rFonts w:ascii="Consolas" w:hAnsi="Consolas"/>
                <w:color w:val="D4D4D4"/>
                <w:sz w:val="19"/>
              </w:rPr>
              <w:t>services:</w:t>
            </w:r>
          </w:p>
          <w:p>
            <w:pPr>
              <w:spacing w:before="0" w:after="0" w:line="240" w:lineRule="auto"/>
            </w:pPr>
            <w:r>
              <w:rPr>
                <w:rFonts w:ascii="Consolas" w:hAnsi="Consolas"/>
                <w:color w:val="D4D4D4"/>
                <w:sz w:val="19"/>
              </w:rPr>
              <w:t xml:space="preserve">  javai-embeddings:</w:t>
            </w:r>
          </w:p>
          <w:p>
            <w:pPr>
              <w:spacing w:before="0" w:after="0" w:line="240" w:lineRule="auto"/>
            </w:pPr>
            <w:r>
              <w:rPr>
                <w:rFonts w:ascii="Consolas" w:hAnsi="Consolas"/>
                <w:color w:val="D4D4D4"/>
                <w:sz w:val="19"/>
              </w:rPr>
              <w:t xml:space="preserve">    image: ghcr.io/huggingface/text-embeddings-inference:cpu-</w:t>
            </w:r>
            <w:r>
              <w:rPr>
                <w:rFonts w:ascii="Consolas" w:hAnsi="Consolas"/>
                <w:color w:val="B5CEA8"/>
                <w:sz w:val="19"/>
              </w:rPr>
              <w:t>1.9</w:t>
            </w:r>
            <w:r>
              <w:rPr>
                <w:rFonts w:ascii="Consolas" w:hAnsi="Consolas"/>
                <w:color w:val="D4D4D4"/>
                <w:sz w:val="19"/>
              </w:rPr>
              <w:t xml:space="preserve">   # swap to cuda-</w:t>
            </w:r>
            <w:r>
              <w:rPr>
                <w:rFonts w:ascii="Consolas" w:hAnsi="Consolas"/>
                <w:color w:val="B5CEA8"/>
                <w:sz w:val="19"/>
              </w:rPr>
              <w:t>1.9</w:t>
            </w:r>
            <w:r>
              <w:rPr>
                <w:rFonts w:ascii="Consolas" w:hAnsi="Consolas"/>
                <w:color w:val="D4D4D4"/>
                <w:sz w:val="19"/>
              </w:rPr>
              <w:t xml:space="preserve"> in production</w:t>
            </w:r>
          </w:p>
          <w:p>
            <w:pPr>
              <w:spacing w:before="0" w:after="0" w:line="240" w:lineRule="auto"/>
            </w:pPr>
            <w:r>
              <w:rPr>
                <w:rFonts w:ascii="Consolas" w:hAnsi="Consolas"/>
                <w:color w:val="D4D4D4"/>
                <w:sz w:val="19"/>
              </w:rPr>
              <w:t xml:space="preserve">    command: [</w:t>
            </w:r>
            <w:r>
              <w:rPr>
                <w:rFonts w:ascii="Consolas" w:hAnsi="Consolas"/>
                <w:color w:val="CE9178"/>
                <w:sz w:val="19"/>
              </w:rPr>
              <w:t>"--model-id"</w:t>
            </w:r>
            <w:r>
              <w:rPr>
                <w:rFonts w:ascii="Consolas" w:hAnsi="Consolas"/>
                <w:color w:val="D4D4D4"/>
                <w:sz w:val="19"/>
              </w:rPr>
              <w:t xml:space="preserve">, </w:t>
            </w:r>
            <w:r>
              <w:rPr>
                <w:rFonts w:ascii="Consolas" w:hAnsi="Consolas"/>
                <w:color w:val="CE9178"/>
                <w:sz w:val="19"/>
              </w:rPr>
              <w:t>"Qwen/Qwen3-Embedding-0.6B"</w:t>
            </w:r>
            <w:r>
              <w:rPr>
                <w:rFonts w:ascii="Consolas" w:hAnsi="Consolas"/>
                <w:color w:val="D4D4D4"/>
                <w:sz w:val="19"/>
              </w:rPr>
              <w:t>]</w:t>
            </w:r>
          </w:p>
          <w:p>
            <w:pPr>
              <w:spacing w:before="0" w:after="0" w:line="240" w:lineRule="auto"/>
            </w:pPr>
            <w:r>
              <w:rPr>
                <w:rFonts w:ascii="Consolas" w:hAnsi="Consolas"/>
                <w:color w:val="D4D4D4"/>
                <w:sz w:val="19"/>
              </w:rPr>
              <w:t xml:space="preserve">    ports:</w:t>
            </w:r>
          </w:p>
          <w:p>
            <w:pPr>
              <w:spacing w:before="0" w:after="0" w:line="240" w:lineRule="auto"/>
            </w:pPr>
            <w:r>
              <w:rPr>
                <w:rFonts w:ascii="Consolas" w:hAnsi="Consolas"/>
                <w:color w:val="D4D4D4"/>
                <w:sz w:val="19"/>
              </w:rPr>
              <w:t xml:space="preserve">      - </w:t>
            </w:r>
            <w:r>
              <w:rPr>
                <w:rFonts w:ascii="Consolas" w:hAnsi="Consolas"/>
                <w:color w:val="CE9178"/>
                <w:sz w:val="19"/>
              </w:rPr>
              <w:t>"8080:80"</w:t>
            </w:r>
          </w:p>
          <w:p>
            <w:pPr>
              <w:spacing w:before="0" w:after="0" w:line="240" w:lineRule="auto"/>
            </w:pPr>
            <w:r>
              <w:rPr>
                <w:rFonts w:ascii="Consolas" w:hAnsi="Consolas"/>
                <w:color w:val="D4D4D4"/>
                <w:sz w:val="19"/>
              </w:rPr>
              <w:t xml:space="preserve">    volumes:</w:t>
            </w:r>
          </w:p>
          <w:p>
            <w:pPr>
              <w:spacing w:before="0" w:after="0" w:line="240" w:lineRule="auto"/>
            </w:pPr>
            <w:r>
              <w:rPr>
                <w:rFonts w:ascii="Consolas" w:hAnsi="Consolas"/>
                <w:color w:val="D4D4D4"/>
                <w:sz w:val="19"/>
              </w:rPr>
              <w:t xml:space="preserve">      - ./data/embeddings-cache:/data</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javai-app:</w:t>
            </w:r>
          </w:p>
          <w:p>
            <w:pPr>
              <w:spacing w:before="0" w:after="0" w:line="240" w:lineRule="auto"/>
            </w:pPr>
            <w:r>
              <w:rPr>
                <w:rFonts w:ascii="Consolas" w:hAnsi="Consolas"/>
                <w:color w:val="D4D4D4"/>
                <w:sz w:val="19"/>
              </w:rPr>
              <w:t xml:space="preserve">    build: .</w:t>
            </w:r>
          </w:p>
          <w:p>
            <w:pPr>
              <w:spacing w:before="0" w:after="0" w:line="240" w:lineRule="auto"/>
            </w:pPr>
            <w:r>
              <w:rPr>
                <w:rFonts w:ascii="Consolas" w:hAnsi="Consolas"/>
                <w:color w:val="D4D4D4"/>
                <w:sz w:val="19"/>
              </w:rPr>
              <w:t xml:space="preserve">    environment:</w:t>
            </w:r>
          </w:p>
          <w:p>
            <w:pPr>
              <w:spacing w:before="0" w:after="0" w:line="240" w:lineRule="auto"/>
            </w:pPr>
            <w:r>
              <w:rPr>
                <w:rFonts w:ascii="Consolas" w:hAnsi="Consolas"/>
                <w:color w:val="D4D4D4"/>
                <w:sz w:val="19"/>
              </w:rPr>
              <w:t xml:space="preserve">      </w:t>
            </w:r>
            <w:r>
              <w:rPr>
                <w:rFonts w:ascii="Consolas" w:hAnsi="Consolas"/>
                <w:color w:val="4EC9C0"/>
                <w:sz w:val="19"/>
              </w:rPr>
              <w:t>JAVAI_EMBEDDING_ENDPOINT</w:t>
            </w:r>
            <w:r>
              <w:rPr>
                <w:rFonts w:ascii="Consolas" w:hAnsi="Consolas"/>
                <w:color w:val="D4D4D4"/>
                <w:sz w:val="19"/>
              </w:rPr>
              <w:t>: http:</w:t>
            </w:r>
            <w:r>
              <w:rPr>
                <w:rFonts w:ascii="Consolas" w:hAnsi="Consolas"/>
                <w:i/>
                <w:color w:val="6A9955"/>
                <w:sz w:val="19"/>
              </w:rPr>
              <w:t>//javai-embeddings:80</w:t>
            </w:r>
          </w:p>
          <w:p>
            <w:pPr>
              <w:spacing w:before="0" w:after="0" w:line="240" w:lineRule="auto"/>
            </w:pPr>
            <w:r>
              <w:rPr>
                <w:rFonts w:ascii="Consolas" w:hAnsi="Consolas"/>
                <w:color w:val="D4D4D4"/>
                <w:sz w:val="19"/>
              </w:rPr>
              <w:t xml:space="preserve">      </w:t>
            </w:r>
            <w:r>
              <w:rPr>
                <w:rFonts w:ascii="Consolas" w:hAnsi="Consolas"/>
                <w:color w:val="4EC9C0"/>
                <w:sz w:val="19"/>
              </w:rPr>
              <w:t>JAVAI_EMBEDDING_MODEL</w:t>
            </w:r>
            <w:r>
              <w:rPr>
                <w:rFonts w:ascii="Consolas" w:hAnsi="Consolas"/>
                <w:color w:val="D4D4D4"/>
                <w:sz w:val="19"/>
              </w:rPr>
              <w:t>: qwen3-embedding-</w:t>
            </w:r>
            <w:r>
              <w:rPr>
                <w:rFonts w:ascii="Consolas" w:hAnsi="Consolas"/>
                <w:color w:val="B5CEA8"/>
                <w:sz w:val="19"/>
              </w:rPr>
              <w:t>0</w:t>
            </w:r>
            <w:r>
              <w:rPr>
                <w:rFonts w:ascii="Consolas" w:hAnsi="Consolas"/>
                <w:color w:val="D4D4D4"/>
                <w:sz w:val="19"/>
              </w:rPr>
              <w:t>.6b</w:t>
            </w:r>
          </w:p>
          <w:p>
            <w:pPr>
              <w:spacing w:before="0" w:after="0" w:line="240" w:lineRule="auto"/>
            </w:pPr>
            <w:r>
              <w:rPr>
                <w:rFonts w:ascii="Consolas" w:hAnsi="Consolas"/>
                <w:color w:val="D4D4D4"/>
                <w:sz w:val="19"/>
              </w:rPr>
              <w:t xml:space="preserve">    depends_on:</w:t>
            </w:r>
          </w:p>
          <w:p>
            <w:pPr>
              <w:spacing w:before="0" w:after="0" w:line="240" w:lineRule="auto"/>
            </w:pPr>
            <w:r>
              <w:rPr>
                <w:rFonts w:ascii="Consolas" w:hAnsi="Consolas"/>
                <w:color w:val="D4D4D4"/>
                <w:sz w:val="19"/>
              </w:rPr>
              <w:t xml:space="preserve">      - javai-embeddings</w:t>
            </w:r>
          </w:p>
        </w:tc>
      </w:tr>
    </w:tbl>
    <w:p>
      <w:pPr>
        <w:spacing w:before="80"/>
        <w:jc w:val="center"/>
      </w:pPr>
      <w:r>
        <w:rPr>
          <w:i/>
          <w:color w:val="555555"/>
          <w:sz w:val="19"/>
        </w:rPr>
        <w:t>Example 14. Same compose file, dev laptop or cloud — only the image tag changes.</w:t>
      </w:r>
    </w:p>
    <w:p>
      <w:pPr>
        <w:spacing w:after="160"/>
      </w:pPr>
      <w:r>
        <w:rPr>
          <w:b w:val="0"/>
          <w:i w:val="0"/>
        </w:rPr>
        <w:t>A developer runs `docker compose up` and gets a fully working local embedding service with no GPU and no Python environment to manage by hand. A production deployment runs the identical compose file (or its Kubernetes equivalent) with `cuda-1.9` in place of `cpu-1.9` and a GPU-attached node — the model file, the API contract, and the application code are all unchanged.</w:t>
      </w:r>
    </w:p>
    <w:p>
      <w:pPr>
        <w:pStyle w:val="Heading3"/>
      </w:pPr>
      <w:r>
        <w:t>4.5.3 Cross-Platform Stability — What “Stable” Can and Can't Mean Here</w:t>
      </w:r>
    </w:p>
    <w:p>
      <w:pPr>
        <w:spacing w:after="160"/>
      </w:pPr>
      <w:r>
        <w:rPr>
          <w:b w:val="0"/>
          <w:i w:val="0"/>
        </w:rPr>
        <w:t>The brief for this section asked for embedding generation that's “stable cross-platform as is the Java tradition.” Worth being precise about, because ML inference genuinely cannot make the same promise the JVM makes for ordinary bytecode. The JVM guarantees bit-identical arithmetic for standard operations on any conformant implementation. ONNX Runtime does not make the equivalent guarantee across execution providers or hardware: floating-point addition is not associative, SIMD width and instruction selection differ between a laptop CPU and a datacenter GPU, and GPU math libraries (cuBLAS/cuDNN) can select different algorithms depending on hardware and even run, choosing among numerically equivalent-but-not-identical implementations. So bit-for-bit identical vectors across a CPU dev machine and a CUDA production node are not a realistic target, and no serving stack — TEI included — claims otherwise.</w:t>
      </w:r>
    </w:p>
    <w:p>
      <w:pPr>
        <w:spacing w:after="160"/>
      </w:pPr>
      <w:r>
        <w:rPr>
          <w:b w:val="0"/>
          <w:i w:val="0"/>
        </w:rPr>
        <w:t>What's realistic, and what actually matters for a retrieval system, is different: (1) same execution provider, same hardware, same model file, same input — deterministic, reproducible output, every time; and (2) cosine similarity is robust to the tiny numerical noise (typically far beyond the sixth decimal place) that differs between backends — rankings and retrieval quality stay stable even though the raw floats aren't bit-identical. That's the guarantee this design actually offers: stable retrieval behavior, not bit-identical vectors. Practical mitigations: pin the TEI image digest and model revision together (not just the model name) so “the same model” actually means the same weights, and treat any planned migration between execution providers (CPU dev → GPU prod) as worth spot-checking with a held-out similarity-ranking test, not assuming away.</w:t>
      </w:r>
    </w:p>
    <w:p>
      <w:pPr>
        <w:pStyle w:val="Heading3"/>
      </w:pPr>
      <w:r>
        <w:t>4.5.4 Versioning Vectors in Persistent Storage</w:t>
      </w:r>
    </w:p>
    <w:p>
      <w:pPr>
        <w:spacing w:after="160"/>
      </w:pPr>
      <w:r>
        <w:rPr>
          <w:b w:val="0"/>
          <w:i w:val="0"/>
        </w:rPr>
        <w:t>EmbeddingVector already carries a modelId (§6.2) so multiple versions can coexist logically. The storage pattern behind that is a standard expand/contract schema migration, not a bespoke mechanism: a fast-path column on the entity table for whichever model is currently “current” (single index, no join, fast queries), plus a side table used only during an active migration window.</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D4D4D4"/>
                <w:sz w:val="19"/>
              </w:rPr>
              <w:t xml:space="preserve">-- fast path: always the current model, single index </w:t>
            </w:r>
            <w:r>
              <w:rPr>
                <w:rFonts w:ascii="Consolas" w:hAnsi="Consolas"/>
                <w:color w:val="569CD6"/>
                <w:sz w:val="19"/>
              </w:rPr>
              <w:t>for</w:t>
            </w:r>
            <w:r>
              <w:rPr>
                <w:rFonts w:ascii="Consolas" w:hAnsi="Consolas"/>
                <w:color w:val="D4D4D4"/>
                <w:sz w:val="19"/>
              </w:rPr>
              <w:t xml:space="preserve"> query performance</w:t>
            </w:r>
          </w:p>
          <w:p>
            <w:pPr>
              <w:spacing w:before="0" w:after="0" w:line="240" w:lineRule="auto"/>
            </w:pPr>
            <w:r>
              <w:rPr>
                <w:rFonts w:ascii="Consolas" w:hAnsi="Consolas"/>
                <w:color w:val="4EC9C0"/>
                <w:sz w:val="19"/>
              </w:rPr>
              <w:t>ALTER</w:t>
            </w:r>
            <w:r>
              <w:rPr>
                <w:rFonts w:ascii="Consolas" w:hAnsi="Consolas"/>
                <w:color w:val="D4D4D4"/>
                <w:sz w:val="19"/>
              </w:rPr>
              <w:t xml:space="preserve"> </w:t>
            </w:r>
            <w:r>
              <w:rPr>
                <w:rFonts w:ascii="Consolas" w:hAnsi="Consolas"/>
                <w:color w:val="4EC9C0"/>
                <w:sz w:val="19"/>
              </w:rPr>
              <w:t>TABLE</w:t>
            </w:r>
            <w:r>
              <w:rPr>
                <w:rFonts w:ascii="Consolas" w:hAnsi="Consolas"/>
                <w:color w:val="D4D4D4"/>
                <w:sz w:val="19"/>
              </w:rPr>
              <w:t xml:space="preserve"> article </w:t>
            </w:r>
            <w:r>
              <w:rPr>
                <w:rFonts w:ascii="Consolas" w:hAnsi="Consolas"/>
                <w:color w:val="4EC9C0"/>
                <w:sz w:val="19"/>
              </w:rPr>
              <w:t>ADD</w:t>
            </w:r>
            <w:r>
              <w:rPr>
                <w:rFonts w:ascii="Consolas" w:hAnsi="Consolas"/>
                <w:color w:val="D4D4D4"/>
                <w:sz w:val="19"/>
              </w:rPr>
              <w:t xml:space="preserve"> </w:t>
            </w:r>
            <w:r>
              <w:rPr>
                <w:rFonts w:ascii="Consolas" w:hAnsi="Consolas"/>
                <w:color w:val="4EC9C0"/>
                <w:sz w:val="19"/>
              </w:rPr>
              <w:t>COLUMN</w:t>
            </w:r>
            <w:r>
              <w:rPr>
                <w:rFonts w:ascii="Consolas" w:hAnsi="Consolas"/>
                <w:color w:val="D4D4D4"/>
                <w:sz w:val="19"/>
              </w:rPr>
              <w:t xml:space="preserve"> body_vector       </w:t>
            </w:r>
            <w:r>
              <w:rPr>
                <w:rFonts w:ascii="Consolas" w:hAnsi="Consolas"/>
                <w:color w:val="DCDCAA"/>
                <w:sz w:val="19"/>
              </w:rPr>
              <w:t>vector</w:t>
            </w:r>
            <w:r>
              <w:rPr>
                <w:rFonts w:ascii="Consolas" w:hAnsi="Consolas"/>
                <w:color w:val="D4D4D4"/>
                <w:sz w:val="19"/>
              </w:rPr>
              <w:t>(</w:t>
            </w:r>
            <w:r>
              <w:rPr>
                <w:rFonts w:ascii="Consolas" w:hAnsi="Consolas"/>
                <w:color w:val="B5CEA8"/>
                <w:sz w:val="19"/>
              </w:rPr>
              <w:t>1024</w:t>
            </w:r>
            <w:r>
              <w:rPr>
                <w:rFonts w:ascii="Consolas" w:hAnsi="Consolas"/>
                <w:color w:val="D4D4D4"/>
                <w:sz w:val="19"/>
              </w:rPr>
              <w:t>);</w:t>
            </w:r>
          </w:p>
          <w:p>
            <w:pPr>
              <w:spacing w:before="0" w:after="0" w:line="240" w:lineRule="auto"/>
            </w:pPr>
            <w:r>
              <w:rPr>
                <w:rFonts w:ascii="Consolas" w:hAnsi="Consolas"/>
                <w:color w:val="4EC9C0"/>
                <w:sz w:val="19"/>
              </w:rPr>
              <w:t>ALTER</w:t>
            </w:r>
            <w:r>
              <w:rPr>
                <w:rFonts w:ascii="Consolas" w:hAnsi="Consolas"/>
                <w:color w:val="D4D4D4"/>
                <w:sz w:val="19"/>
              </w:rPr>
              <w:t xml:space="preserve"> </w:t>
            </w:r>
            <w:r>
              <w:rPr>
                <w:rFonts w:ascii="Consolas" w:hAnsi="Consolas"/>
                <w:color w:val="4EC9C0"/>
                <w:sz w:val="19"/>
              </w:rPr>
              <w:t>TABLE</w:t>
            </w:r>
            <w:r>
              <w:rPr>
                <w:rFonts w:ascii="Consolas" w:hAnsi="Consolas"/>
                <w:color w:val="D4D4D4"/>
                <w:sz w:val="19"/>
              </w:rPr>
              <w:t xml:space="preserve"> article </w:t>
            </w:r>
            <w:r>
              <w:rPr>
                <w:rFonts w:ascii="Consolas" w:hAnsi="Consolas"/>
                <w:color w:val="4EC9C0"/>
                <w:sz w:val="19"/>
              </w:rPr>
              <w:t>ADD</w:t>
            </w:r>
            <w:r>
              <w:rPr>
                <w:rFonts w:ascii="Consolas" w:hAnsi="Consolas"/>
                <w:color w:val="D4D4D4"/>
                <w:sz w:val="19"/>
              </w:rPr>
              <w:t xml:space="preserve"> </w:t>
            </w:r>
            <w:r>
              <w:rPr>
                <w:rFonts w:ascii="Consolas" w:hAnsi="Consolas"/>
                <w:color w:val="4EC9C0"/>
                <w:sz w:val="19"/>
              </w:rPr>
              <w:t>COLUMN</w:t>
            </w:r>
            <w:r>
              <w:rPr>
                <w:rFonts w:ascii="Consolas" w:hAnsi="Consolas"/>
                <w:color w:val="D4D4D4"/>
                <w:sz w:val="19"/>
              </w:rPr>
              <w:t xml:space="preserve"> body_vector_model </w:t>
            </w:r>
            <w:r>
              <w:rPr>
                <w:rFonts w:ascii="Consolas" w:hAnsi="Consolas"/>
                <w:color w:val="DCDCAA"/>
                <w:sz w:val="19"/>
              </w:rPr>
              <w:t>varchar</w:t>
            </w:r>
            <w:r>
              <w:rPr>
                <w:rFonts w:ascii="Consolas" w:hAnsi="Consolas"/>
                <w:color w:val="D4D4D4"/>
                <w:sz w:val="19"/>
              </w:rPr>
              <w:t>(</w:t>
            </w:r>
            <w:r>
              <w:rPr>
                <w:rFonts w:ascii="Consolas" w:hAnsi="Consolas"/>
                <w:color w:val="B5CEA8"/>
                <w:sz w:val="19"/>
              </w:rPr>
              <w:t>64</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expand phase only: populated </w:t>
            </w:r>
            <w:r>
              <w:rPr>
                <w:rFonts w:ascii="Consolas" w:hAnsi="Consolas"/>
                <w:color w:val="569CD6"/>
                <w:sz w:val="19"/>
              </w:rPr>
              <w:t>while</w:t>
            </w:r>
            <w:r>
              <w:rPr>
                <w:rFonts w:ascii="Consolas" w:hAnsi="Consolas"/>
                <w:color w:val="D4D4D4"/>
                <w:sz w:val="19"/>
              </w:rPr>
              <w:t xml:space="preserve"> javai.embedding.model is mid-migration</w:t>
            </w:r>
          </w:p>
          <w:p>
            <w:pPr>
              <w:spacing w:before="0" w:after="0" w:line="240" w:lineRule="auto"/>
            </w:pPr>
            <w:r>
              <w:rPr>
                <w:rFonts w:ascii="Consolas" w:hAnsi="Consolas"/>
                <w:color w:val="4EC9C0"/>
                <w:sz w:val="19"/>
              </w:rPr>
              <w:t>CREATE</w:t>
            </w:r>
            <w:r>
              <w:rPr>
                <w:rFonts w:ascii="Consolas" w:hAnsi="Consolas"/>
                <w:color w:val="D4D4D4"/>
                <w:sz w:val="19"/>
              </w:rPr>
              <w:t xml:space="preserve"> </w:t>
            </w:r>
            <w:r>
              <w:rPr>
                <w:rFonts w:ascii="Consolas" w:hAnsi="Consolas"/>
                <w:color w:val="4EC9C0"/>
                <w:sz w:val="19"/>
              </w:rPr>
              <w:t>TABLE</w:t>
            </w:r>
            <w:r>
              <w:rPr>
                <w:rFonts w:ascii="Consolas" w:hAnsi="Consolas"/>
                <w:color w:val="D4D4D4"/>
                <w:sz w:val="19"/>
              </w:rPr>
              <w:t xml:space="preserve"> embedding_version (</w:t>
            </w:r>
          </w:p>
          <w:p>
            <w:pPr>
              <w:spacing w:before="0" w:after="0" w:line="240" w:lineRule="auto"/>
            </w:pPr>
            <w:r>
              <w:rPr>
                <w:rFonts w:ascii="Consolas" w:hAnsi="Consolas"/>
                <w:color w:val="D4D4D4"/>
                <w:sz w:val="19"/>
              </w:rPr>
              <w:t xml:space="preserve">  entity_id   uuid </w:t>
            </w:r>
            <w:r>
              <w:rPr>
                <w:rFonts w:ascii="Consolas" w:hAnsi="Consolas"/>
                <w:color w:val="4EC9C0"/>
                <w:sz w:val="19"/>
              </w:rPr>
              <w:t>REFERENCES</w:t>
            </w:r>
            <w:r>
              <w:rPr>
                <w:rFonts w:ascii="Consolas" w:hAnsi="Consolas"/>
                <w:color w:val="D4D4D4"/>
                <w:sz w:val="19"/>
              </w:rPr>
              <w:t xml:space="preserve"> </w:t>
            </w:r>
            <w:r>
              <w:rPr>
                <w:rFonts w:ascii="Consolas" w:hAnsi="Consolas"/>
                <w:color w:val="DCDCAA"/>
                <w:sz w:val="19"/>
              </w:rPr>
              <w:t>article</w:t>
            </w:r>
            <w:r>
              <w:rPr>
                <w:rFonts w:ascii="Consolas" w:hAnsi="Consolas"/>
                <w:color w:val="D4D4D4"/>
                <w:sz w:val="19"/>
              </w:rPr>
              <w:t>(id),</w:t>
            </w:r>
          </w:p>
          <w:p>
            <w:pPr>
              <w:spacing w:before="0" w:after="0" w:line="240" w:lineRule="auto"/>
            </w:pPr>
            <w:r>
              <w:rPr>
                <w:rFonts w:ascii="Consolas" w:hAnsi="Consolas"/>
                <w:color w:val="D4D4D4"/>
                <w:sz w:val="19"/>
              </w:rPr>
              <w:t xml:space="preserve">  field_name  </w:t>
            </w:r>
            <w:r>
              <w:rPr>
                <w:rFonts w:ascii="Consolas" w:hAnsi="Consolas"/>
                <w:color w:val="DCDCAA"/>
                <w:sz w:val="19"/>
              </w:rPr>
              <w:t>varchar</w:t>
            </w:r>
            <w:r>
              <w:rPr>
                <w:rFonts w:ascii="Consolas" w:hAnsi="Consolas"/>
                <w:color w:val="D4D4D4"/>
                <w:sz w:val="19"/>
              </w:rPr>
              <w:t>(</w:t>
            </w:r>
            <w:r>
              <w:rPr>
                <w:rFonts w:ascii="Consolas" w:hAnsi="Consolas"/>
                <w:color w:val="B5CEA8"/>
                <w:sz w:val="19"/>
              </w:rPr>
              <w:t>64</w:t>
            </w:r>
            <w:r>
              <w:rPr>
                <w:rFonts w:ascii="Consolas" w:hAnsi="Consolas"/>
                <w:color w:val="D4D4D4"/>
                <w:sz w:val="19"/>
              </w:rPr>
              <w:t>),</w:t>
            </w:r>
          </w:p>
          <w:p>
            <w:pPr>
              <w:spacing w:before="0" w:after="0" w:line="240" w:lineRule="auto"/>
            </w:pPr>
            <w:r>
              <w:rPr>
                <w:rFonts w:ascii="Consolas" w:hAnsi="Consolas"/>
                <w:color w:val="D4D4D4"/>
                <w:sz w:val="19"/>
              </w:rPr>
              <w:t xml:space="preserve">  model_id    </w:t>
            </w:r>
            <w:r>
              <w:rPr>
                <w:rFonts w:ascii="Consolas" w:hAnsi="Consolas"/>
                <w:color w:val="DCDCAA"/>
                <w:sz w:val="19"/>
              </w:rPr>
              <w:t>varchar</w:t>
            </w:r>
            <w:r>
              <w:rPr>
                <w:rFonts w:ascii="Consolas" w:hAnsi="Consolas"/>
                <w:color w:val="D4D4D4"/>
                <w:sz w:val="19"/>
              </w:rPr>
              <w:t>(</w:t>
            </w:r>
            <w:r>
              <w:rPr>
                <w:rFonts w:ascii="Consolas" w:hAnsi="Consolas"/>
                <w:color w:val="B5CEA8"/>
                <w:sz w:val="19"/>
              </w:rPr>
              <w:t>64</w:t>
            </w:r>
            <w:r>
              <w:rPr>
                <w:rFonts w:ascii="Consolas" w:hAnsi="Consolas"/>
                <w:color w:val="D4D4D4"/>
                <w:sz w:val="19"/>
              </w:rPr>
              <w:t>),</w:t>
            </w:r>
          </w:p>
          <w:p>
            <w:pPr>
              <w:spacing w:before="0" w:after="0" w:line="240" w:lineRule="auto"/>
            </w:pPr>
            <w:r>
              <w:rPr>
                <w:rFonts w:ascii="Consolas" w:hAnsi="Consolas"/>
                <w:color w:val="D4D4D4"/>
                <w:sz w:val="19"/>
              </w:rPr>
              <w:t xml:space="preserve">  vector      </w:t>
            </w:r>
            <w:r>
              <w:rPr>
                <w:rFonts w:ascii="Consolas" w:hAnsi="Consolas"/>
                <w:color w:val="DCDCAA"/>
                <w:sz w:val="19"/>
              </w:rPr>
              <w:t>vector</w:t>
            </w:r>
            <w:r>
              <w:rPr>
                <w:rFonts w:ascii="Consolas" w:hAnsi="Consolas"/>
                <w:color w:val="D4D4D4"/>
                <w:sz w:val="19"/>
              </w:rPr>
              <w:t>(</w:t>
            </w:r>
            <w:r>
              <w:rPr>
                <w:rFonts w:ascii="Consolas" w:hAnsi="Consolas"/>
                <w:color w:val="B5CEA8"/>
                <w:sz w:val="19"/>
              </w:rPr>
              <w:t>1024</w:t>
            </w:r>
            <w:r>
              <w:rPr>
                <w:rFonts w:ascii="Consolas" w:hAnsi="Consolas"/>
                <w:color w:val="D4D4D4"/>
                <w:sz w:val="19"/>
              </w:rPr>
              <w:t>),</w:t>
            </w:r>
          </w:p>
          <w:p>
            <w:pPr>
              <w:spacing w:before="0" w:after="0" w:line="240" w:lineRule="auto"/>
            </w:pPr>
            <w:r>
              <w:rPr>
                <w:rFonts w:ascii="Consolas" w:hAnsi="Consolas"/>
                <w:color w:val="D4D4D4"/>
                <w:sz w:val="19"/>
              </w:rPr>
              <w:t xml:space="preserve">  computed_at timestamptz,</w:t>
            </w:r>
          </w:p>
          <w:p>
            <w:pPr>
              <w:spacing w:before="0" w:after="0" w:line="240" w:lineRule="auto"/>
            </w:pPr>
            <w:r>
              <w:rPr>
                <w:rFonts w:ascii="Consolas" w:hAnsi="Consolas"/>
                <w:color w:val="D4D4D4"/>
                <w:sz w:val="19"/>
              </w:rPr>
              <w:t xml:space="preserve">  </w:t>
            </w:r>
            <w:r>
              <w:rPr>
                <w:rFonts w:ascii="Consolas" w:hAnsi="Consolas"/>
                <w:color w:val="4EC9C0"/>
                <w:sz w:val="19"/>
              </w:rPr>
              <w:t>PRIMARY</w:t>
            </w:r>
            <w:r>
              <w:rPr>
                <w:rFonts w:ascii="Consolas" w:hAnsi="Consolas"/>
                <w:color w:val="D4D4D4"/>
                <w:sz w:val="19"/>
              </w:rPr>
              <w:t xml:space="preserve"> </w:t>
            </w:r>
            <w:r>
              <w:rPr>
                <w:rFonts w:ascii="Consolas" w:hAnsi="Consolas"/>
                <w:color w:val="4EC9C0"/>
                <w:sz w:val="19"/>
              </w:rPr>
              <w:t>KEY</w:t>
            </w:r>
            <w:r>
              <w:rPr>
                <w:rFonts w:ascii="Consolas" w:hAnsi="Consolas"/>
                <w:color w:val="D4D4D4"/>
                <w:sz w:val="19"/>
              </w:rPr>
              <w:t xml:space="preserve"> (entity_id, field_name, model_id)</w:t>
            </w:r>
          </w:p>
          <w:p>
            <w:pPr>
              <w:spacing w:before="0" w:after="0" w:line="240" w:lineRule="auto"/>
            </w:pPr>
            <w:r>
              <w:rPr>
                <w:rFonts w:ascii="Consolas" w:hAnsi="Consolas"/>
                <w:color w:val="D4D4D4"/>
                <w:sz w:val="19"/>
              </w:rPr>
              <w:t>);</w:t>
            </w:r>
          </w:p>
        </w:tc>
      </w:tr>
    </w:tbl>
    <w:p>
      <w:pPr>
        <w:spacing w:before="80"/>
        <w:jc w:val="center"/>
      </w:pPr>
      <w:r>
        <w:rPr>
          <w:i/>
          <w:color w:val="555555"/>
          <w:sz w:val="19"/>
        </w:rPr>
        <w:t>Example 15. Expand/contract migration for embedding vectors — a fast path plus a temporary side table, not four columns per model.</w:t>
      </w:r>
    </w:p>
    <w:p>
      <w:pPr>
        <w:spacing w:after="160"/>
      </w:pPr>
      <w:r>
        <w:rPr>
          <w:b w:val="0"/>
          <w:i w:val="0"/>
        </w:rPr>
        <w:t>Changing javai.embedding.model triggers the background re-indexing job already described in §4.4: new vectors land in embedding_version (expand), reads can optionally blend both during the transition, and once the graph is fully re-indexed the new vectors are promoted into the fast-path column and the side-table rows for that migration are dropped (contract). Swapping the embedding provider entirely — local Qwen3 today, a hosted embedding API tomorrow — is the same JavAIEmbeddingProvider SPI selection mechanism already used for JavAICompletionProvider (§7.3): a configuration key, not a code change.</w:t>
      </w:r>
    </w:p>
    <w:p>
      <w:pPr>
        <w:pStyle w:val="Heading3"/>
      </w:pPr>
      <w:r>
        <w:t>4.5.5 Acceleration Path (Later Phases)</w:t>
      </w:r>
    </w:p>
    <w:p>
      <w:pPr>
        <w:spacing w:after="160"/>
      </w:pPr>
      <w:r>
        <w:rPr>
          <w:b w:val="0"/>
          <w:i w:val="0"/>
        </w:rPr>
        <w:t>Phase 0's HTTP round-trip to a sidecar container is the CPU-only, functionally-complete baseline (§9.1) — correct, not fast. Phase 2 (§9.3) removes the network hop entirely: an alternate JavAIEmbeddingProvider implementation calls ONNX Runtime's Java bindings in-process, using the identical model.onnx file, with a CUDA execution provider swapped in via SessionOptions where a GPU is available and a CPU execution provider elsewhere — same interface, same model, no persisted-vector migration required, because accelerating inference is not the same operation as changing which model produced a vector.</w:t>
      </w:r>
    </w:p>
    <w:p>
      <w:r>
        <w:br w:type="page"/>
      </w:r>
    </w:p>
    <w:p>
      <w:pPr>
        <w:pStyle w:val="Heading1"/>
      </w:pPr>
      <w:r>
        <w:t>5. Extension Areas</w:t>
      </w:r>
    </w:p>
    <w:p>
      <w:pPr>
        <w:spacing w:after="160"/>
      </w:pPr>
      <w:r>
        <w:rPr>
          <w:b w:val="0"/>
          <w:i w:val="0"/>
        </w:rPr>
        <w:t>Everything JavAI adds to Java is organized into seven extension areas. Each is independently understandable, each is delivered as its own Phase 0 library component (§9.1), and — per §2.1's guiding philosophy — each is independently a candidate for upstream proposal if it earns that on its own merits. None of them retrofit sealed JDK classes (Object, java.util.Collection, etc.) from outside, which would require forking the JDK; every primitive is either synthesized into user classes by javaic/the weaver at build time, or shipped as a new, parallel type users opt into explicitly. The seven areas are not independent silos, though — §5.9 lays out how they depend on each other, and §5.10 sketches areas that didn't make this document's initial scope.</w:t>
      </w:r>
    </w:p>
    <w:p>
      <w:pPr>
        <w:pStyle w:val="Heading2"/>
      </w:pPr>
      <w:r>
        <w:t>5.1 Vector Core — Embedding Calculation &amp; Object-Graph Query</w:t>
      </w:r>
    </w:p>
    <w:p>
      <w:pPr>
        <w:spacing w:after="160"/>
      </w:pPr>
      <w:r>
        <w:rPr>
          <w:b w:val="0"/>
          <w:i w:val="0"/>
        </w:rPr>
        <w:t>The area everything else is built on: computing an object's embedding, keeping it current, and searching an object graph by similarity. This is the “genuine gap” identified in §1 and §8 — no existing ORM or language does this automatically as a side effect of mutation.</w:t>
      </w:r>
    </w:p>
    <w:tbl>
      <w:tblPr>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2E5C8A"/>
            <w:tcMar>
              <w:top w:w="80" w:type="dxa"/>
              <w:left w:w="80" w:type="dxa"/>
              <w:bottom w:w="80" w:type="dxa"/>
              <w:right w:w="80" w:type="dxa"/>
            </w:tcMar>
          </w:tcPr>
          <w:p>
            <w:r/>
            <w:r>
              <w:rPr>
                <w:b/>
                <w:color w:val="FFFFFF"/>
                <w:sz w:val="20"/>
              </w:rPr>
              <w:t>Element</w:t>
            </w:r>
          </w:p>
        </w:tc>
        <w:tc>
          <w:tcPr>
            <w:tcW w:type="dxa" w:w="3168"/>
            <w:shd w:val="clear" w:color="auto" w:fill="2E5C8A"/>
            <w:tcMar>
              <w:top w:w="80" w:type="dxa"/>
              <w:left w:w="80" w:type="dxa"/>
              <w:bottom w:w="80" w:type="dxa"/>
              <w:right w:w="80" w:type="dxa"/>
            </w:tcMar>
          </w:tcPr>
          <w:p>
            <w:r/>
            <w:r>
              <w:rPr>
                <w:b/>
                <w:color w:val="FFFFFF"/>
                <w:sz w:val="20"/>
              </w:rPr>
              <w:t>Kind</w:t>
            </w:r>
          </w:p>
        </w:tc>
        <w:tc>
          <w:tcPr>
            <w:tcW w:type="dxa" w:w="4896"/>
            <w:shd w:val="clear" w:color="auto" w:fill="2E5C8A"/>
            <w:tcMar>
              <w:top w:w="80" w:type="dxa"/>
              <w:left w:w="80" w:type="dxa"/>
              <w:bottom w:w="80" w:type="dxa"/>
              <w:right w:w="80" w:type="dxa"/>
            </w:tcMar>
          </w:tcPr>
          <w:p>
            <w:r/>
            <w:r>
              <w:rPr>
                <w:b/>
                <w:color w:val="FFFFFF"/>
                <w:sz w:val="20"/>
              </w:rPr>
              <w:t>Purpose</w:t>
            </w:r>
          </w:p>
        </w:tc>
      </w:tr>
      <w:tr>
        <w:tc>
          <w:tcPr>
            <w:tcW w:type="dxa" w:w="3744"/>
            <w:tcMar>
              <w:top w:w="80" w:type="dxa"/>
              <w:left w:w="80" w:type="dxa"/>
              <w:bottom w:w="80" w:type="dxa"/>
              <w:right w:w="80" w:type="dxa"/>
            </w:tcMar>
          </w:tcPr>
          <w:p>
            <w:r>
              <w:rPr>
                <w:sz w:val="19"/>
              </w:rPr>
              <w:t>JavAIVectorizable</w:t>
            </w:r>
          </w:p>
        </w:tc>
        <w:tc>
          <w:tcPr>
            <w:tcW w:type="dxa" w:w="3168"/>
            <w:tcMar>
              <w:top w:w="80" w:type="dxa"/>
              <w:left w:w="80" w:type="dxa"/>
              <w:bottom w:w="80" w:type="dxa"/>
              <w:right w:w="80" w:type="dxa"/>
            </w:tcMar>
          </w:tcPr>
          <w:p>
            <w:r>
              <w:rPr>
                <w:sz w:val="19"/>
              </w:rPr>
              <w:t>Interface (compiler-implemented)</w:t>
            </w:r>
          </w:p>
        </w:tc>
        <w:tc>
          <w:tcPr>
            <w:tcW w:type="dxa" w:w="4896"/>
            <w:tcMar>
              <w:top w:w="80" w:type="dxa"/>
              <w:left w:w="80" w:type="dxa"/>
              <w:bottom w:w="80" w:type="dxa"/>
              <w:right w:w="80" w:type="dxa"/>
            </w:tcMar>
          </w:tcPr>
          <w:p>
            <w:r>
              <w:rPr>
                <w:sz w:val="19"/>
              </w:rPr>
              <w:t>Implemented automatically on any @JavAIVectorizable class — see the definition below</w:t>
            </w:r>
          </w:p>
        </w:tc>
      </w:tr>
      <w:tr>
        <w:tc>
          <w:tcPr>
            <w:tcW w:type="dxa" w:w="3744"/>
            <w:tcMar>
              <w:top w:w="80" w:type="dxa"/>
              <w:left w:w="80" w:type="dxa"/>
              <w:bottom w:w="80" w:type="dxa"/>
              <w:right w:w="80" w:type="dxa"/>
            </w:tcMar>
          </w:tcPr>
          <w:p>
            <w:r>
              <w:rPr>
                <w:sz w:val="19"/>
              </w:rPr>
              <w:t>EmbeddingVector</w:t>
            </w:r>
          </w:p>
        </w:tc>
        <w:tc>
          <w:tcPr>
            <w:tcW w:type="dxa" w:w="3168"/>
            <w:tcMar>
              <w:top w:w="80" w:type="dxa"/>
              <w:left w:w="80" w:type="dxa"/>
              <w:bottom w:w="80" w:type="dxa"/>
              <w:right w:w="80" w:type="dxa"/>
            </w:tcMar>
          </w:tcPr>
          <w:p>
            <w:r>
              <w:rPr>
                <w:sz w:val="19"/>
              </w:rPr>
              <w:t>Value type</w:t>
            </w:r>
          </w:p>
        </w:tc>
        <w:tc>
          <w:tcPr>
            <w:tcW w:type="dxa" w:w="4896"/>
            <w:tcMar>
              <w:top w:w="80" w:type="dxa"/>
              <w:left w:w="80" w:type="dxa"/>
              <w:bottom w:w="80" w:type="dxa"/>
              <w:right w:w="80" w:type="dxa"/>
            </w:tcMar>
          </w:tcPr>
          <w:p>
            <w:r>
              <w:rPr>
                <w:sz w:val="19"/>
              </w:rPr>
              <w:t>A versioned vector: values, modelId, dims, computedAt (§6.2) — not a bare float[]</w:t>
            </w:r>
          </w:p>
        </w:tc>
      </w:tr>
      <w:tr>
        <w:tc>
          <w:tcPr>
            <w:tcW w:type="dxa" w:w="3744"/>
            <w:tcMar>
              <w:top w:w="80" w:type="dxa"/>
              <w:left w:w="80" w:type="dxa"/>
              <w:bottom w:w="80" w:type="dxa"/>
              <w:right w:w="80" w:type="dxa"/>
            </w:tcMar>
          </w:tcPr>
          <w:p>
            <w:r>
              <w:rPr>
                <w:sz w:val="19"/>
              </w:rPr>
              <w:t>vector(): EmbeddingVector</w:t>
            </w:r>
          </w:p>
        </w:tc>
        <w:tc>
          <w:tcPr>
            <w:tcW w:type="dxa" w:w="3168"/>
            <w:tcMar>
              <w:top w:w="80" w:type="dxa"/>
              <w:left w:w="80" w:type="dxa"/>
              <w:bottom w:w="80" w:type="dxa"/>
              <w:right w:w="80" w:type="dxa"/>
            </w:tcMar>
          </w:tcPr>
          <w:p>
            <w:r>
              <w:rPr>
                <w:sz w:val="19"/>
              </w:rPr>
              <w:t>Method</w:t>
            </w:r>
          </w:p>
        </w:tc>
        <w:tc>
          <w:tcPr>
            <w:tcW w:type="dxa" w:w="4896"/>
            <w:tcMar>
              <w:top w:w="80" w:type="dxa"/>
              <w:left w:w="80" w:type="dxa"/>
              <w:bottom w:w="80" w:type="dxa"/>
              <w:right w:w="80" w:type="dxa"/>
            </w:tcMar>
          </w:tcPr>
          <w:p>
            <w:r>
              <w:rPr>
                <w:sz w:val="19"/>
              </w:rPr>
              <w:t>The object's own canonical embedding, recomputed lazily if dirty</w:t>
            </w:r>
          </w:p>
        </w:tc>
      </w:tr>
      <w:tr>
        <w:tc>
          <w:tcPr>
            <w:tcW w:type="dxa" w:w="3744"/>
            <w:tcMar>
              <w:top w:w="80" w:type="dxa"/>
              <w:left w:w="80" w:type="dxa"/>
              <w:bottom w:w="80" w:type="dxa"/>
              <w:right w:w="80" w:type="dxa"/>
            </w:tcMar>
          </w:tcPr>
          <w:p>
            <w:r>
              <w:rPr>
                <w:sz w:val="19"/>
              </w:rPr>
              <w:t>summaryVector(): EmbeddingVector</w:t>
            </w:r>
          </w:p>
        </w:tc>
        <w:tc>
          <w:tcPr>
            <w:tcW w:type="dxa" w:w="3168"/>
            <w:tcMar>
              <w:top w:w="80" w:type="dxa"/>
              <w:left w:w="80" w:type="dxa"/>
              <w:bottom w:w="80" w:type="dxa"/>
              <w:right w:w="80" w:type="dxa"/>
            </w:tcMar>
          </w:tcPr>
          <w:p>
            <w:r>
              <w:rPr>
                <w:sz w:val="19"/>
              </w:rPr>
              <w:t>Method</w:t>
            </w:r>
          </w:p>
        </w:tc>
        <w:tc>
          <w:tcPr>
            <w:tcW w:type="dxa" w:w="4896"/>
            <w:tcMar>
              <w:top w:w="80" w:type="dxa"/>
              <w:left w:w="80" w:type="dxa"/>
              <w:bottom w:w="80" w:type="dxa"/>
              <w:right w:w="80" w:type="dxa"/>
            </w:tcMar>
          </w:tcPr>
          <w:p>
            <w:r>
              <w:rPr>
                <w:sz w:val="19"/>
              </w:rPr>
              <w:t>Hierarchical embedding over the object's contained/referenced graph (§6.3)</w:t>
            </w:r>
          </w:p>
        </w:tc>
      </w:tr>
      <w:tr>
        <w:tc>
          <w:tcPr>
            <w:tcW w:type="dxa" w:w="3744"/>
            <w:tcMar>
              <w:top w:w="80" w:type="dxa"/>
              <w:left w:w="80" w:type="dxa"/>
              <w:bottom w:w="80" w:type="dxa"/>
              <w:right w:w="80" w:type="dxa"/>
            </w:tcMar>
          </w:tcPr>
          <w:p>
            <w:r>
              <w:rPr>
                <w:sz w:val="19"/>
              </w:rPr>
              <w:t>fieldNameVector(): EmbeddingVector</w:t>
            </w:r>
          </w:p>
        </w:tc>
        <w:tc>
          <w:tcPr>
            <w:tcW w:type="dxa" w:w="3168"/>
            <w:tcMar>
              <w:top w:w="80" w:type="dxa"/>
              <w:left w:w="80" w:type="dxa"/>
              <w:bottom w:w="80" w:type="dxa"/>
              <w:right w:w="80" w:type="dxa"/>
            </w:tcMar>
          </w:tcPr>
          <w:p>
            <w:r>
              <w:rPr>
                <w:sz w:val="19"/>
              </w:rPr>
              <w:t>Method (synthesized per @Vectorize field)</w:t>
            </w:r>
          </w:p>
        </w:tc>
        <w:tc>
          <w:tcPr>
            <w:tcW w:type="dxa" w:w="4896"/>
            <w:tcMar>
              <w:top w:w="80" w:type="dxa"/>
              <w:left w:w="80" w:type="dxa"/>
              <w:bottom w:w="80" w:type="dxa"/>
              <w:right w:w="80" w:type="dxa"/>
            </w:tcMar>
          </w:tcPr>
          <w:p>
            <w:r>
              <w:rPr>
                <w:sz w:val="19"/>
              </w:rPr>
              <w:t>E.g. a @Vectorize field named body gets bodyVector() — type-safe, IDE-discoverable (§6.2)</w:t>
            </w:r>
          </w:p>
        </w:tc>
      </w:tr>
      <w:tr>
        <w:tc>
          <w:tcPr>
            <w:tcW w:type="dxa" w:w="3744"/>
            <w:tcMar>
              <w:top w:w="80" w:type="dxa"/>
              <w:left w:w="80" w:type="dxa"/>
              <w:bottom w:w="80" w:type="dxa"/>
              <w:right w:w="80" w:type="dxa"/>
            </w:tcMar>
          </w:tcPr>
          <w:p>
            <w:r>
              <w:rPr>
                <w:sz w:val="19"/>
              </w:rPr>
              <w:t>fieldVector(String): EmbeddingVector</w:t>
            </w:r>
          </w:p>
        </w:tc>
        <w:tc>
          <w:tcPr>
            <w:tcW w:type="dxa" w:w="3168"/>
            <w:tcMar>
              <w:top w:w="80" w:type="dxa"/>
              <w:left w:w="80" w:type="dxa"/>
              <w:bottom w:w="80" w:type="dxa"/>
              <w:right w:w="80" w:type="dxa"/>
            </w:tcMar>
          </w:tcPr>
          <w:p>
            <w:r>
              <w:rPr>
                <w:sz w:val="19"/>
              </w:rPr>
              <w:t>Method</w:t>
            </w:r>
          </w:p>
        </w:tc>
        <w:tc>
          <w:tcPr>
            <w:tcW w:type="dxa" w:w="4896"/>
            <w:tcMar>
              <w:top w:w="80" w:type="dxa"/>
              <w:left w:w="80" w:type="dxa"/>
              <w:bottom w:w="80" w:type="dxa"/>
              <w:right w:w="80" w:type="dxa"/>
            </w:tcMar>
          </w:tcPr>
          <w:p>
            <w:r>
              <w:rPr>
                <w:sz w:val="19"/>
              </w:rPr>
              <w:t>Dynamic fallback for the per-field accessors above, for reflective/generic tooling</w:t>
            </w:r>
          </w:p>
        </w:tc>
      </w:tr>
      <w:tr>
        <w:tc>
          <w:tcPr>
            <w:tcW w:type="dxa" w:w="3744"/>
            <w:tcMar>
              <w:top w:w="80" w:type="dxa"/>
              <w:left w:w="80" w:type="dxa"/>
              <w:bottom w:w="80" w:type="dxa"/>
              <w:right w:w="80" w:type="dxa"/>
            </w:tcMar>
          </w:tcPr>
          <w:p>
            <w:r>
              <w:rPr>
                <w:sz w:val="19"/>
              </w:rPr>
              <w:t>similarityTo(JavAIVectorizable | EmbeddingVector): double</w:t>
            </w:r>
          </w:p>
        </w:tc>
        <w:tc>
          <w:tcPr>
            <w:tcW w:type="dxa" w:w="3168"/>
            <w:tcMar>
              <w:top w:w="80" w:type="dxa"/>
              <w:left w:w="80" w:type="dxa"/>
              <w:bottom w:w="80" w:type="dxa"/>
              <w:right w:w="80" w:type="dxa"/>
            </w:tcMar>
          </w:tcPr>
          <w:p>
            <w:r>
              <w:rPr>
                <w:sz w:val="19"/>
              </w:rPr>
              <w:t>Method</w:t>
            </w:r>
          </w:p>
        </w:tc>
        <w:tc>
          <w:tcPr>
            <w:tcW w:type="dxa" w:w="4896"/>
            <w:tcMar>
              <w:top w:w="80" w:type="dxa"/>
              <w:left w:w="80" w:type="dxa"/>
              <w:bottom w:w="80" w:type="dxa"/>
              <w:right w:w="80" w:type="dxa"/>
            </w:tcMar>
          </w:tcPr>
          <w:p>
            <w:r>
              <w:rPr>
                <w:sz w:val="19"/>
              </w:rPr>
              <w:t>Cosine similarity; CPU or accelerated backend chosen via invokedynamic (§5.6)</w:t>
            </w:r>
          </w:p>
        </w:tc>
      </w:tr>
      <w:tr>
        <w:tc>
          <w:tcPr>
            <w:tcW w:type="dxa" w:w="3744"/>
            <w:tcMar>
              <w:top w:w="80" w:type="dxa"/>
              <w:left w:w="80" w:type="dxa"/>
              <w:bottom w:w="80" w:type="dxa"/>
              <w:right w:w="80" w:type="dxa"/>
            </w:tcMar>
          </w:tcPr>
          <w:p>
            <w:r>
              <w:rPr>
                <w:sz w:val="19"/>
              </w:rPr>
              <w:t>query(EmbeddingVector, Class&lt;T&gt;): JavAIList&lt;T&gt;</w:t>
            </w:r>
          </w:p>
        </w:tc>
        <w:tc>
          <w:tcPr>
            <w:tcW w:type="dxa" w:w="3168"/>
            <w:tcMar>
              <w:top w:w="80" w:type="dxa"/>
              <w:left w:w="80" w:type="dxa"/>
              <w:bottom w:w="80" w:type="dxa"/>
              <w:right w:w="80" w:type="dxa"/>
            </w:tcMar>
          </w:tcPr>
          <w:p>
            <w:r>
              <w:rPr>
                <w:sz w:val="19"/>
              </w:rPr>
              <w:t>Method</w:t>
            </w:r>
          </w:p>
        </w:tc>
        <w:tc>
          <w:tcPr>
            <w:tcW w:type="dxa" w:w="4896"/>
            <w:tcMar>
              <w:top w:w="80" w:type="dxa"/>
              <w:left w:w="80" w:type="dxa"/>
              <w:bottom w:w="80" w:type="dxa"/>
              <w:right w:w="80" w:type="dxa"/>
            </w:tcMar>
          </w:tcPr>
          <w:p>
            <w:r>
              <w:rPr>
                <w:sz w:val="19"/>
              </w:rPr>
              <w:t>Search this object's reachable graph for instances of T, ranked by similarity (§6.4)</w:t>
            </w:r>
          </w:p>
        </w:tc>
      </w:tr>
      <w:tr>
        <w:tc>
          <w:tcPr>
            <w:tcW w:type="dxa" w:w="3744"/>
            <w:tcMar>
              <w:top w:w="80" w:type="dxa"/>
              <w:left w:w="80" w:type="dxa"/>
              <w:bottom w:w="80" w:type="dxa"/>
              <w:right w:w="80" w:type="dxa"/>
            </w:tcMar>
          </w:tcPr>
          <w:p>
            <w:r>
              <w:rPr>
                <w:sz w:val="19"/>
              </w:rPr>
              <w:t>query(EmbeddingVector, Class&lt;T&gt;, int maxDepth): JavAIList&lt;T&gt;</w:t>
            </w:r>
          </w:p>
        </w:tc>
        <w:tc>
          <w:tcPr>
            <w:tcW w:type="dxa" w:w="3168"/>
            <w:tcMar>
              <w:top w:w="80" w:type="dxa"/>
              <w:left w:w="80" w:type="dxa"/>
              <w:bottom w:w="80" w:type="dxa"/>
              <w:right w:w="80" w:type="dxa"/>
            </w:tcMar>
          </w:tcPr>
          <w:p>
            <w:r>
              <w:rPr>
                <w:sz w:val="19"/>
              </w:rPr>
              <w:t>Method</w:t>
            </w:r>
          </w:p>
        </w:tc>
        <w:tc>
          <w:tcPr>
            <w:tcW w:type="dxa" w:w="4896"/>
            <w:tcMar>
              <w:top w:w="80" w:type="dxa"/>
              <w:left w:w="80" w:type="dxa"/>
              <w:bottom w:w="80" w:type="dxa"/>
              <w:right w:w="80" w:type="dxa"/>
            </w:tcMar>
          </w:tcPr>
          <w:p>
            <w:r>
              <w:rPr>
                <w:sz w:val="19"/>
              </w:rPr>
              <w:t>Same, with an explicit traversal depth limit</w:t>
            </w:r>
          </w:p>
        </w:tc>
      </w:tr>
      <w:tr>
        <w:tc>
          <w:tcPr>
            <w:tcW w:type="dxa" w:w="3744"/>
            <w:tcMar>
              <w:top w:w="80" w:type="dxa"/>
              <w:left w:w="80" w:type="dxa"/>
              <w:bottom w:w="80" w:type="dxa"/>
              <w:right w:w="80" w:type="dxa"/>
            </w:tcMar>
          </w:tcPr>
          <w:p>
            <w:r>
              <w:rPr>
                <w:sz w:val="19"/>
              </w:rPr>
              <w:t>JavAISimilarityBackend</w:t>
            </w:r>
          </w:p>
        </w:tc>
        <w:tc>
          <w:tcPr>
            <w:tcW w:type="dxa" w:w="3168"/>
            <w:tcMar>
              <w:top w:w="80" w:type="dxa"/>
              <w:left w:w="80" w:type="dxa"/>
              <w:bottom w:w="80" w:type="dxa"/>
              <w:right w:w="80" w:type="dxa"/>
            </w:tcMar>
          </w:tcPr>
          <w:p>
            <w:r>
              <w:rPr>
                <w:sz w:val="19"/>
              </w:rPr>
              <w:t>SPI interface</w:t>
            </w:r>
          </w:p>
        </w:tc>
        <w:tc>
          <w:tcPr>
            <w:tcW w:type="dxa" w:w="4896"/>
            <w:tcMar>
              <w:top w:w="80" w:type="dxa"/>
              <w:left w:w="80" w:type="dxa"/>
              <w:bottom w:w="80" w:type="dxa"/>
              <w:right w:w="80" w:type="dxa"/>
            </w:tcMar>
          </w:tcPr>
          <w:p>
            <w:r>
              <w:rPr>
                <w:sz w:val="19"/>
              </w:rPr>
              <w:t>Pluggable similarity engine (CPU/GPU), resolved via invokedynamic bootstrap (§5.6)</w:t>
            </w:r>
          </w:p>
        </w:tc>
      </w:tr>
      <w:tr>
        <w:tc>
          <w:tcPr>
            <w:tcW w:type="dxa" w:w="3744"/>
            <w:tcMar>
              <w:top w:w="80" w:type="dxa"/>
              <w:left w:w="80" w:type="dxa"/>
              <w:bottom w:w="80" w:type="dxa"/>
              <w:right w:w="80" w:type="dxa"/>
            </w:tcMar>
          </w:tcPr>
          <w:p>
            <w:r>
              <w:rPr>
                <w:sz w:val="19"/>
              </w:rPr>
              <w:t>JavAIEmbeddingProvider</w:t>
            </w:r>
          </w:p>
        </w:tc>
        <w:tc>
          <w:tcPr>
            <w:tcW w:type="dxa" w:w="3168"/>
            <w:tcMar>
              <w:top w:w="80" w:type="dxa"/>
              <w:left w:w="80" w:type="dxa"/>
              <w:bottom w:w="80" w:type="dxa"/>
              <w:right w:w="80" w:type="dxa"/>
            </w:tcMar>
          </w:tcPr>
          <w:p>
            <w:r>
              <w:rPr>
                <w:sz w:val="19"/>
              </w:rPr>
              <w:t>SPI interface</w:t>
            </w:r>
          </w:p>
        </w:tc>
        <w:tc>
          <w:tcPr>
            <w:tcW w:type="dxa" w:w="4896"/>
            <w:tcMar>
              <w:top w:w="80" w:type="dxa"/>
              <w:left w:w="80" w:type="dxa"/>
              <w:bottom w:w="80" w:type="dxa"/>
              <w:right w:w="80" w:type="dxa"/>
            </w:tcMar>
          </w:tcPr>
          <w:p>
            <w:r>
              <w:rPr>
                <w:sz w:val="19"/>
              </w:rPr>
              <w:t>Pluggable, versioned embedding-model provider (§4.5)</w:t>
            </w:r>
          </w:p>
        </w:tc>
      </w:tr>
    </w:tbl>
    <w:p>
      <w:pPr>
        <w:spacing w:after="160"/>
      </w:pPr>
      <w:r>
        <w:rPr>
          <w:b w:val="0"/>
          <w:i w:val="0"/>
        </w:rPr>
        <w:t>The annotations that control what gets vectorized and how visible it is to search — the “search-visibility hat” of the two-hat annotation system (§5.5 covers the other hat):</w:t>
      </w:r>
    </w:p>
    <w:tbl>
      <w:tblPr>
        <w:tblW w:type="auto" w:w="0"/>
        <w:jc w:val="center"/>
        <w:tblLayout w:type="fixed"/>
        <w:tblLook w:firstColumn="1" w:firstRow="1" w:lastColumn="0" w:lastRow="0" w:noHBand="0" w:noVBand="1" w:val="04A0"/>
      </w:tblPr>
      <w:tblGrid>
        <w:gridCol w:w="3120"/>
        <w:gridCol w:w="3120"/>
        <w:gridCol w:w="3120"/>
      </w:tblGrid>
      <w:tr>
        <w:tc>
          <w:tcPr>
            <w:tcW w:type="dxa" w:w="3456"/>
            <w:shd w:val="clear" w:color="auto" w:fill="2E5C8A"/>
            <w:tcMar>
              <w:top w:w="80" w:type="dxa"/>
              <w:left w:w="80" w:type="dxa"/>
              <w:bottom w:w="80" w:type="dxa"/>
              <w:right w:w="80" w:type="dxa"/>
            </w:tcMar>
          </w:tcPr>
          <w:p>
            <w:r/>
            <w:r>
              <w:rPr>
                <w:b/>
                <w:color w:val="FFFFFF"/>
                <w:sz w:val="20"/>
              </w:rPr>
              <w:t>Annotation</w:t>
            </w:r>
          </w:p>
        </w:tc>
        <w:tc>
          <w:tcPr>
            <w:tcW w:type="dxa" w:w="2016"/>
            <w:shd w:val="clear" w:color="auto" w:fill="2E5C8A"/>
            <w:tcMar>
              <w:top w:w="80" w:type="dxa"/>
              <w:left w:w="80" w:type="dxa"/>
              <w:bottom w:w="80" w:type="dxa"/>
              <w:right w:w="80" w:type="dxa"/>
            </w:tcMar>
          </w:tcPr>
          <w:p>
            <w:r/>
            <w:r>
              <w:rPr>
                <w:b/>
                <w:color w:val="FFFFFF"/>
                <w:sz w:val="20"/>
              </w:rPr>
              <w:t>Target</w:t>
            </w:r>
          </w:p>
        </w:tc>
        <w:tc>
          <w:tcPr>
            <w:tcW w:type="dxa" w:w="4752"/>
            <w:shd w:val="clear" w:color="auto" w:fill="2E5C8A"/>
            <w:tcMar>
              <w:top w:w="80" w:type="dxa"/>
              <w:left w:w="80" w:type="dxa"/>
              <w:bottom w:w="80" w:type="dxa"/>
              <w:right w:w="80" w:type="dxa"/>
            </w:tcMar>
          </w:tcPr>
          <w:p>
            <w:r/>
            <w:r>
              <w:rPr>
                <w:b/>
                <w:color w:val="FFFFFF"/>
                <w:sz w:val="20"/>
              </w:rPr>
              <w:t>Purpose</w:t>
            </w:r>
          </w:p>
        </w:tc>
      </w:tr>
      <w:tr>
        <w:tc>
          <w:tcPr>
            <w:tcW w:type="dxa" w:w="3456"/>
            <w:tcMar>
              <w:top w:w="80" w:type="dxa"/>
              <w:left w:w="80" w:type="dxa"/>
              <w:bottom w:w="80" w:type="dxa"/>
              <w:right w:w="80" w:type="dxa"/>
            </w:tcMar>
          </w:tcPr>
          <w:p>
            <w:r>
              <w:rPr>
                <w:sz w:val="19"/>
              </w:rPr>
              <w:t>@JavAIVectorizable</w:t>
            </w:r>
          </w:p>
        </w:tc>
        <w:tc>
          <w:tcPr>
            <w:tcW w:type="dxa" w:w="2016"/>
            <w:tcMar>
              <w:top w:w="80" w:type="dxa"/>
              <w:left w:w="80" w:type="dxa"/>
              <w:bottom w:w="80" w:type="dxa"/>
              <w:right w:w="80" w:type="dxa"/>
            </w:tcMar>
          </w:tcPr>
          <w:p>
            <w:r>
              <w:rPr>
                <w:sz w:val="19"/>
              </w:rPr>
              <w:t>class</w:t>
            </w:r>
          </w:p>
        </w:tc>
        <w:tc>
          <w:tcPr>
            <w:tcW w:type="dxa" w:w="4752"/>
            <w:tcMar>
              <w:top w:w="80" w:type="dxa"/>
              <w:left w:w="80" w:type="dxa"/>
              <w:bottom w:w="80" w:type="dxa"/>
              <w:right w:w="80" w:type="dxa"/>
            </w:tcMar>
          </w:tcPr>
          <w:p>
            <w:r>
              <w:rPr>
                <w:sz w:val="19"/>
              </w:rPr>
              <w:t>Opts a class into the JavAIVectorizable interface above; never write “implements JavAIVectorizable” by hand</w:t>
            </w:r>
          </w:p>
        </w:tc>
      </w:tr>
      <w:tr>
        <w:tc>
          <w:tcPr>
            <w:tcW w:type="dxa" w:w="3456"/>
            <w:tcMar>
              <w:top w:w="80" w:type="dxa"/>
              <w:left w:w="80" w:type="dxa"/>
              <w:bottom w:w="80" w:type="dxa"/>
              <w:right w:w="80" w:type="dxa"/>
            </w:tcMar>
          </w:tcPr>
          <w:p>
            <w:r>
              <w:rPr>
                <w:sz w:val="19"/>
              </w:rPr>
              <w:t>@Vectorize / @VectorizeIgnore</w:t>
            </w:r>
          </w:p>
        </w:tc>
        <w:tc>
          <w:tcPr>
            <w:tcW w:type="dxa" w:w="2016"/>
            <w:tcMar>
              <w:top w:w="80" w:type="dxa"/>
              <w:left w:w="80" w:type="dxa"/>
              <w:bottom w:w="80" w:type="dxa"/>
              <w:right w:w="80" w:type="dxa"/>
            </w:tcMar>
          </w:tcPr>
          <w:p>
            <w:r>
              <w:rPr>
                <w:sz w:val="19"/>
              </w:rPr>
              <w:t>field</w:t>
            </w:r>
          </w:p>
        </w:tc>
        <w:tc>
          <w:tcPr>
            <w:tcW w:type="dxa" w:w="4752"/>
            <w:tcMar>
              <w:top w:w="80" w:type="dxa"/>
              <w:left w:w="80" w:type="dxa"/>
              <w:bottom w:w="80" w:type="dxa"/>
              <w:right w:w="80" w:type="dxa"/>
            </w:tcMar>
          </w:tcPr>
          <w:p>
            <w:r>
              <w:rPr>
                <w:sz w:val="19"/>
              </w:rPr>
              <w:t>Include/exclude a field from the local embedding</w:t>
            </w:r>
          </w:p>
        </w:tc>
      </w:tr>
      <w:tr>
        <w:tc>
          <w:tcPr>
            <w:tcW w:type="dxa" w:w="3456"/>
            <w:tcMar>
              <w:top w:w="80" w:type="dxa"/>
              <w:left w:w="80" w:type="dxa"/>
              <w:bottom w:w="80" w:type="dxa"/>
              <w:right w:w="80" w:type="dxa"/>
            </w:tcMar>
          </w:tcPr>
          <w:p>
            <w:r>
              <w:rPr>
                <w:sz w:val="19"/>
              </w:rPr>
              <w:t>@SearchVisibility(PUBLIC|PROTECTED|PRIVATE)</w:t>
            </w:r>
          </w:p>
        </w:tc>
        <w:tc>
          <w:tcPr>
            <w:tcW w:type="dxa" w:w="2016"/>
            <w:tcMar>
              <w:top w:w="80" w:type="dxa"/>
              <w:left w:w="80" w:type="dxa"/>
              <w:bottom w:w="80" w:type="dxa"/>
              <w:right w:w="80" w:type="dxa"/>
            </w:tcMar>
          </w:tcPr>
          <w:p>
            <w:r>
              <w:rPr>
                <w:sz w:val="19"/>
              </w:rPr>
              <w:t>field / class</w:t>
            </w:r>
          </w:p>
        </w:tc>
        <w:tc>
          <w:tcPr>
            <w:tcW w:type="dxa" w:w="4752"/>
            <w:tcMar>
              <w:top w:w="80" w:type="dxa"/>
              <w:left w:w="80" w:type="dxa"/>
              <w:bottom w:w="80" w:type="dxa"/>
              <w:right w:w="80" w:type="dxa"/>
            </w:tcMar>
          </w:tcPr>
          <w:p>
            <w:r>
              <w:rPr>
                <w:sz w:val="19"/>
              </w:rPr>
              <w:t>Search-semantic visibility — object semantics, independent of Java access modifiers</w:t>
            </w:r>
          </w:p>
        </w:tc>
      </w:tr>
      <w:tr>
        <w:tc>
          <w:tcPr>
            <w:tcW w:type="dxa" w:w="3456"/>
            <w:tcMar>
              <w:top w:w="80" w:type="dxa"/>
              <w:left w:w="80" w:type="dxa"/>
              <w:bottom w:w="80" w:type="dxa"/>
              <w:right w:w="80" w:type="dxa"/>
            </w:tcMar>
          </w:tcPr>
          <w:p>
            <w:r>
              <w:rPr>
                <w:sz w:val="19"/>
              </w:rPr>
              <w:t>@Summary</w:t>
            </w:r>
          </w:p>
        </w:tc>
        <w:tc>
          <w:tcPr>
            <w:tcW w:type="dxa" w:w="2016"/>
            <w:tcMar>
              <w:top w:w="80" w:type="dxa"/>
              <w:left w:w="80" w:type="dxa"/>
              <w:bottom w:w="80" w:type="dxa"/>
              <w:right w:w="80" w:type="dxa"/>
            </w:tcMar>
          </w:tcPr>
          <w:p>
            <w:r>
              <w:rPr>
                <w:sz w:val="19"/>
              </w:rPr>
              <w:t>field / class</w:t>
            </w:r>
          </w:p>
        </w:tc>
        <w:tc>
          <w:tcPr>
            <w:tcW w:type="dxa" w:w="4752"/>
            <w:tcMar>
              <w:top w:w="80" w:type="dxa"/>
              <w:left w:w="80" w:type="dxa"/>
              <w:bottom w:w="80" w:type="dxa"/>
              <w:right w:w="80" w:type="dxa"/>
            </w:tcMar>
          </w:tcPr>
          <w:p>
            <w:r>
              <w:rPr>
                <w:sz w:val="19"/>
              </w:rPr>
              <w:t>Marks contribution to a container's hierarchical summary vector</w:t>
            </w:r>
          </w:p>
        </w:tc>
      </w:tr>
      <w:tr>
        <w:tc>
          <w:tcPr>
            <w:tcW w:type="dxa" w:w="3456"/>
            <w:tcMar>
              <w:top w:w="80" w:type="dxa"/>
              <w:left w:w="80" w:type="dxa"/>
              <w:bottom w:w="80" w:type="dxa"/>
              <w:right w:w="80" w:type="dxa"/>
            </w:tcMar>
          </w:tcPr>
          <w:p>
            <w:r>
              <w:rPr>
                <w:sz w:val="19"/>
              </w:rPr>
              <w:t>@EmbeddingModel("id")</w:t>
            </w:r>
          </w:p>
        </w:tc>
        <w:tc>
          <w:tcPr>
            <w:tcW w:type="dxa" w:w="2016"/>
            <w:tcMar>
              <w:top w:w="80" w:type="dxa"/>
              <w:left w:w="80" w:type="dxa"/>
              <w:bottom w:w="80" w:type="dxa"/>
              <w:right w:w="80" w:type="dxa"/>
            </w:tcMar>
          </w:tcPr>
          <w:p>
            <w:r>
              <w:rPr>
                <w:sz w:val="19"/>
              </w:rPr>
              <w:t>class / field</w:t>
            </w:r>
          </w:p>
        </w:tc>
        <w:tc>
          <w:tcPr>
            <w:tcW w:type="dxa" w:w="4752"/>
            <w:tcMar>
              <w:top w:w="80" w:type="dxa"/>
              <w:left w:w="80" w:type="dxa"/>
              <w:bottom w:w="80" w:type="dxa"/>
              <w:right w:w="80" w:type="dxa"/>
            </w:tcMar>
          </w:tcPr>
          <w:p>
            <w:r>
              <w:rPr>
                <w:sz w:val="19"/>
              </w:rPr>
              <w:t>Overrides which embedding model vectorizes this element</w:t>
            </w:r>
          </w:p>
        </w:tc>
      </w:tr>
    </w:tbl>
    <w:p>
      <w:pPr>
        <w:spacing w:after="160"/>
      </w:pPr>
      <w:r>
        <w:rPr>
          <w:b w:val="0"/>
          <w:i w:val="0"/>
        </w:rPr>
        <w:t>A small amount of bookkeeping exists only to make the table above work, and is never meant to be called directly:</w:t>
      </w:r>
    </w:p>
    <w:tbl>
      <w:tblPr>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2E5C8A"/>
            <w:tcMar>
              <w:top w:w="80" w:type="dxa"/>
              <w:left w:w="80" w:type="dxa"/>
              <w:bottom w:w="80" w:type="dxa"/>
              <w:right w:w="80" w:type="dxa"/>
            </w:tcMar>
          </w:tcPr>
          <w:p>
            <w:r/>
            <w:r>
              <w:rPr>
                <w:b/>
                <w:color w:val="FFFFFF"/>
                <w:sz w:val="20"/>
              </w:rPr>
              <w:t>Element</w:t>
            </w:r>
          </w:p>
        </w:tc>
        <w:tc>
          <w:tcPr>
            <w:tcW w:type="dxa" w:w="3168"/>
            <w:shd w:val="clear" w:color="auto" w:fill="2E5C8A"/>
            <w:tcMar>
              <w:top w:w="80" w:type="dxa"/>
              <w:left w:w="80" w:type="dxa"/>
              <w:bottom w:w="80" w:type="dxa"/>
              <w:right w:w="80" w:type="dxa"/>
            </w:tcMar>
          </w:tcPr>
          <w:p>
            <w:r/>
            <w:r>
              <w:rPr>
                <w:b/>
                <w:color w:val="FFFFFF"/>
                <w:sz w:val="20"/>
              </w:rPr>
              <w:t>Kind</w:t>
            </w:r>
          </w:p>
        </w:tc>
        <w:tc>
          <w:tcPr>
            <w:tcW w:type="dxa" w:w="4896"/>
            <w:shd w:val="clear" w:color="auto" w:fill="2E5C8A"/>
            <w:tcMar>
              <w:top w:w="80" w:type="dxa"/>
              <w:left w:w="80" w:type="dxa"/>
              <w:bottom w:w="80" w:type="dxa"/>
              <w:right w:w="80" w:type="dxa"/>
            </w:tcMar>
          </w:tcPr>
          <w:p>
            <w:r/>
            <w:r>
              <w:rPr>
                <w:b/>
                <w:color w:val="FFFFFF"/>
                <w:sz w:val="20"/>
              </w:rPr>
              <w:t>Purpose</w:t>
            </w:r>
          </w:p>
        </w:tc>
      </w:tr>
      <w:tr>
        <w:tc>
          <w:tcPr>
            <w:tcW w:type="dxa" w:w="3744"/>
            <w:tcMar>
              <w:top w:w="80" w:type="dxa"/>
              <w:left w:w="80" w:type="dxa"/>
              <w:bottom w:w="80" w:type="dxa"/>
              <w:right w:w="80" w:type="dxa"/>
            </w:tcMar>
          </w:tcPr>
          <w:p>
            <w:r>
              <w:rPr>
                <w:sz w:val="19"/>
              </w:rPr>
              <w:t>isDirty(): boolean</w:t>
            </w:r>
          </w:p>
        </w:tc>
        <w:tc>
          <w:tcPr>
            <w:tcW w:type="dxa" w:w="3168"/>
            <w:tcMar>
              <w:top w:w="80" w:type="dxa"/>
              <w:left w:w="80" w:type="dxa"/>
              <w:bottom w:w="80" w:type="dxa"/>
              <w:right w:w="80" w:type="dxa"/>
            </w:tcMar>
          </w:tcPr>
          <w:p>
            <w:r>
              <w:rPr>
                <w:sz w:val="19"/>
              </w:rPr>
              <w:t>Synthetic method</w:t>
            </w:r>
          </w:p>
        </w:tc>
        <w:tc>
          <w:tcPr>
            <w:tcW w:type="dxa" w:w="4896"/>
            <w:tcMar>
              <w:top w:w="80" w:type="dxa"/>
              <w:left w:w="80" w:type="dxa"/>
              <w:bottom w:w="80" w:type="dxa"/>
              <w:right w:w="80" w:type="dxa"/>
            </w:tcMar>
          </w:tcPr>
          <w:p>
            <w:r>
              <w:rPr>
                <w:sz w:val="19"/>
              </w:rPr>
              <w:t>Internal dirty-flag read</w:t>
            </w:r>
          </w:p>
        </w:tc>
      </w:tr>
      <w:tr>
        <w:tc>
          <w:tcPr>
            <w:tcW w:type="dxa" w:w="3744"/>
            <w:tcMar>
              <w:top w:w="80" w:type="dxa"/>
              <w:left w:w="80" w:type="dxa"/>
              <w:bottom w:w="80" w:type="dxa"/>
              <w:right w:w="80" w:type="dxa"/>
            </w:tcMar>
          </w:tcPr>
          <w:p>
            <w:r>
              <w:rPr>
                <w:sz w:val="19"/>
              </w:rPr>
              <w:t>markDirty(): void</w:t>
            </w:r>
          </w:p>
        </w:tc>
        <w:tc>
          <w:tcPr>
            <w:tcW w:type="dxa" w:w="3168"/>
            <w:tcMar>
              <w:top w:w="80" w:type="dxa"/>
              <w:left w:w="80" w:type="dxa"/>
              <w:bottom w:w="80" w:type="dxa"/>
              <w:right w:w="80" w:type="dxa"/>
            </w:tcMar>
          </w:tcPr>
          <w:p>
            <w:r>
              <w:rPr>
                <w:sz w:val="19"/>
              </w:rPr>
              <w:t>Synthetic method</w:t>
            </w:r>
          </w:p>
        </w:tc>
        <w:tc>
          <w:tcPr>
            <w:tcW w:type="dxa" w:w="4896"/>
            <w:tcMar>
              <w:top w:w="80" w:type="dxa"/>
              <w:left w:w="80" w:type="dxa"/>
              <w:bottom w:w="80" w:type="dxa"/>
              <w:right w:w="80" w:type="dxa"/>
            </w:tcMar>
          </w:tcPr>
          <w:p>
            <w:r>
              <w:rPr>
                <w:sz w:val="19"/>
              </w:rPr>
              <w:t>Invoked from inside compiler-rewritten setters, never called by application code</w:t>
            </w:r>
          </w:p>
        </w:tc>
      </w:tr>
      <w:tr>
        <w:tc>
          <w:tcPr>
            <w:tcW w:type="dxa" w:w="3744"/>
            <w:tcMar>
              <w:top w:w="80" w:type="dxa"/>
              <w:left w:w="80" w:type="dxa"/>
              <w:bottom w:w="80" w:type="dxa"/>
              <w:right w:w="80" w:type="dxa"/>
            </w:tcMar>
          </w:tcPr>
          <w:p>
            <w:r>
              <w:rPr>
                <w:sz w:val="19"/>
              </w:rPr>
              <w:t>dependents(): Set&lt;WeakReference&lt;Object&gt;&gt;</w:t>
            </w:r>
          </w:p>
        </w:tc>
        <w:tc>
          <w:tcPr>
            <w:tcW w:type="dxa" w:w="3168"/>
            <w:tcMar>
              <w:top w:w="80" w:type="dxa"/>
              <w:left w:w="80" w:type="dxa"/>
              <w:bottom w:w="80" w:type="dxa"/>
              <w:right w:w="80" w:type="dxa"/>
            </w:tcMar>
          </w:tcPr>
          <w:p>
            <w:r>
              <w:rPr>
                <w:sz w:val="19"/>
              </w:rPr>
              <w:t>Synthetic method</w:t>
            </w:r>
          </w:p>
        </w:tc>
        <w:tc>
          <w:tcPr>
            <w:tcW w:type="dxa" w:w="4896"/>
            <w:tcMar>
              <w:top w:w="80" w:type="dxa"/>
              <w:left w:w="80" w:type="dxa"/>
              <w:bottom w:w="80" w:type="dxa"/>
              <w:right w:w="80" w:type="dxa"/>
            </w:tcMar>
          </w:tcPr>
          <w:p>
            <w:r>
              <w:rPr>
                <w:sz w:val="19"/>
              </w:rPr>
              <w:t>The back-edge set used for propagation (§4.3) — package-private</w:t>
            </w:r>
          </w:p>
        </w:tc>
      </w:tr>
    </w:tbl>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i/>
                <w:color w:val="6A9955"/>
                <w:sz w:val="19"/>
              </w:rPr>
              <w:t>// The interface javaic implements on any @JavAIVectorizable class.</w:t>
            </w:r>
          </w:p>
          <w:p>
            <w:pPr>
              <w:spacing w:before="0" w:after="0" w:line="240" w:lineRule="auto"/>
            </w:pPr>
            <w:r>
              <w:rPr>
                <w:rFonts w:ascii="Consolas" w:hAnsi="Consolas"/>
                <w:i/>
                <w:color w:val="6A9955"/>
                <w:sz w:val="19"/>
              </w:rPr>
              <w:t>// You never write "implements JavAIVectorizable" — the annotation is enough.</w:t>
            </w:r>
          </w:p>
          <w:p>
            <w:pPr>
              <w:spacing w:before="0" w:after="0" w:line="240" w:lineRule="auto"/>
            </w:pPr>
            <w:r>
              <w:rPr>
                <w:sz w:val="19"/>
              </w:rPr>
              <w:t xml:space="preserve"> </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JavAIVectorizable</w:t>
            </w:r>
            <w:r>
              <w:rPr>
                <w:rFonts w:ascii="Consolas" w:hAnsi="Consolas"/>
                <w:color w:val="D4D4D4"/>
                <w:sz w:val="19"/>
              </w:rPr>
              <w:t xml:space="preserve"> {</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 xml:space="preserve"> </w:t>
            </w:r>
            <w:r>
              <w:rPr>
                <w:rFonts w:ascii="Consolas" w:hAnsi="Consolas"/>
                <w:color w:val="DCDCAA"/>
                <w:sz w:val="19"/>
              </w:rPr>
              <w:t>vector</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 xml:space="preserve"> </w:t>
            </w:r>
            <w:r>
              <w:rPr>
                <w:rFonts w:ascii="Consolas" w:hAnsi="Consolas"/>
                <w:color w:val="DCDCAA"/>
                <w:sz w:val="19"/>
              </w:rPr>
              <w:t>summaryVector</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569CD6"/>
                <w:sz w:val="19"/>
              </w:rPr>
              <w:t>double</w:t>
            </w:r>
            <w:r>
              <w:rPr>
                <w:rFonts w:ascii="Consolas" w:hAnsi="Consolas"/>
                <w:color w:val="D4D4D4"/>
                <w:sz w:val="19"/>
              </w:rPr>
              <w:t xml:space="preserve"> </w:t>
            </w:r>
            <w:r>
              <w:rPr>
                <w:rFonts w:ascii="Consolas" w:hAnsi="Consolas"/>
                <w:color w:val="DCDCAA"/>
                <w:sz w:val="19"/>
              </w:rPr>
              <w:t>similarityTo</w:t>
            </w:r>
            <w:r>
              <w:rPr>
                <w:rFonts w:ascii="Consolas" w:hAnsi="Consolas"/>
                <w:color w:val="D4D4D4"/>
                <w:sz w:val="19"/>
              </w:rPr>
              <w:t>(</w:t>
            </w:r>
            <w:r>
              <w:rPr>
                <w:rFonts w:ascii="Consolas" w:hAnsi="Consolas"/>
                <w:color w:val="4EC9C0"/>
                <w:sz w:val="19"/>
              </w:rPr>
              <w:t>JavAIVectorizable</w:t>
            </w:r>
            <w:r>
              <w:rPr>
                <w:rFonts w:ascii="Consolas" w:hAnsi="Consolas"/>
                <w:color w:val="D4D4D4"/>
                <w:sz w:val="19"/>
              </w:rPr>
              <w:t xml:space="preserve"> other);</w:t>
            </w:r>
          </w:p>
          <w:p>
            <w:pPr>
              <w:spacing w:before="0" w:after="0" w:line="240" w:lineRule="auto"/>
            </w:pPr>
            <w:r>
              <w:rPr>
                <w:rFonts w:ascii="Consolas" w:hAnsi="Consolas"/>
                <w:color w:val="D4D4D4"/>
                <w:sz w:val="19"/>
              </w:rPr>
              <w:t xml:space="preserve">    </w:t>
            </w:r>
            <w:r>
              <w:rPr>
                <w:rFonts w:ascii="Consolas" w:hAnsi="Consolas"/>
                <w:color w:val="569CD6"/>
                <w:sz w:val="19"/>
              </w:rPr>
              <w:t>double</w:t>
            </w:r>
            <w:r>
              <w:rPr>
                <w:rFonts w:ascii="Consolas" w:hAnsi="Consolas"/>
                <w:color w:val="D4D4D4"/>
                <w:sz w:val="19"/>
              </w:rPr>
              <w:t xml:space="preserve"> </w:t>
            </w:r>
            <w:r>
              <w:rPr>
                <w:rFonts w:ascii="Consolas" w:hAnsi="Consolas"/>
                <w:color w:val="DCDCAA"/>
                <w:sz w:val="19"/>
              </w:rPr>
              <w:t>similarityTo</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i/>
                <w:color w:val="6A9955"/>
                <w:sz w:val="19"/>
              </w:rPr>
              <w:t>// Search this object's reachable graph for instances of `type`,</w:t>
            </w:r>
          </w:p>
          <w:p>
            <w:pPr>
              <w:spacing w:before="0" w:after="0" w:line="240" w:lineRule="auto"/>
            </w:pPr>
            <w:r>
              <w:rPr>
                <w:rFonts w:ascii="Consolas" w:hAnsi="Consolas"/>
                <w:color w:val="D4D4D4"/>
                <w:sz w:val="19"/>
              </w:rPr>
              <w:t xml:space="preserve">    </w:t>
            </w:r>
            <w:r>
              <w:rPr>
                <w:rFonts w:ascii="Consolas" w:hAnsi="Consolas"/>
                <w:i/>
                <w:color w:val="6A9955"/>
                <w:sz w:val="19"/>
              </w:rPr>
              <w:t>// ranked by similarity to `reference`. maxDepth defaults to</w:t>
            </w:r>
          </w:p>
          <w:p>
            <w:pPr>
              <w:spacing w:before="0" w:after="0" w:line="240" w:lineRule="auto"/>
            </w:pPr>
            <w:r>
              <w:rPr>
                <w:rFonts w:ascii="Consolas" w:hAnsi="Consolas"/>
                <w:color w:val="D4D4D4"/>
                <w:sz w:val="19"/>
              </w:rPr>
              <w:t xml:space="preserve">    </w:t>
            </w:r>
            <w:r>
              <w:rPr>
                <w:rFonts w:ascii="Consolas" w:hAnsi="Consolas"/>
                <w:i/>
                <w:color w:val="6A9955"/>
                <w:sz w:val="19"/>
              </w:rPr>
              <w:t>// unbounded-but-cycle-safe: descend until a loop or a leaf.</w:t>
            </w:r>
          </w:p>
          <w:p>
            <w:pPr>
              <w:spacing w:before="0" w:after="0" w:line="240" w:lineRule="auto"/>
            </w:pPr>
            <w:r>
              <w:rPr>
                <w:rFonts w:ascii="Consolas" w:hAnsi="Consolas"/>
                <w:color w:val="D4D4D4"/>
                <w:sz w:val="19"/>
              </w:rPr>
              <w:t xml:space="preserve">    &lt;</w:t>
            </w:r>
            <w:r>
              <w:rPr>
                <w:rFonts w:ascii="Consolas" w:hAnsi="Consolas"/>
                <w:color w:val="4EC9C0"/>
                <w:sz w:val="19"/>
              </w:rPr>
              <w:t>T</w:t>
            </w:r>
            <w:r>
              <w:rPr>
                <w:rFonts w:ascii="Consolas" w:hAnsi="Consolas"/>
                <w:color w:val="D4D4D4"/>
                <w:sz w:val="19"/>
              </w:rPr>
              <w:t xml:space="preserve">&gt; </w:t>
            </w:r>
            <w:r>
              <w:rPr>
                <w:rFonts w:ascii="Consolas" w:hAnsi="Consolas"/>
                <w:color w:val="4EC9C0"/>
                <w:sz w:val="19"/>
              </w:rPr>
              <w:t>JavAIList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DCDCAA"/>
                <w:sz w:val="19"/>
              </w:rPr>
              <w:t>query</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4EC9C0"/>
                <w:sz w:val="19"/>
              </w:rPr>
              <w:t>Class</w:t>
            </w:r>
            <w:r>
              <w:rPr>
                <w:rFonts w:ascii="Consolas" w:hAnsi="Consolas"/>
                <w:color w:val="D4D4D4"/>
                <w:sz w:val="19"/>
              </w:rPr>
              <w:t>&lt;</w:t>
            </w:r>
            <w:r>
              <w:rPr>
                <w:rFonts w:ascii="Consolas" w:hAnsi="Consolas"/>
                <w:color w:val="4EC9C0"/>
                <w:sz w:val="19"/>
              </w:rPr>
              <w:t>T</w:t>
            </w:r>
            <w:r>
              <w:rPr>
                <w:rFonts w:ascii="Consolas" w:hAnsi="Consolas"/>
                <w:color w:val="D4D4D4"/>
                <w:sz w:val="19"/>
              </w:rPr>
              <w:t>&gt; type);</w:t>
            </w:r>
          </w:p>
          <w:p>
            <w:pPr>
              <w:spacing w:before="0" w:after="0" w:line="240" w:lineRule="auto"/>
            </w:pPr>
            <w:r>
              <w:rPr>
                <w:rFonts w:ascii="Consolas" w:hAnsi="Consolas"/>
                <w:color w:val="D4D4D4"/>
                <w:sz w:val="19"/>
              </w:rPr>
              <w:t xml:space="preserve">    &lt;</w:t>
            </w:r>
            <w:r>
              <w:rPr>
                <w:rFonts w:ascii="Consolas" w:hAnsi="Consolas"/>
                <w:color w:val="4EC9C0"/>
                <w:sz w:val="19"/>
              </w:rPr>
              <w:t>T</w:t>
            </w:r>
            <w:r>
              <w:rPr>
                <w:rFonts w:ascii="Consolas" w:hAnsi="Consolas"/>
                <w:color w:val="D4D4D4"/>
                <w:sz w:val="19"/>
              </w:rPr>
              <w:t xml:space="preserve">&gt; </w:t>
            </w:r>
            <w:r>
              <w:rPr>
                <w:rFonts w:ascii="Consolas" w:hAnsi="Consolas"/>
                <w:color w:val="4EC9C0"/>
                <w:sz w:val="19"/>
              </w:rPr>
              <w:t>JavAIList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DCDCAA"/>
                <w:sz w:val="19"/>
              </w:rPr>
              <w:t>query</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4EC9C0"/>
                <w:sz w:val="19"/>
              </w:rPr>
              <w:t>Class</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type, </w:t>
            </w:r>
            <w:r>
              <w:rPr>
                <w:rFonts w:ascii="Consolas" w:hAnsi="Consolas"/>
                <w:color w:val="569CD6"/>
                <w:sz w:val="19"/>
              </w:rPr>
              <w:t>int</w:t>
            </w:r>
            <w:r>
              <w:rPr>
                <w:rFonts w:ascii="Consolas" w:hAnsi="Consolas"/>
                <w:color w:val="D4D4D4"/>
                <w:sz w:val="19"/>
              </w:rPr>
              <w:t xml:space="preserve"> maxDepth);</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i/>
                <w:color w:val="6A9955"/>
                <w:sz w:val="19"/>
              </w:rPr>
              <w:t>// Dynamic counterpart to the per-field bodyVector()-style accessors</w:t>
            </w:r>
          </w:p>
          <w:p>
            <w:pPr>
              <w:spacing w:before="0" w:after="0" w:line="240" w:lineRule="auto"/>
            </w:pPr>
            <w:r>
              <w:rPr>
                <w:rFonts w:ascii="Consolas" w:hAnsi="Consolas"/>
                <w:color w:val="D4D4D4"/>
                <w:sz w:val="19"/>
              </w:rPr>
              <w:t xml:space="preserve">    </w:t>
            </w:r>
            <w:r>
              <w:rPr>
                <w:rFonts w:ascii="Consolas" w:hAnsi="Consolas"/>
                <w:i/>
                <w:color w:val="6A9955"/>
                <w:sz w:val="19"/>
              </w:rPr>
              <w:t>// javaic also synthesizes for every @Vectorize field (see @JavAIVectorizable/§6.2).</w:t>
            </w:r>
          </w:p>
          <w:p>
            <w:pPr>
              <w:spacing w:before="0" w:after="0" w:line="240" w:lineRule="auto"/>
            </w:pP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 xml:space="preserve"> </w:t>
            </w:r>
            <w:r>
              <w:rPr>
                <w:rFonts w:ascii="Consolas" w:hAnsi="Consolas"/>
                <w:color w:val="DCDCAA"/>
                <w:sz w:val="19"/>
              </w:rPr>
              <w:t>fieldVector</w:t>
            </w:r>
            <w:r>
              <w:rPr>
                <w:rFonts w:ascii="Consolas" w:hAnsi="Consolas"/>
                <w:color w:val="D4D4D4"/>
                <w:sz w:val="19"/>
              </w:rPr>
              <w:t>(</w:t>
            </w:r>
            <w:r>
              <w:rPr>
                <w:rFonts w:ascii="Consolas" w:hAnsi="Consolas"/>
                <w:color w:val="4EC9C0"/>
                <w:sz w:val="19"/>
              </w:rPr>
              <w:t>String</w:t>
            </w:r>
            <w:r>
              <w:rPr>
                <w:rFonts w:ascii="Consolas" w:hAnsi="Consolas"/>
                <w:color w:val="D4D4D4"/>
                <w:sz w:val="19"/>
              </w:rPr>
              <w:t xml:space="preserve"> fieldName);</w:t>
            </w:r>
          </w:p>
          <w:p>
            <w:pPr>
              <w:spacing w:before="0" w:after="0" w:line="240" w:lineRule="auto"/>
            </w:pPr>
            <w:r>
              <w:rPr>
                <w:rFonts w:ascii="Consolas" w:hAnsi="Consolas"/>
                <w:color w:val="D4D4D4"/>
                <w:sz w:val="19"/>
              </w:rPr>
              <w:t>}</w:t>
            </w:r>
          </w:p>
        </w:tc>
      </w:tr>
    </w:tbl>
    <w:p>
      <w:pPr>
        <w:spacing w:before="80"/>
        <w:jc w:val="center"/>
      </w:pPr>
      <w:r>
        <w:rPr>
          <w:i/>
          <w:color w:val="555555"/>
          <w:sz w:val="19"/>
        </w:rPr>
        <w:t>Example 3. The full JavAIVectorizable contract — the core of Vector Core.</w:t>
      </w:r>
    </w:p>
    <w:p>
      <w:pPr>
        <w:pStyle w:val="Heading2"/>
      </w:pPr>
      <w:r>
        <w:t>5.2 Persistence Bridge — Automated JPA Vectorization &amp; Persisted Search</w:t>
      </w:r>
    </w:p>
    <w:p>
      <w:pPr>
        <w:spacing w:after="160"/>
      </w:pPr>
      <w:r>
        <w:rPr>
          <w:b w:val="0"/>
          <w:i w:val="0"/>
        </w:rPr>
        <w:t>Takes what Vector Core computes in memory and makes it durable and queryable in a real store, without asking the developer to hand-manage a parallel vector index alongside their ORM. Full deep dive in §4.4 and §4.5; a worked JPA-style query is in §6.6.</w:t>
      </w:r>
    </w:p>
    <w:tbl>
      <w:tblPr>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2E5C8A"/>
            <w:tcMar>
              <w:top w:w="80" w:type="dxa"/>
              <w:left w:w="80" w:type="dxa"/>
              <w:bottom w:w="80" w:type="dxa"/>
              <w:right w:w="80" w:type="dxa"/>
            </w:tcMar>
          </w:tcPr>
          <w:p>
            <w:r/>
            <w:r>
              <w:rPr>
                <w:b/>
                <w:color w:val="FFFFFF"/>
                <w:sz w:val="20"/>
              </w:rPr>
              <w:t>Element</w:t>
            </w:r>
          </w:p>
        </w:tc>
        <w:tc>
          <w:tcPr>
            <w:tcW w:type="dxa" w:w="2880"/>
            <w:shd w:val="clear" w:color="auto" w:fill="2E5C8A"/>
            <w:tcMar>
              <w:top w:w="80" w:type="dxa"/>
              <w:left w:w="80" w:type="dxa"/>
              <w:bottom w:w="80" w:type="dxa"/>
              <w:right w:w="80" w:type="dxa"/>
            </w:tcMar>
          </w:tcPr>
          <w:p>
            <w:r/>
            <w:r>
              <w:rPr>
                <w:b/>
                <w:color w:val="FFFFFF"/>
                <w:sz w:val="20"/>
              </w:rPr>
              <w:t>Kind</w:t>
            </w:r>
          </w:p>
        </w:tc>
        <w:tc>
          <w:tcPr>
            <w:tcW w:type="dxa" w:w="4896"/>
            <w:shd w:val="clear" w:color="auto" w:fill="2E5C8A"/>
            <w:tcMar>
              <w:top w:w="80" w:type="dxa"/>
              <w:left w:w="80" w:type="dxa"/>
              <w:bottom w:w="80" w:type="dxa"/>
              <w:right w:w="80" w:type="dxa"/>
            </w:tcMar>
          </w:tcPr>
          <w:p>
            <w:r/>
            <w:r>
              <w:rPr>
                <w:b/>
                <w:color w:val="FFFFFF"/>
                <w:sz w:val="20"/>
              </w:rPr>
              <w:t>Purpose</w:t>
            </w:r>
          </w:p>
        </w:tc>
      </w:tr>
      <w:tr>
        <w:tc>
          <w:tcPr>
            <w:tcW w:type="dxa" w:w="3744"/>
            <w:tcMar>
              <w:top w:w="80" w:type="dxa"/>
              <w:left w:w="80" w:type="dxa"/>
              <w:bottom w:w="80" w:type="dxa"/>
              <w:right w:w="80" w:type="dxa"/>
            </w:tcMar>
          </w:tcPr>
          <w:p>
            <w:r>
              <w:rPr>
                <w:sz w:val="19"/>
              </w:rPr>
              <w:t>JavAIPI</w:t>
            </w:r>
          </w:p>
        </w:tc>
        <w:tc>
          <w:tcPr>
            <w:tcW w:type="dxa" w:w="2880"/>
            <w:tcMar>
              <w:top w:w="80" w:type="dxa"/>
              <w:left w:w="80" w:type="dxa"/>
              <w:bottom w:w="80" w:type="dxa"/>
              <w:right w:w="80" w:type="dxa"/>
            </w:tcMar>
          </w:tcPr>
          <w:p>
            <w:r>
              <w:rPr>
                <w:sz w:val="19"/>
              </w:rPr>
              <w:t>Internal contract</w:t>
            </w:r>
          </w:p>
        </w:tc>
        <w:tc>
          <w:tcPr>
            <w:tcW w:type="dxa" w:w="4896"/>
            <w:tcMar>
              <w:top w:w="80" w:type="dxa"/>
              <w:left w:w="80" w:type="dxa"/>
              <w:bottom w:w="80" w:type="dxa"/>
              <w:right w:w="80" w:type="dxa"/>
            </w:tcMar>
          </w:tcPr>
          <w:p>
            <w:r>
              <w:rPr>
                <w:sz w:val="19"/>
              </w:rPr>
              <w:t>The save/query/re-index contract JavAI objects speak internally (§4.4)</w:t>
            </w:r>
          </w:p>
        </w:tc>
      </w:tr>
      <w:tr>
        <w:tc>
          <w:tcPr>
            <w:tcW w:type="dxa" w:w="3744"/>
            <w:tcMar>
              <w:top w:w="80" w:type="dxa"/>
              <w:left w:w="80" w:type="dxa"/>
              <w:bottom w:w="80" w:type="dxa"/>
              <w:right w:w="80" w:type="dxa"/>
            </w:tcMar>
          </w:tcPr>
          <w:p>
            <w:r>
              <w:rPr>
                <w:sz w:val="19"/>
              </w:rPr>
              <w:t>JavAIRepository&lt;T&gt;</w:t>
            </w:r>
          </w:p>
        </w:tc>
        <w:tc>
          <w:tcPr>
            <w:tcW w:type="dxa" w:w="2880"/>
            <w:tcMar>
              <w:top w:w="80" w:type="dxa"/>
              <w:left w:w="80" w:type="dxa"/>
              <w:bottom w:w="80" w:type="dxa"/>
              <w:right w:w="80" w:type="dxa"/>
            </w:tcMar>
          </w:tcPr>
          <w:p>
            <w:r>
              <w:rPr>
                <w:sz w:val="19"/>
              </w:rPr>
              <w:t>Interface</w:t>
            </w:r>
          </w:p>
        </w:tc>
        <w:tc>
          <w:tcPr>
            <w:tcW w:type="dxa" w:w="4896"/>
            <w:tcMar>
              <w:top w:w="80" w:type="dxa"/>
              <w:left w:w="80" w:type="dxa"/>
              <w:bottom w:w="80" w:type="dxa"/>
              <w:right w:w="80" w:type="dxa"/>
            </w:tcMar>
          </w:tcPr>
          <w:p>
            <w:r>
              <w:rPr>
                <w:sz w:val="19"/>
              </w:rPr>
              <w:t>Spring-Data-style repository base; delegates to existing derived-query-method machinery</w:t>
            </w:r>
          </w:p>
        </w:tc>
      </w:tr>
      <w:tr>
        <w:tc>
          <w:tcPr>
            <w:tcW w:type="dxa" w:w="3744"/>
            <w:tcMar>
              <w:top w:w="80" w:type="dxa"/>
              <w:left w:w="80" w:type="dxa"/>
              <w:bottom w:w="80" w:type="dxa"/>
              <w:right w:w="80" w:type="dxa"/>
            </w:tcMar>
          </w:tcPr>
          <w:p>
            <w:r>
              <w:rPr>
                <w:sz w:val="19"/>
              </w:rPr>
              <w:t>findNearestBy&lt;Field&gt;(EmbeddingVector, int limit)</w:t>
            </w:r>
          </w:p>
        </w:tc>
        <w:tc>
          <w:tcPr>
            <w:tcW w:type="dxa" w:w="2880"/>
            <w:tcMar>
              <w:top w:w="80" w:type="dxa"/>
              <w:left w:w="80" w:type="dxa"/>
              <w:bottom w:w="80" w:type="dxa"/>
              <w:right w:w="80" w:type="dxa"/>
            </w:tcMar>
          </w:tcPr>
          <w:p>
            <w:r>
              <w:rPr>
                <w:sz w:val="19"/>
              </w:rPr>
              <w:t>Derived query method convention</w:t>
            </w:r>
          </w:p>
        </w:tc>
        <w:tc>
          <w:tcPr>
            <w:tcW w:type="dxa" w:w="4896"/>
            <w:tcMar>
              <w:top w:w="80" w:type="dxa"/>
              <w:left w:w="80" w:type="dxa"/>
              <w:bottom w:w="80" w:type="dxa"/>
              <w:right w:w="80" w:type="dxa"/>
            </w:tcMar>
          </w:tcPr>
          <w:p>
            <w:r>
              <w:rPr>
                <w:sz w:val="19"/>
              </w:rPr>
              <w:t>E.g. findNearestByBodyVector — repository-level nearest-neighbor search (§6.6)</w:t>
            </w:r>
          </w:p>
        </w:tc>
      </w:tr>
      <w:tr>
        <w:tc>
          <w:tcPr>
            <w:tcW w:type="dxa" w:w="3744"/>
            <w:tcMar>
              <w:top w:w="80" w:type="dxa"/>
              <w:left w:w="80" w:type="dxa"/>
              <w:bottom w:w="80" w:type="dxa"/>
              <w:right w:w="80" w:type="dxa"/>
            </w:tcMar>
          </w:tcPr>
          <w:p>
            <w:r>
              <w:rPr>
                <w:sz w:val="19"/>
              </w:rPr>
              <w:t>Hibernate-based enhancement shim</w:t>
            </w:r>
          </w:p>
        </w:tc>
        <w:tc>
          <w:tcPr>
            <w:tcW w:type="dxa" w:w="2880"/>
            <w:tcMar>
              <w:top w:w="80" w:type="dxa"/>
              <w:left w:w="80" w:type="dxa"/>
              <w:bottom w:w="80" w:type="dxa"/>
              <w:right w:w="80" w:type="dxa"/>
            </w:tcMar>
          </w:tcPr>
          <w:p>
            <w:r>
              <w:rPr>
                <w:sz w:val="19"/>
              </w:rPr>
              <w:t>Mechanism</w:t>
            </w:r>
          </w:p>
        </w:tc>
        <w:tc>
          <w:tcPr>
            <w:tcW w:type="dxa" w:w="4896"/>
            <w:tcMar>
              <w:top w:w="80" w:type="dxa"/>
              <w:left w:w="80" w:type="dxa"/>
              <w:bottom w:w="80" w:type="dxa"/>
              <w:right w:w="80" w:type="dxa"/>
            </w:tcMar>
          </w:tcPr>
          <w:p>
            <w:r>
              <w:rPr>
                <w:sz w:val="19"/>
              </w:rPr>
              <w:t>ByteBuddy enhancement via Hibernate's EnhancementContext-style SPI (§4.4)</w:t>
            </w:r>
          </w:p>
        </w:tc>
      </w:tr>
      <w:tr>
        <w:tc>
          <w:tcPr>
            <w:tcW w:type="dxa" w:w="3744"/>
            <w:tcMar>
              <w:top w:w="80" w:type="dxa"/>
              <w:left w:w="80" w:type="dxa"/>
              <w:bottom w:w="80" w:type="dxa"/>
              <w:right w:w="80" w:type="dxa"/>
            </w:tcMar>
          </w:tcPr>
          <w:p>
            <w:r>
              <w:rPr>
                <w:sz w:val="19"/>
              </w:rPr>
              <w:t>hibernate-vector module</w:t>
            </w:r>
          </w:p>
        </w:tc>
        <w:tc>
          <w:tcPr>
            <w:tcW w:type="dxa" w:w="2880"/>
            <w:tcMar>
              <w:top w:w="80" w:type="dxa"/>
              <w:left w:w="80" w:type="dxa"/>
              <w:bottom w:w="80" w:type="dxa"/>
              <w:right w:w="80" w:type="dxa"/>
            </w:tcMar>
          </w:tcPr>
          <w:p>
            <w:r>
              <w:rPr>
                <w:sz w:val="19"/>
              </w:rPr>
              <w:t>Dependency</w:t>
            </w:r>
          </w:p>
        </w:tc>
        <w:tc>
          <w:tcPr>
            <w:tcW w:type="dxa" w:w="4896"/>
            <w:tcMar>
              <w:top w:w="80" w:type="dxa"/>
              <w:left w:w="80" w:type="dxa"/>
              <w:bottom w:w="80" w:type="dxa"/>
              <w:right w:w="80" w:type="dxa"/>
            </w:tcMar>
          </w:tcPr>
          <w:p>
            <w:r>
              <w:rPr>
                <w:sz w:val="19"/>
              </w:rPr>
              <w:t>Native pgvector column mapping (@JdbcTypeCode(SqlTypes.VECTOR))</w:t>
            </w:r>
          </w:p>
        </w:tc>
      </w:tr>
      <w:tr>
        <w:tc>
          <w:tcPr>
            <w:tcW w:type="dxa" w:w="3744"/>
            <w:tcMar>
              <w:top w:w="80" w:type="dxa"/>
              <w:left w:w="80" w:type="dxa"/>
              <w:bottom w:w="80" w:type="dxa"/>
              <w:right w:w="80" w:type="dxa"/>
            </w:tcMar>
          </w:tcPr>
          <w:p>
            <w:r>
              <w:rPr>
                <w:sz w:val="19"/>
              </w:rPr>
              <w:t>Neo4j-facing shim</w:t>
            </w:r>
          </w:p>
        </w:tc>
        <w:tc>
          <w:tcPr>
            <w:tcW w:type="dxa" w:w="2880"/>
            <w:tcMar>
              <w:top w:w="80" w:type="dxa"/>
              <w:left w:w="80" w:type="dxa"/>
              <w:bottom w:w="80" w:type="dxa"/>
              <w:right w:w="80" w:type="dxa"/>
            </w:tcMar>
          </w:tcPr>
          <w:p>
            <w:r>
              <w:rPr>
                <w:sz w:val="19"/>
              </w:rPr>
              <w:t>Mechanism</w:t>
            </w:r>
          </w:p>
        </w:tc>
        <w:tc>
          <w:tcPr>
            <w:tcW w:type="dxa" w:w="4896"/>
            <w:tcMar>
              <w:top w:w="80" w:type="dxa"/>
              <w:left w:w="80" w:type="dxa"/>
              <w:bottom w:w="80" w:type="dxa"/>
              <w:right w:w="80" w:type="dxa"/>
            </w:tcMar>
          </w:tcPr>
          <w:p>
            <w:r>
              <w:rPr>
                <w:sz w:val="19"/>
              </w:rPr>
              <w:t>Parallel graph-native persistence backend, same JavAIPI contract</w:t>
            </w:r>
          </w:p>
        </w:tc>
      </w:tr>
      <w:tr>
        <w:tc>
          <w:tcPr>
            <w:tcW w:type="dxa" w:w="3744"/>
            <w:tcMar>
              <w:top w:w="80" w:type="dxa"/>
              <w:left w:w="80" w:type="dxa"/>
              <w:bottom w:w="80" w:type="dxa"/>
              <w:right w:w="80" w:type="dxa"/>
            </w:tcMar>
          </w:tcPr>
          <w:p>
            <w:r>
              <w:rPr>
                <w:sz w:val="19"/>
              </w:rPr>
              <w:t>embedding_version side table / expand-contract migration</w:t>
            </w:r>
          </w:p>
        </w:tc>
        <w:tc>
          <w:tcPr>
            <w:tcW w:type="dxa" w:w="2880"/>
            <w:tcMar>
              <w:top w:w="80" w:type="dxa"/>
              <w:left w:w="80" w:type="dxa"/>
              <w:bottom w:w="80" w:type="dxa"/>
              <w:right w:w="80" w:type="dxa"/>
            </w:tcMar>
          </w:tcPr>
          <w:p>
            <w:r>
              <w:rPr>
                <w:sz w:val="19"/>
              </w:rPr>
              <w:t>Pattern</w:t>
            </w:r>
          </w:p>
        </w:tc>
        <w:tc>
          <w:tcPr>
            <w:tcW w:type="dxa" w:w="4896"/>
            <w:tcMar>
              <w:top w:w="80" w:type="dxa"/>
              <w:left w:w="80" w:type="dxa"/>
              <w:bottom w:w="80" w:type="dxa"/>
              <w:right w:w="80" w:type="dxa"/>
            </w:tcMar>
          </w:tcPr>
          <w:p>
            <w:r>
              <w:rPr>
                <w:sz w:val="19"/>
              </w:rPr>
              <w:t>Versioned vector storage across model changes, non-destructive (§4.5.4)</w:t>
            </w:r>
          </w:p>
        </w:tc>
      </w:tr>
    </w:tbl>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ArticleRepository</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JavAIRepository</w:t>
            </w:r>
            <w:r>
              <w:rPr>
                <w:rFonts w:ascii="Consolas" w:hAnsi="Consolas"/>
                <w:color w:val="D4D4D4"/>
                <w:sz w:val="19"/>
              </w:rPr>
              <w:t>&lt;</w:t>
            </w:r>
            <w:r>
              <w:rPr>
                <w:rFonts w:ascii="Consolas" w:hAnsi="Consolas"/>
                <w:color w:val="4EC9C0"/>
                <w:sz w:val="19"/>
              </w:rPr>
              <w:t>Article</w:t>
            </w:r>
            <w:r>
              <w:rPr>
                <w:rFonts w:ascii="Consolas" w:hAnsi="Consolas"/>
                <w:color w:val="D4D4D4"/>
                <w:sz w:val="19"/>
              </w:rPr>
              <w:t>&gt; {</w:t>
            </w:r>
          </w:p>
          <w:p>
            <w:pPr>
              <w:spacing w:before="0" w:after="0" w:line="240" w:lineRule="auto"/>
            </w:pPr>
            <w:r>
              <w:rPr>
                <w:rFonts w:ascii="Consolas" w:hAnsi="Consolas"/>
                <w:color w:val="D4D4D4"/>
                <w:sz w:val="19"/>
              </w:rPr>
              <w:t xml:space="preserve">    </w:t>
            </w:r>
            <w:r>
              <w:rPr>
                <w:rFonts w:ascii="Consolas" w:hAnsi="Consolas"/>
                <w:color w:val="4EC9C0"/>
                <w:sz w:val="19"/>
              </w:rPr>
              <w:t>List</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&gt; </w:t>
            </w:r>
            <w:r>
              <w:rPr>
                <w:rFonts w:ascii="Consolas" w:hAnsi="Consolas"/>
                <w:color w:val="DCDCAA"/>
                <w:sz w:val="19"/>
              </w:rPr>
              <w:t>findNearestByBodyVector</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569CD6"/>
                <w:sz w:val="19"/>
              </w:rPr>
              <w:t>int</w:t>
            </w:r>
            <w:r>
              <w:rPr>
                <w:rFonts w:ascii="Consolas" w:hAnsi="Consolas"/>
                <w:color w:val="D4D4D4"/>
                <w:sz w:val="19"/>
              </w:rPr>
              <w:t xml:space="preserve"> limit);</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ArticleRepository</w:t>
            </w:r>
            <w:r>
              <w:rPr>
                <w:rFonts w:ascii="Consolas" w:hAnsi="Consolas"/>
                <w:color w:val="D4D4D4"/>
                <w:sz w:val="19"/>
              </w:rPr>
              <w:t xml:space="preserve"> repo = </w:t>
            </w:r>
            <w:r>
              <w:rPr>
                <w:rFonts w:ascii="Consolas" w:hAnsi="Consolas"/>
                <w:color w:val="4EC9C0"/>
                <w:sz w:val="19"/>
              </w:rPr>
              <w:t>JavAIPI</w:t>
            </w:r>
            <w:r>
              <w:rPr>
                <w:rFonts w:ascii="Consolas" w:hAnsi="Consolas"/>
                <w:color w:val="D4D4D4"/>
                <w:sz w:val="19"/>
              </w:rPr>
              <w:t>.</w:t>
            </w:r>
            <w:r>
              <w:rPr>
                <w:rFonts w:ascii="Consolas" w:hAnsi="Consolas"/>
                <w:color w:val="DCDCAA"/>
                <w:sz w:val="19"/>
              </w:rPr>
              <w:t>repository</w:t>
            </w:r>
            <w:r>
              <w:rPr>
                <w:rFonts w:ascii="Consolas" w:hAnsi="Consolas"/>
                <w:color w:val="D4D4D4"/>
                <w:sz w:val="19"/>
              </w:rPr>
              <w:t>(</w:t>
            </w:r>
            <w:r>
              <w:rPr>
                <w:rFonts w:ascii="Consolas" w:hAnsi="Consolas"/>
                <w:color w:val="4EC9C0"/>
                <w:sz w:val="19"/>
              </w:rPr>
              <w:t>ArticleRepository</w:t>
            </w:r>
            <w:r>
              <w:rPr>
                <w:rFonts w:ascii="Consolas" w:hAnsi="Consolas"/>
                <w:color w:val="D4D4D4"/>
                <w:sz w:val="19"/>
              </w:rPr>
              <w:t>.</w:t>
            </w:r>
            <w:r>
              <w:rPr>
                <w:rFonts w:ascii="Consolas" w:hAnsi="Consolas"/>
                <w:color w:val="569CD6"/>
                <w:sz w:val="19"/>
              </w:rPr>
              <w:t>class</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D4D4D4"/>
                <w:sz w:val="19"/>
              </w:rPr>
              <w:t>repo.</w:t>
            </w:r>
            <w:r>
              <w:rPr>
                <w:rFonts w:ascii="Consolas" w:hAnsi="Consolas"/>
                <w:color w:val="DCDCAA"/>
                <w:sz w:val="19"/>
              </w:rPr>
              <w:t>save</w:t>
            </w:r>
            <w:r>
              <w:rPr>
                <w:rFonts w:ascii="Consolas" w:hAnsi="Consolas"/>
                <w:color w:val="D4D4D4"/>
                <w:sz w:val="19"/>
              </w:rPr>
              <w:t xml:space="preserve">(article);   </w:t>
            </w:r>
            <w:r>
              <w:rPr>
                <w:rFonts w:ascii="Consolas" w:hAnsi="Consolas"/>
                <w:i/>
                <w:color w:val="6A9955"/>
                <w:sz w:val="19"/>
              </w:rPr>
              <w:t>// auto-vectorized on write -- backend picked by javai.persistence.backend</w:t>
            </w:r>
          </w:p>
          <w:p>
            <w:pPr>
              <w:spacing w:before="0" w:after="0" w:line="240" w:lineRule="auto"/>
            </w:pPr>
            <w:r>
              <w:rPr>
                <w:sz w:val="19"/>
              </w:rPr>
              <w:t xml:space="preserve"> </w:t>
            </w:r>
          </w:p>
          <w:p>
            <w:pPr>
              <w:spacing w:before="0" w:after="0" w:line="240" w:lineRule="auto"/>
            </w:pPr>
            <w:r>
              <w:rPr>
                <w:rFonts w:ascii="Consolas" w:hAnsi="Consolas"/>
                <w:color w:val="4EC9C0"/>
                <w:sz w:val="19"/>
              </w:rPr>
              <w:t>List</w:t>
            </w:r>
            <w:r>
              <w:rPr>
                <w:rFonts w:ascii="Consolas" w:hAnsi="Consolas"/>
                <w:color w:val="D4D4D4"/>
                <w:sz w:val="19"/>
              </w:rPr>
              <w:t>&lt;</w:t>
            </w:r>
            <w:r>
              <w:rPr>
                <w:rFonts w:ascii="Consolas" w:hAnsi="Consolas"/>
                <w:color w:val="4EC9C0"/>
                <w:sz w:val="19"/>
              </w:rPr>
              <w:t>Article</w:t>
            </w:r>
            <w:r>
              <w:rPr>
                <w:rFonts w:ascii="Consolas" w:hAnsi="Consolas"/>
                <w:color w:val="D4D4D4"/>
                <w:sz w:val="19"/>
              </w:rPr>
              <w:t>&gt; hits = repo.</w:t>
            </w:r>
            <w:r>
              <w:rPr>
                <w:rFonts w:ascii="Consolas" w:hAnsi="Consolas"/>
                <w:color w:val="DCDCAA"/>
                <w:sz w:val="19"/>
              </w:rPr>
              <w:t>findNearestByBodyVector</w:t>
            </w:r>
            <w:r>
              <w:rPr>
                <w:rFonts w:ascii="Consolas" w:hAnsi="Consolas"/>
                <w:color w:val="D4D4D4"/>
                <w:sz w:val="19"/>
              </w:rPr>
              <w:t xml:space="preserve">(queryVector, </w:t>
            </w:r>
            <w:r>
              <w:rPr>
                <w:rFonts w:ascii="Consolas" w:hAnsi="Consolas"/>
                <w:color w:val="B5CEA8"/>
                <w:sz w:val="19"/>
              </w:rPr>
              <w:t>20</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Upgrading the embedding model is configuration, not code. The</w:t>
            </w:r>
          </w:p>
          <w:p>
            <w:pPr>
              <w:spacing w:before="0" w:after="0" w:line="240" w:lineRule="auto"/>
            </w:pPr>
            <w:r>
              <w:rPr>
                <w:rFonts w:ascii="Consolas" w:hAnsi="Consolas"/>
                <w:i/>
                <w:color w:val="6A9955"/>
                <w:sz w:val="19"/>
              </w:rPr>
              <w:t>// expand/contract migration (embedding_version table, §4.5.4) runs</w:t>
            </w:r>
          </w:p>
          <w:p>
            <w:pPr>
              <w:spacing w:before="0" w:after="0" w:line="240" w:lineRule="auto"/>
            </w:pPr>
            <w:r>
              <w:rPr>
                <w:rFonts w:ascii="Consolas" w:hAnsi="Consolas"/>
                <w:i/>
                <w:color w:val="6A9955"/>
                <w:sz w:val="19"/>
              </w:rPr>
              <w:t>// as a non-destructive background job while old and new coexist:</w:t>
            </w:r>
          </w:p>
          <w:p>
            <w:pPr>
              <w:spacing w:before="0" w:after="0" w:line="240" w:lineRule="auto"/>
            </w:pPr>
            <w:r>
              <w:rPr>
                <w:rFonts w:ascii="Consolas" w:hAnsi="Consolas"/>
                <w:i/>
                <w:color w:val="6A9955"/>
                <w:sz w:val="19"/>
              </w:rPr>
              <w:t>//   javai.embedding.model=qwen3-embedding-0.6b   -&gt;   qwen3-embedding-4b</w:t>
            </w:r>
          </w:p>
        </w:tc>
      </w:tr>
    </w:tbl>
    <w:p>
      <w:pPr>
        <w:spacing w:before="80"/>
        <w:jc w:val="center"/>
      </w:pPr>
      <w:r>
        <w:rPr>
          <w:i/>
          <w:color w:val="555555"/>
          <w:sz w:val="19"/>
        </w:rPr>
        <w:t>Example 23. A repository interface plus the one config line that changes when the embedding model is upgraded.</w:t>
      </w:r>
    </w:p>
    <w:p>
      <w:pPr>
        <w:pStyle w:val="Heading2"/>
      </w:pPr>
      <w:r>
        <w:t>5.3 Completion Fabric — Provider-Agnostic RAG Completions</w:t>
      </w:r>
    </w:p>
    <w:p>
      <w:pPr>
        <w:spacing w:after="160"/>
      </w:pPr>
      <w:r>
        <w:rPr>
          <w:b w:val="0"/>
          <w:i w:val="0"/>
        </w:rPr>
        <w:t>Takes a result from Vector Core or Vector Collections — a single object, a query() list, or a nearestSubgraph() result — and grounds an LLM completion in it, without the calling code branching on vendor, locality, sync-vs-async, or whether that subgraph came from the live in-process object graph or a persisted store (§5.2). toContext() is defined once, on the result types themselves, so the completion call looks identical either way. Design goals and prior-art positioning are in §7.1–§7.2; the worked example is in §7.3.</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2E5C8A"/>
            <w:tcMar>
              <w:top w:w="80" w:type="dxa"/>
              <w:left w:w="80" w:type="dxa"/>
              <w:bottom w:w="80" w:type="dxa"/>
              <w:right w:w="80" w:type="dxa"/>
            </w:tcMar>
          </w:tcPr>
          <w:p>
            <w:r/>
            <w:r>
              <w:rPr>
                <w:b/>
                <w:color w:val="FFFFFF"/>
                <w:sz w:val="20"/>
              </w:rPr>
              <w:t>Element</w:t>
            </w:r>
          </w:p>
        </w:tc>
        <w:tc>
          <w:tcPr>
            <w:tcW w:type="dxa" w:w="2160"/>
            <w:shd w:val="clear" w:color="auto" w:fill="2E5C8A"/>
            <w:tcMar>
              <w:top w:w="80" w:type="dxa"/>
              <w:left w:w="80" w:type="dxa"/>
              <w:bottom w:w="80" w:type="dxa"/>
              <w:right w:w="80" w:type="dxa"/>
            </w:tcMar>
          </w:tcPr>
          <w:p>
            <w:r/>
            <w:r>
              <w:rPr>
                <w:b/>
                <w:color w:val="FFFFFF"/>
                <w:sz w:val="20"/>
              </w:rPr>
              <w:t>Kind</w:t>
            </w:r>
          </w:p>
        </w:tc>
        <w:tc>
          <w:tcPr>
            <w:tcW w:type="dxa" w:w="5328"/>
            <w:shd w:val="clear" w:color="auto" w:fill="2E5C8A"/>
            <w:tcMar>
              <w:top w:w="80" w:type="dxa"/>
              <w:left w:w="80" w:type="dxa"/>
              <w:bottom w:w="80" w:type="dxa"/>
              <w:right w:w="80" w:type="dxa"/>
            </w:tcMar>
          </w:tcPr>
          <w:p>
            <w:r/>
            <w:r>
              <w:rPr>
                <w:b/>
                <w:color w:val="FFFFFF"/>
                <w:sz w:val="20"/>
              </w:rPr>
              <w:t>Purpose</w:t>
            </w:r>
          </w:p>
        </w:tc>
      </w:tr>
      <w:tr>
        <w:tc>
          <w:tcPr>
            <w:tcW w:type="dxa" w:w="3168"/>
            <w:tcMar>
              <w:top w:w="80" w:type="dxa"/>
              <w:left w:w="80" w:type="dxa"/>
              <w:bottom w:w="80" w:type="dxa"/>
              <w:right w:w="80" w:type="dxa"/>
            </w:tcMar>
          </w:tcPr>
          <w:p>
            <w:r>
              <w:rPr>
                <w:sz w:val="19"/>
              </w:rPr>
              <w:t>PromptContext</w:t>
            </w:r>
          </w:p>
        </w:tc>
        <w:tc>
          <w:tcPr>
            <w:tcW w:type="dxa" w:w="2160"/>
            <w:tcMar>
              <w:top w:w="80" w:type="dxa"/>
              <w:left w:w="80" w:type="dxa"/>
              <w:bottom w:w="80" w:type="dxa"/>
              <w:right w:w="80" w:type="dxa"/>
            </w:tcMar>
          </w:tcPr>
          <w:p>
            <w:r>
              <w:rPr>
                <w:sz w:val="19"/>
              </w:rPr>
              <w:t>Value type</w:t>
            </w:r>
          </w:p>
        </w:tc>
        <w:tc>
          <w:tcPr>
            <w:tcW w:type="dxa" w:w="5328"/>
            <w:tcMar>
              <w:top w:w="80" w:type="dxa"/>
              <w:left w:w="80" w:type="dxa"/>
              <w:bottom w:w="80" w:type="dxa"/>
              <w:right w:w="80" w:type="dxa"/>
            </w:tcMar>
          </w:tcPr>
          <w:p>
            <w:r>
              <w:rPr>
                <w:sz w:val="19"/>
              </w:rPr>
              <w:t>Composed informing material — text, a single object's cached description, or a subgraph's serialized form</w:t>
            </w:r>
          </w:p>
        </w:tc>
      </w:tr>
      <w:tr>
        <w:tc>
          <w:tcPr>
            <w:tcW w:type="dxa" w:w="3168"/>
            <w:tcMar>
              <w:top w:w="80" w:type="dxa"/>
              <w:left w:w="80" w:type="dxa"/>
              <w:bottom w:w="80" w:type="dxa"/>
              <w:right w:w="80" w:type="dxa"/>
            </w:tcMar>
          </w:tcPr>
          <w:p>
            <w:r>
              <w:rPr>
                <w:sz w:val="19"/>
              </w:rPr>
              <w:t>CompletionRequest</w:t>
            </w:r>
          </w:p>
        </w:tc>
        <w:tc>
          <w:tcPr>
            <w:tcW w:type="dxa" w:w="2160"/>
            <w:tcMar>
              <w:top w:w="80" w:type="dxa"/>
              <w:left w:w="80" w:type="dxa"/>
              <w:bottom w:w="80" w:type="dxa"/>
              <w:right w:w="80" w:type="dxa"/>
            </w:tcMar>
          </w:tcPr>
          <w:p>
            <w:r>
              <w:rPr>
                <w:sz w:val="19"/>
              </w:rPr>
              <w:t>Value type</w:t>
            </w:r>
          </w:p>
        </w:tc>
        <w:tc>
          <w:tcPr>
            <w:tcW w:type="dxa" w:w="5328"/>
            <w:tcMar>
              <w:top w:w="80" w:type="dxa"/>
              <w:left w:w="80" w:type="dxa"/>
              <w:bottom w:w="80" w:type="dxa"/>
              <w:right w:w="80" w:type="dxa"/>
            </w:tcMar>
          </w:tcPr>
          <w:p>
            <w:r>
              <w:rPr>
                <w:sz w:val="19"/>
              </w:rPr>
              <w:t>Instruction + PromptContext + generation parameters (max tokens, temperature, optional output schema)</w:t>
            </w:r>
          </w:p>
        </w:tc>
      </w:tr>
      <w:tr>
        <w:tc>
          <w:tcPr>
            <w:tcW w:type="dxa" w:w="3168"/>
            <w:tcMar>
              <w:top w:w="80" w:type="dxa"/>
              <w:left w:w="80" w:type="dxa"/>
              <w:bottom w:w="80" w:type="dxa"/>
              <w:right w:w="80" w:type="dxa"/>
            </w:tcMar>
          </w:tcPr>
          <w:p>
            <w:r>
              <w:rPr>
                <w:sz w:val="19"/>
              </w:rPr>
              <w:t>CompletionResult</w:t>
            </w:r>
          </w:p>
        </w:tc>
        <w:tc>
          <w:tcPr>
            <w:tcW w:type="dxa" w:w="2160"/>
            <w:tcMar>
              <w:top w:w="80" w:type="dxa"/>
              <w:left w:w="80" w:type="dxa"/>
              <w:bottom w:w="80" w:type="dxa"/>
              <w:right w:w="80" w:type="dxa"/>
            </w:tcMar>
          </w:tcPr>
          <w:p>
            <w:r>
              <w:rPr>
                <w:sz w:val="19"/>
              </w:rPr>
              <w:t>Value type</w:t>
            </w:r>
          </w:p>
        </w:tc>
        <w:tc>
          <w:tcPr>
            <w:tcW w:type="dxa" w:w="5328"/>
            <w:tcMar>
              <w:top w:w="80" w:type="dxa"/>
              <w:left w:w="80" w:type="dxa"/>
              <w:bottom w:w="80" w:type="dxa"/>
              <w:right w:w="80" w:type="dxa"/>
            </w:tcMar>
          </w:tcPr>
          <w:p>
            <w:r>
              <w:rPr>
                <w:sz w:val="19"/>
              </w:rPr>
              <w:t>Text result, or a schema-typed result when structured output was requested</w:t>
            </w:r>
          </w:p>
        </w:tc>
      </w:tr>
      <w:tr>
        <w:tc>
          <w:tcPr>
            <w:tcW w:type="dxa" w:w="3168"/>
            <w:tcMar>
              <w:top w:w="80" w:type="dxa"/>
              <w:left w:w="80" w:type="dxa"/>
              <w:bottom w:w="80" w:type="dxa"/>
              <w:right w:w="80" w:type="dxa"/>
            </w:tcMar>
          </w:tcPr>
          <w:p>
            <w:r>
              <w:rPr>
                <w:sz w:val="19"/>
              </w:rPr>
              <w:t>JavAICompletionProvider</w:t>
            </w:r>
          </w:p>
        </w:tc>
        <w:tc>
          <w:tcPr>
            <w:tcW w:type="dxa" w:w="2160"/>
            <w:tcMar>
              <w:top w:w="80" w:type="dxa"/>
              <w:left w:w="80" w:type="dxa"/>
              <w:bottom w:w="80" w:type="dxa"/>
              <w:right w:w="80" w:type="dxa"/>
            </w:tcMar>
          </w:tcPr>
          <w:p>
            <w:r>
              <w:rPr>
                <w:sz w:val="19"/>
              </w:rPr>
              <w:t>SPI interface</w:t>
            </w:r>
          </w:p>
        </w:tc>
        <w:tc>
          <w:tcPr>
            <w:tcW w:type="dxa" w:w="5328"/>
            <w:tcMar>
              <w:top w:w="80" w:type="dxa"/>
              <w:left w:w="80" w:type="dxa"/>
              <w:bottom w:w="80" w:type="dxa"/>
              <w:right w:w="80" w:type="dxa"/>
            </w:tcMar>
          </w:tcPr>
          <w:p>
            <w:r>
              <w:rPr>
                <w:sz w:val="19"/>
              </w:rPr>
              <w:t>Same shape as JavAIEmbeddingProvider / JavAISimilarityBackend — pluggable, config-selected backend</w:t>
            </w:r>
          </w:p>
        </w:tc>
      </w:tr>
      <w:tr>
        <w:tc>
          <w:tcPr>
            <w:tcW w:type="dxa" w:w="3168"/>
            <w:tcMar>
              <w:top w:w="80" w:type="dxa"/>
              <w:left w:w="80" w:type="dxa"/>
              <w:bottom w:w="80" w:type="dxa"/>
              <w:right w:w="80" w:type="dxa"/>
            </w:tcMar>
          </w:tcPr>
          <w:p>
            <w:r>
              <w:rPr>
                <w:sz w:val="19"/>
              </w:rPr>
              <w:t>toContext(): PromptContext</w:t>
            </w:r>
          </w:p>
        </w:tc>
        <w:tc>
          <w:tcPr>
            <w:tcW w:type="dxa" w:w="2160"/>
            <w:tcMar>
              <w:top w:w="80" w:type="dxa"/>
              <w:left w:w="80" w:type="dxa"/>
              <w:bottom w:w="80" w:type="dxa"/>
              <w:right w:w="80" w:type="dxa"/>
            </w:tcMar>
          </w:tcPr>
          <w:p>
            <w:r>
              <w:rPr>
                <w:sz w:val="19"/>
              </w:rPr>
              <w:t>Method</w:t>
            </w:r>
          </w:p>
        </w:tc>
        <w:tc>
          <w:tcPr>
            <w:tcW w:type="dxa" w:w="5328"/>
            <w:tcMar>
              <w:top w:w="80" w:type="dxa"/>
              <w:left w:w="80" w:type="dxa"/>
              <w:bottom w:w="80" w:type="dxa"/>
              <w:right w:w="80" w:type="dxa"/>
            </w:tcMar>
          </w:tcPr>
          <w:p>
            <w:r>
              <w:rPr>
                <w:sz w:val="19"/>
              </w:rPr>
              <w:t>On JavAIList&lt;T&gt; (§6.4) and SubgraphResult&lt;N,E&gt; (§6.5) alike — identical call whether the subgraph is in-memory or backed by a persisted KnowledgeGraph (§5.2)</w:t>
            </w:r>
          </w:p>
        </w:tc>
      </w:tr>
      <w:tr>
        <w:tc>
          <w:tcPr>
            <w:tcW w:type="dxa" w:w="3168"/>
            <w:tcMar>
              <w:top w:w="80" w:type="dxa"/>
              <w:left w:w="80" w:type="dxa"/>
              <w:bottom w:w="80" w:type="dxa"/>
              <w:right w:w="80" w:type="dxa"/>
            </w:tcMar>
          </w:tcPr>
          <w:p>
            <w:r>
              <w:rPr>
                <w:sz w:val="19"/>
              </w:rPr>
              <w:t>complete(CompletionRequest): CompletionResult</w:t>
            </w:r>
          </w:p>
        </w:tc>
        <w:tc>
          <w:tcPr>
            <w:tcW w:type="dxa" w:w="2160"/>
            <w:tcMar>
              <w:top w:w="80" w:type="dxa"/>
              <w:left w:w="80" w:type="dxa"/>
              <w:bottom w:w="80" w:type="dxa"/>
              <w:right w:w="80" w:type="dxa"/>
            </w:tcMar>
          </w:tcPr>
          <w:p>
            <w:r>
              <w:rPr>
                <w:sz w:val="19"/>
              </w:rPr>
              <w:t>Method</w:t>
            </w:r>
          </w:p>
        </w:tc>
        <w:tc>
          <w:tcPr>
            <w:tcW w:type="dxa" w:w="5328"/>
            <w:tcMar>
              <w:top w:w="80" w:type="dxa"/>
              <w:left w:w="80" w:type="dxa"/>
              <w:bottom w:w="80" w:type="dxa"/>
              <w:right w:w="80" w:type="dxa"/>
            </w:tcMar>
          </w:tcPr>
          <w:p>
            <w:r>
              <w:rPr>
                <w:sz w:val="19"/>
              </w:rPr>
              <w:t>Default call — blocking, virtual-thread-backed; identical code path for local or hosted, sync-looking regardless of provider</w:t>
            </w:r>
          </w:p>
        </w:tc>
      </w:tr>
      <w:tr>
        <w:tc>
          <w:tcPr>
            <w:tcW w:type="dxa" w:w="3168"/>
            <w:tcMar>
              <w:top w:w="80" w:type="dxa"/>
              <w:left w:w="80" w:type="dxa"/>
              <w:bottom w:w="80" w:type="dxa"/>
              <w:right w:w="80" w:type="dxa"/>
            </w:tcMar>
          </w:tcPr>
          <w:p>
            <w:r>
              <w:rPr>
                <w:sz w:val="19"/>
              </w:rPr>
              <w:t>completeStreaming(CompletionRequest, Flow.Subscriber)</w:t>
            </w:r>
          </w:p>
        </w:tc>
        <w:tc>
          <w:tcPr>
            <w:tcW w:type="dxa" w:w="2160"/>
            <w:tcMar>
              <w:top w:w="80" w:type="dxa"/>
              <w:left w:w="80" w:type="dxa"/>
              <w:bottom w:w="80" w:type="dxa"/>
              <w:right w:w="80" w:type="dxa"/>
            </w:tcMar>
          </w:tcPr>
          <w:p>
            <w:r>
              <w:rPr>
                <w:sz w:val="19"/>
              </w:rPr>
              <w:t>Method</w:t>
            </w:r>
          </w:p>
        </w:tc>
        <w:tc>
          <w:tcPr>
            <w:tcW w:type="dxa" w:w="5328"/>
            <w:tcMar>
              <w:top w:w="80" w:type="dxa"/>
              <w:left w:w="80" w:type="dxa"/>
              <w:bottom w:w="80" w:type="dxa"/>
              <w:right w:w="80" w:type="dxa"/>
            </w:tcMar>
          </w:tcPr>
          <w:p>
            <w:r>
              <w:rPr>
                <w:sz w:val="19"/>
              </w:rPr>
              <w:t>Token-streaming variant, backed by java.util.concurrent.Flow — opt-in, not the default</w:t>
            </w:r>
          </w:p>
        </w:tc>
      </w:tr>
    </w:tbl>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i/>
                <w:color w:val="6A9955"/>
                <w:sz w:val="19"/>
              </w:rPr>
              <w:t>// An in-memory subgraph (Vector Core's query(), §5.1) grounds a completion</w:t>
            </w:r>
          </w:p>
          <w:p>
            <w:pPr>
              <w:spacing w:before="0" w:after="0" w:line="240" w:lineRule="auto"/>
            </w:pPr>
            <w:r>
              <w:rPr>
                <w:rFonts w:ascii="Consolas" w:hAnsi="Consolas"/>
                <w:i/>
                <w:color w:val="6A9955"/>
                <w:sz w:val="19"/>
              </w:rPr>
              <w:t>// exactly the same way a persisted one (Persistence Bridge's repository</w:t>
            </w:r>
          </w:p>
          <w:p>
            <w:pPr>
              <w:spacing w:before="0" w:after="0" w:line="240" w:lineRule="auto"/>
            </w:pPr>
            <w:r>
              <w:rPr>
                <w:rFonts w:ascii="Consolas" w:hAnsi="Consolas"/>
                <w:i/>
                <w:color w:val="6A9955"/>
                <w:sz w:val="19"/>
              </w:rPr>
              <w:t>// query, §5.2) would -- both return types implement toContext().</w:t>
            </w:r>
          </w:p>
          <w:p>
            <w:pPr>
              <w:spacing w:before="0" w:after="0" w:line="240" w:lineRule="auto"/>
            </w:pPr>
            <w:r>
              <w:rPr>
                <w:sz w:val="19"/>
              </w:rPr>
              <w:t xml:space="preserve"> </w:t>
            </w:r>
          </w:p>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Comment</w:t>
            </w:r>
            <w:r>
              <w:rPr>
                <w:rFonts w:ascii="Consolas" w:hAnsi="Consolas"/>
                <w:color w:val="D4D4D4"/>
                <w:sz w:val="19"/>
              </w:rPr>
              <w:t>&gt; concerned =</w:t>
            </w:r>
          </w:p>
          <w:p>
            <w:pPr>
              <w:spacing w:before="0" w:after="0" w:line="240" w:lineRule="auto"/>
            </w:pPr>
            <w:r>
              <w:rPr>
                <w:rFonts w:ascii="Consolas" w:hAnsi="Consolas"/>
                <w:color w:val="D4D4D4"/>
                <w:sz w:val="19"/>
              </w:rPr>
              <w:t xml:space="preserve">    article.</w:t>
            </w:r>
            <w:r>
              <w:rPr>
                <w:rFonts w:ascii="Consolas" w:hAnsi="Consolas"/>
                <w:color w:val="DCDCAA"/>
                <w:sz w:val="19"/>
              </w:rPr>
              <w:t>query</w:t>
            </w:r>
            <w:r>
              <w:rPr>
                <w:rFonts w:ascii="Consolas" w:hAnsi="Consolas"/>
                <w:color w:val="D4D4D4"/>
                <w:sz w:val="19"/>
              </w:rPr>
              <w:t>(article.</w:t>
            </w:r>
            <w:r>
              <w:rPr>
                <w:rFonts w:ascii="Consolas" w:hAnsi="Consolas"/>
                <w:color w:val="DCDCAA"/>
                <w:sz w:val="19"/>
              </w:rPr>
              <w:t>bodyVector</w:t>
            </w:r>
            <w:r>
              <w:rPr>
                <w:rFonts w:ascii="Consolas" w:hAnsi="Consolas"/>
                <w:color w:val="D4D4D4"/>
                <w:sz w:val="19"/>
              </w:rPr>
              <w:t xml:space="preserve">(), </w:t>
            </w:r>
            <w:r>
              <w:rPr>
                <w:rFonts w:ascii="Consolas" w:hAnsi="Consolas"/>
                <w:color w:val="4EC9C0"/>
                <w:sz w:val="19"/>
              </w:rPr>
              <w:t>Comment</w:t>
            </w:r>
            <w:r>
              <w:rPr>
                <w:rFonts w:ascii="Consolas" w:hAnsi="Consolas"/>
                <w:color w:val="D4D4D4"/>
                <w:sz w:val="19"/>
              </w:rPr>
              <w:t>.</w:t>
            </w:r>
            <w:r>
              <w:rPr>
                <w:rFonts w:ascii="Consolas" w:hAnsi="Consolas"/>
                <w:color w:val="569CD6"/>
                <w:sz w:val="19"/>
              </w:rPr>
              <w:t>class</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CompletionResult</w:t>
            </w:r>
            <w:r>
              <w:rPr>
                <w:rFonts w:ascii="Consolas" w:hAnsi="Consolas"/>
                <w:color w:val="D4D4D4"/>
                <w:sz w:val="19"/>
              </w:rPr>
              <w:t xml:space="preserve"> brief = completionProvider.</w:t>
            </w:r>
            <w:r>
              <w:rPr>
                <w:rFonts w:ascii="Consolas" w:hAnsi="Consolas"/>
                <w:color w:val="DCDCAA"/>
                <w:sz w:val="19"/>
              </w:rPr>
              <w:t>complete</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4EC9C0"/>
                <w:sz w:val="19"/>
              </w:rPr>
              <w:t>CompletionRequest</w:t>
            </w:r>
            <w:r>
              <w:rPr>
                <w:rFonts w:ascii="Consolas" w:hAnsi="Consolas"/>
                <w:color w:val="D4D4D4"/>
                <w:sz w:val="19"/>
              </w:rPr>
              <w:t>.</w:t>
            </w:r>
            <w:r>
              <w:rPr>
                <w:rFonts w:ascii="Consolas" w:hAnsi="Consolas"/>
                <w:color w:val="DCDCAA"/>
                <w:sz w:val="19"/>
              </w:rPr>
              <w:t>builder</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prompt</w:t>
            </w:r>
            <w:r>
              <w:rPr>
                <w:rFonts w:ascii="Consolas" w:hAnsi="Consolas"/>
                <w:color w:val="D4D4D4"/>
                <w:sz w:val="19"/>
              </w:rPr>
              <w:t>(</w:t>
            </w:r>
            <w:r>
              <w:rPr>
                <w:rFonts w:ascii="Consolas" w:hAnsi="Consolas"/>
                <w:color w:val="CE9178"/>
                <w:sz w:val="19"/>
              </w:rPr>
              <w:t>"Summarize reader concerns in two sentences."</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context</w:t>
            </w:r>
            <w:r>
              <w:rPr>
                <w:rFonts w:ascii="Consolas" w:hAnsi="Consolas"/>
                <w:color w:val="D4D4D4"/>
                <w:sz w:val="19"/>
              </w:rPr>
              <w:t>(concerned.</w:t>
            </w:r>
            <w:r>
              <w:rPr>
                <w:rFonts w:ascii="Consolas" w:hAnsi="Consolas"/>
                <w:color w:val="DCDCAA"/>
                <w:sz w:val="19"/>
              </w:rPr>
              <w:t>toContext</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maxTokens</w:t>
            </w:r>
            <w:r>
              <w:rPr>
                <w:rFonts w:ascii="Consolas" w:hAnsi="Consolas"/>
                <w:color w:val="D4D4D4"/>
                <w:sz w:val="19"/>
              </w:rPr>
              <w:t>(</w:t>
            </w:r>
            <w:r>
              <w:rPr>
                <w:rFonts w:ascii="Consolas" w:hAnsi="Consolas"/>
                <w:color w:val="B5CEA8"/>
                <w:sz w:val="19"/>
              </w:rPr>
              <w:t>200</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build</w:t>
            </w:r>
            <w:r>
              <w:rPr>
                <w:rFonts w:ascii="Consolas" w:hAnsi="Consolas"/>
                <w:color w:val="D4D4D4"/>
                <w:sz w:val="19"/>
              </w:rPr>
              <w:t>());</w:t>
            </w:r>
          </w:p>
        </w:tc>
      </w:tr>
    </w:tbl>
    <w:p>
      <w:pPr>
        <w:spacing w:before="80"/>
        <w:jc w:val="center"/>
      </w:pPr>
      <w:r>
        <w:rPr>
          <w:i/>
          <w:color w:val="555555"/>
          <w:sz w:val="19"/>
        </w:rPr>
        <w:t>Example 24. Grounding a completion in an in-memory query() result — no branch for in-memory vs. persisted, no branch for provider.</w:t>
      </w:r>
    </w:p>
    <w:p>
      <w:pPr>
        <w:pStyle w:val="Heading2"/>
      </w:pPr>
      <w:r>
        <w:t>5.4 Vector Collections — Knowledge Graphs &amp; Vector-Aware Collections</w:t>
      </w:r>
    </w:p>
    <w:p>
      <w:pPr>
        <w:spacing w:after="160"/>
      </w:pPr>
      <w:r>
        <w:rPr>
          <w:b w:val="0"/>
          <w:i w:val="0"/>
        </w:rPr>
        <w:t>New, parallel collection types that carry the same vector-search behavior Vector Core gives individual objects, plus a native knowledge-graph type. These are what Persistence Bridge maps onto a store and what Completion Fabric consumes via toContext(). KnowledgeGraph&lt;N, E&gt; is specified in full below, including how a subgraph query result is itself a KnowledgeGraph; a full comparison of which type to reach for is in §6.7, and a story-driven usage walkthrough is in §6.5.</w:t>
      </w:r>
    </w:p>
    <w:tbl>
      <w:tblPr>
        <w:tblW w:type="auto" w:w="0"/>
        <w:jc w:val="center"/>
        <w:tblLayout w:type="fixed"/>
        <w:tblLook w:firstColumn="1" w:firstRow="1" w:lastColumn="0" w:lastRow="0" w:noHBand="0" w:noVBand="1" w:val="04A0"/>
      </w:tblPr>
      <w:tblGrid>
        <w:gridCol w:w="4680"/>
        <w:gridCol w:w="4680"/>
      </w:tblGrid>
      <w:tr>
        <w:tc>
          <w:tcPr>
            <w:tcW w:type="dxa" w:w="3744"/>
            <w:shd w:val="clear" w:color="auto" w:fill="2E5C8A"/>
            <w:tcMar>
              <w:top w:w="80" w:type="dxa"/>
              <w:left w:w="80" w:type="dxa"/>
              <w:bottom w:w="80" w:type="dxa"/>
              <w:right w:w="80" w:type="dxa"/>
            </w:tcMar>
          </w:tcPr>
          <w:p>
            <w:r/>
            <w:r>
              <w:rPr>
                <w:b/>
                <w:color w:val="FFFFFF"/>
                <w:sz w:val="20"/>
              </w:rPr>
              <w:t>Type</w:t>
            </w:r>
          </w:p>
        </w:tc>
        <w:tc>
          <w:tcPr>
            <w:tcW w:type="dxa" w:w="6480"/>
            <w:shd w:val="clear" w:color="auto" w:fill="2E5C8A"/>
            <w:tcMar>
              <w:top w:w="80" w:type="dxa"/>
              <w:left w:w="80" w:type="dxa"/>
              <w:bottom w:w="80" w:type="dxa"/>
              <w:right w:w="80" w:type="dxa"/>
            </w:tcMar>
          </w:tcPr>
          <w:p>
            <w:r/>
            <w:r>
              <w:rPr>
                <w:b/>
                <w:color w:val="FFFFFF"/>
                <w:sz w:val="20"/>
              </w:rPr>
              <w:t>Description</w:t>
            </w:r>
          </w:p>
        </w:tc>
      </w:tr>
      <w:tr>
        <w:tc>
          <w:tcPr>
            <w:tcW w:type="dxa" w:w="3744"/>
            <w:tcMar>
              <w:top w:w="80" w:type="dxa"/>
              <w:left w:w="80" w:type="dxa"/>
              <w:bottom w:w="80" w:type="dxa"/>
              <w:right w:w="80" w:type="dxa"/>
            </w:tcMar>
          </w:tcPr>
          <w:p>
            <w:r>
              <w:rPr>
                <w:sz w:val="19"/>
              </w:rPr>
              <w:t>JavAIList&lt;T&gt; / JavAISet&lt;T&gt; / JavAIMap&lt;K,V&gt;</w:t>
            </w:r>
          </w:p>
        </w:tc>
        <w:tc>
          <w:tcPr>
            <w:tcW w:type="dxa" w:w="6480"/>
            <w:tcMar>
              <w:top w:w="80" w:type="dxa"/>
              <w:left w:w="80" w:type="dxa"/>
              <w:bottom w:w="80" w:type="dxa"/>
              <w:right w:w="80" w:type="dxa"/>
            </w:tcMar>
          </w:tcPr>
          <w:p>
            <w:r>
              <w:rPr>
                <w:sz w:val="19"/>
              </w:rPr>
              <w:t>Cosine-similarity-aware standard-collection replacements. New types, not retrofits — java.util cannot be modified from outside the JDK.</w:t>
            </w:r>
          </w:p>
        </w:tc>
      </w:tr>
      <w:tr>
        <w:tc>
          <w:tcPr>
            <w:tcW w:type="dxa" w:w="3744"/>
            <w:tcMar>
              <w:top w:w="80" w:type="dxa"/>
              <w:left w:w="80" w:type="dxa"/>
              <w:bottom w:w="80" w:type="dxa"/>
              <w:right w:w="80" w:type="dxa"/>
            </w:tcMar>
          </w:tcPr>
          <w:p>
            <w:r>
              <w:rPr>
                <w:sz w:val="19"/>
              </w:rPr>
              <w:t>KnowledgeGraph&lt;N, E&gt;</w:t>
            </w:r>
          </w:p>
        </w:tc>
        <w:tc>
          <w:tcPr>
            <w:tcW w:type="dxa" w:w="6480"/>
            <w:tcMar>
              <w:top w:w="80" w:type="dxa"/>
              <w:left w:w="80" w:type="dxa"/>
              <w:bottom w:w="80" w:type="dxa"/>
              <w:right w:w="80" w:type="dxa"/>
            </w:tcMar>
          </w:tcPr>
          <w:p>
            <w:r>
              <w:rPr>
                <w:sz w:val="19"/>
              </w:rPr>
              <w:t>Native graph type: nodes and edges plus hybrid pattern-match + similarity queries in one call.</w:t>
            </w:r>
          </w:p>
        </w:tc>
      </w:tr>
      <w:tr>
        <w:tc>
          <w:tcPr>
            <w:tcW w:type="dxa" w:w="3744"/>
            <w:tcMar>
              <w:top w:w="80" w:type="dxa"/>
              <w:left w:w="80" w:type="dxa"/>
              <w:bottom w:w="80" w:type="dxa"/>
              <w:right w:w="80" w:type="dxa"/>
            </w:tcMar>
          </w:tcPr>
          <w:p>
            <w:r>
              <w:rPr>
                <w:sz w:val="19"/>
              </w:rPr>
              <w:t>VectorIndex&lt;T&gt;</w:t>
            </w:r>
          </w:p>
        </w:tc>
        <w:tc>
          <w:tcPr>
            <w:tcW w:type="dxa" w:w="6480"/>
            <w:tcMar>
              <w:top w:w="80" w:type="dxa"/>
              <w:left w:w="80" w:type="dxa"/>
              <w:bottom w:w="80" w:type="dxa"/>
              <w:right w:w="80" w:type="dxa"/>
            </w:tcMar>
          </w:tcPr>
          <w:p>
            <w:r>
              <w:rPr>
                <w:sz w:val="19"/>
              </w:rPr>
              <w:t>Bare similarity-search container for cases that don't need full graph semantics.</w:t>
            </w:r>
          </w:p>
        </w:tc>
      </w:tr>
    </w:tbl>
    <w:p>
      <w:pPr>
        <w:spacing w:after="160"/>
      </w:pPr>
      <w:r>
        <w:rPr>
          <w:b w:val="0"/>
          <w:i w:val="0"/>
        </w:rPr>
        <w:t>The interfaces every collection type above implements, plus the annotations that declare knowledge-graph participation:</w:t>
      </w:r>
    </w:p>
    <w:tbl>
      <w:tblPr>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2E5C8A"/>
            <w:tcMar>
              <w:top w:w="80" w:type="dxa"/>
              <w:left w:w="80" w:type="dxa"/>
              <w:bottom w:w="80" w:type="dxa"/>
              <w:right w:w="80" w:type="dxa"/>
            </w:tcMar>
          </w:tcPr>
          <w:p>
            <w:r/>
            <w:r>
              <w:rPr>
                <w:b/>
                <w:color w:val="FFFFFF"/>
                <w:sz w:val="20"/>
              </w:rPr>
              <w:t>Element</w:t>
            </w:r>
          </w:p>
        </w:tc>
        <w:tc>
          <w:tcPr>
            <w:tcW w:type="dxa" w:w="2880"/>
            <w:shd w:val="clear" w:color="auto" w:fill="2E5C8A"/>
            <w:tcMar>
              <w:top w:w="80" w:type="dxa"/>
              <w:left w:w="80" w:type="dxa"/>
              <w:bottom w:w="80" w:type="dxa"/>
              <w:right w:w="80" w:type="dxa"/>
            </w:tcMar>
          </w:tcPr>
          <w:p>
            <w:r/>
            <w:r>
              <w:rPr>
                <w:b/>
                <w:color w:val="FFFFFF"/>
                <w:sz w:val="20"/>
              </w:rPr>
              <w:t>Kind</w:t>
            </w:r>
          </w:p>
        </w:tc>
        <w:tc>
          <w:tcPr>
            <w:tcW w:type="dxa" w:w="4896"/>
            <w:shd w:val="clear" w:color="auto" w:fill="2E5C8A"/>
            <w:tcMar>
              <w:top w:w="80" w:type="dxa"/>
              <w:left w:w="80" w:type="dxa"/>
              <w:bottom w:w="80" w:type="dxa"/>
              <w:right w:w="80" w:type="dxa"/>
            </w:tcMar>
          </w:tcPr>
          <w:p>
            <w:r/>
            <w:r>
              <w:rPr>
                <w:b/>
                <w:color w:val="FFFFFF"/>
                <w:sz w:val="20"/>
              </w:rPr>
              <w:t>Purpose</w:t>
            </w:r>
          </w:p>
        </w:tc>
      </w:tr>
      <w:tr>
        <w:tc>
          <w:tcPr>
            <w:tcW w:type="dxa" w:w="3744"/>
            <w:tcMar>
              <w:top w:w="80" w:type="dxa"/>
              <w:left w:w="80" w:type="dxa"/>
              <w:bottom w:w="80" w:type="dxa"/>
              <w:right w:w="80" w:type="dxa"/>
            </w:tcMar>
          </w:tcPr>
          <w:p>
            <w:r>
              <w:rPr>
                <w:sz w:val="19"/>
              </w:rPr>
              <w:t>JavAISortable&lt;T&gt;</w:t>
            </w:r>
          </w:p>
        </w:tc>
        <w:tc>
          <w:tcPr>
            <w:tcW w:type="dxa" w:w="2880"/>
            <w:tcMar>
              <w:top w:w="80" w:type="dxa"/>
              <w:left w:w="80" w:type="dxa"/>
              <w:bottom w:w="80" w:type="dxa"/>
              <w:right w:w="80" w:type="dxa"/>
            </w:tcMar>
          </w:tcPr>
          <w:p>
            <w:r>
              <w:rPr>
                <w:sz w:val="19"/>
              </w:rPr>
              <w:t>Interface</w:t>
            </w:r>
          </w:p>
        </w:tc>
        <w:tc>
          <w:tcPr>
            <w:tcW w:type="dxa" w:w="4896"/>
            <w:tcMar>
              <w:top w:w="80" w:type="dxa"/>
              <w:left w:w="80" w:type="dxa"/>
              <w:bottom w:w="80" w:type="dxa"/>
              <w:right w:w="80" w:type="dxa"/>
            </w:tcMar>
          </w:tcPr>
          <w:p>
            <w:r>
              <w:rPr>
                <w:sz w:val="19"/>
              </w:rPr>
              <w:t>sortByCosineDistance(EmbeddingVector): JavAIList&lt;T&gt; — one sorting contract, implemented by every JavAI collection</w:t>
            </w:r>
          </w:p>
        </w:tc>
      </w:tr>
      <w:tr>
        <w:tc>
          <w:tcPr>
            <w:tcW w:type="dxa" w:w="3744"/>
            <w:tcMar>
              <w:top w:w="80" w:type="dxa"/>
              <w:left w:w="80" w:type="dxa"/>
              <w:bottom w:w="80" w:type="dxa"/>
              <w:right w:w="80" w:type="dxa"/>
            </w:tcMar>
          </w:tcPr>
          <w:p>
            <w:r>
              <w:rPr>
                <w:sz w:val="19"/>
              </w:rPr>
              <w:t>JavAIGraphNode / JavAIEdge</w:t>
            </w:r>
          </w:p>
        </w:tc>
        <w:tc>
          <w:tcPr>
            <w:tcW w:type="dxa" w:w="2880"/>
            <w:tcMar>
              <w:top w:w="80" w:type="dxa"/>
              <w:left w:w="80" w:type="dxa"/>
              <w:bottom w:w="80" w:type="dxa"/>
              <w:right w:w="80" w:type="dxa"/>
            </w:tcMar>
          </w:tcPr>
          <w:p>
            <w:r>
              <w:rPr>
                <w:sz w:val="19"/>
              </w:rPr>
              <w:t>Interfaces</w:t>
            </w:r>
          </w:p>
        </w:tc>
        <w:tc>
          <w:tcPr>
            <w:tcW w:type="dxa" w:w="4896"/>
            <w:tcMar>
              <w:top w:w="80" w:type="dxa"/>
              <w:left w:w="80" w:type="dxa"/>
              <w:bottom w:w="80" w:type="dxa"/>
              <w:right w:w="80" w:type="dxa"/>
            </w:tcMar>
          </w:tcPr>
          <w:p>
            <w:r>
              <w:rPr>
                <w:sz w:val="19"/>
              </w:rPr>
              <w:t>Native graph node/edge contract for KnowledgeGraph participants</w:t>
            </w:r>
          </w:p>
        </w:tc>
      </w:tr>
      <w:tr>
        <w:tc>
          <w:tcPr>
            <w:tcW w:type="dxa" w:w="3744"/>
            <w:tcMar>
              <w:top w:w="80" w:type="dxa"/>
              <w:left w:w="80" w:type="dxa"/>
              <w:bottom w:w="80" w:type="dxa"/>
              <w:right w:w="80" w:type="dxa"/>
            </w:tcMar>
          </w:tcPr>
          <w:p>
            <w:r>
              <w:rPr>
                <w:sz w:val="19"/>
              </w:rPr>
              <w:t>KnowledgeGraph&lt;N, E&gt;</w:t>
            </w:r>
          </w:p>
        </w:tc>
        <w:tc>
          <w:tcPr>
            <w:tcW w:type="dxa" w:w="2880"/>
            <w:tcMar>
              <w:top w:w="80" w:type="dxa"/>
              <w:left w:w="80" w:type="dxa"/>
              <w:bottom w:w="80" w:type="dxa"/>
              <w:right w:w="80" w:type="dxa"/>
            </w:tcMar>
          </w:tcPr>
          <w:p>
            <w:r>
              <w:rPr>
                <w:sz w:val="19"/>
              </w:rPr>
              <w:t>Interface</w:t>
            </w:r>
          </w:p>
        </w:tc>
        <w:tc>
          <w:tcPr>
            <w:tcW w:type="dxa" w:w="4896"/>
            <w:tcMar>
              <w:top w:w="80" w:type="dxa"/>
              <w:left w:w="80" w:type="dxa"/>
              <w:bottom w:w="80" w:type="dxa"/>
              <w:right w:w="80" w:type="dxa"/>
            </w:tcMar>
          </w:tcPr>
          <w:p>
            <w:r>
              <w:rPr>
                <w:sz w:val="19"/>
              </w:rPr>
              <w:t>Full definition below — construction, pattern-match, and hybrid similarity+structure query in one type</w:t>
            </w:r>
          </w:p>
        </w:tc>
      </w:tr>
      <w:tr>
        <w:tc>
          <w:tcPr>
            <w:tcW w:type="dxa" w:w="3744"/>
            <w:tcMar>
              <w:top w:w="80" w:type="dxa"/>
              <w:left w:w="80" w:type="dxa"/>
              <w:bottom w:w="80" w:type="dxa"/>
              <w:right w:w="80" w:type="dxa"/>
            </w:tcMar>
          </w:tcPr>
          <w:p>
            <w:r>
              <w:rPr>
                <w:sz w:val="19"/>
              </w:rPr>
              <w:t>SubgraphResult&lt;N, E&gt;</w:t>
            </w:r>
          </w:p>
        </w:tc>
        <w:tc>
          <w:tcPr>
            <w:tcW w:type="dxa" w:w="2880"/>
            <w:tcMar>
              <w:top w:w="80" w:type="dxa"/>
              <w:left w:w="80" w:type="dxa"/>
              <w:bottom w:w="80" w:type="dxa"/>
              <w:right w:w="80" w:type="dxa"/>
            </w:tcMar>
          </w:tcPr>
          <w:p>
            <w:r>
              <w:rPr>
                <w:sz w:val="19"/>
              </w:rPr>
              <w:t>Interface, extends KnowledgeGraph&lt;N, E&gt;</w:t>
            </w:r>
          </w:p>
        </w:tc>
        <w:tc>
          <w:tcPr>
            <w:tcW w:type="dxa" w:w="4896"/>
            <w:tcMar>
              <w:top w:w="80" w:type="dxa"/>
              <w:left w:w="80" w:type="dxa"/>
              <w:bottom w:w="80" w:type="dxa"/>
              <w:right w:w="80" w:type="dxa"/>
            </w:tcMar>
          </w:tcPr>
          <w:p>
            <w:r>
              <w:rPr>
                <w:sz w:val="19"/>
              </w:rPr>
              <w:t>What nearestSubgraph() returns — itself a KnowledgeGraph, so a result can be queried, sorted, or narrowed again without leaving the abstraction</w:t>
            </w:r>
          </w:p>
        </w:tc>
      </w:tr>
      <w:tr>
        <w:tc>
          <w:tcPr>
            <w:tcW w:type="dxa" w:w="3744"/>
            <w:tcMar>
              <w:top w:w="80" w:type="dxa"/>
              <w:left w:w="80" w:type="dxa"/>
              <w:bottom w:w="80" w:type="dxa"/>
              <w:right w:w="80" w:type="dxa"/>
            </w:tcMar>
          </w:tcPr>
          <w:p>
            <w:r>
              <w:rPr>
                <w:sz w:val="19"/>
              </w:rPr>
              <w:t>@JavAIGraphNode / @JavAIEdge</w:t>
            </w:r>
          </w:p>
        </w:tc>
        <w:tc>
          <w:tcPr>
            <w:tcW w:type="dxa" w:w="2880"/>
            <w:tcMar>
              <w:top w:w="80" w:type="dxa"/>
              <w:left w:w="80" w:type="dxa"/>
              <w:bottom w:w="80" w:type="dxa"/>
              <w:right w:w="80" w:type="dxa"/>
            </w:tcMar>
          </w:tcPr>
          <w:p>
            <w:r>
              <w:rPr>
                <w:sz w:val="19"/>
              </w:rPr>
              <w:t>Annotations (class / record)</w:t>
            </w:r>
          </w:p>
        </w:tc>
        <w:tc>
          <w:tcPr>
            <w:tcW w:type="dxa" w:w="4896"/>
            <w:tcMar>
              <w:top w:w="80" w:type="dxa"/>
              <w:left w:w="80" w:type="dxa"/>
              <w:bottom w:w="80" w:type="dxa"/>
              <w:right w:w="80" w:type="dxa"/>
            </w:tcMar>
          </w:tcPr>
          <w:p>
            <w:r>
              <w:rPr>
                <w:sz w:val="19"/>
              </w:rPr>
              <w:t>Declares knowledge-graph participation — same name as the interface it causes to be implemented</w:t>
            </w:r>
          </w:p>
        </w:tc>
      </w:tr>
    </w:tbl>
    <w:p>
      <w:pPr>
        <w:spacing w:after="160"/>
      </w:pPr>
      <w:r>
        <w:rPr>
          <w:b w:val="0"/>
          <w:i w:val="0"/>
        </w:rPr>
        <w:t>All new collection types carry their own summary vectors and participate in back-edge propagation automatically, the same as any other JavAIVectorizable object:</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JavAISortable</w:t>
            </w:r>
            <w:r>
              <w:rPr>
                <w:rFonts w:ascii="Consolas" w:hAnsi="Consolas"/>
                <w:color w:val="D4D4D4"/>
                <w:sz w:val="19"/>
              </w:rPr>
              <w:t>&lt;</w:t>
            </w:r>
            <w:r>
              <w:rPr>
                <w:rFonts w:ascii="Consolas" w:hAnsi="Consolas"/>
                <w:color w:val="4EC9C0"/>
                <w:sz w:val="19"/>
              </w:rPr>
              <w:t>T</w:t>
            </w:r>
            <w:r>
              <w:rPr>
                <w:rFonts w:ascii="Consolas" w:hAnsi="Consolas"/>
                <w:color w:val="D4D4D4"/>
                <w:sz w:val="19"/>
              </w:rPr>
              <w:t>&gt; {</w:t>
            </w:r>
          </w:p>
          <w:p>
            <w:pPr>
              <w:spacing w:before="0" w:after="0" w:line="240" w:lineRule="auto"/>
            </w:pPr>
            <w:r>
              <w:rPr>
                <w:rFonts w:ascii="Consolas" w:hAnsi="Consolas"/>
                <w:color w:val="D4D4D4"/>
                <w:sz w:val="19"/>
              </w:rPr>
              <w:t xml:space="preserve">    </w:t>
            </w:r>
            <w:r>
              <w:rPr>
                <w:rFonts w:ascii="Consolas" w:hAnsi="Consolas"/>
                <w:color w:val="4EC9C0"/>
                <w:sz w:val="19"/>
              </w:rPr>
              <w:t>JavAIList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DCDCAA"/>
                <w:sz w:val="19"/>
              </w:rPr>
              <w:t>sortByCosineDistance</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i/>
                <w:color w:val="6A9955"/>
                <w:sz w:val="19"/>
              </w:rPr>
              <w:t>// ascending distance = descending similarity</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JavAIList, JavAISet, VectorIndex, and KnowledgeGraph's node view all implement this —</w:t>
            </w:r>
          </w:p>
          <w:p>
            <w:pPr>
              <w:spacing w:before="0" w:after="0" w:line="240" w:lineRule="auto"/>
            </w:pPr>
            <w:r>
              <w:rPr>
                <w:rFonts w:ascii="Consolas" w:hAnsi="Consolas"/>
                <w:i/>
                <w:color w:val="6A9955"/>
                <w:sz w:val="19"/>
              </w:rPr>
              <w:t>// one sorting method, not four different ones.</w:t>
            </w:r>
          </w:p>
        </w:tc>
      </w:tr>
    </w:tbl>
    <w:p>
      <w:pPr>
        <w:spacing w:before="80"/>
        <w:jc w:val="center"/>
      </w:pPr>
      <w:r>
        <w:rPr>
          <w:i/>
          <w:color w:val="555555"/>
          <w:sz w:val="19"/>
        </w:rPr>
        <w:t>Example 5. One cosine-distance sorting contract, shared by every JavAI collection.</w:t>
      </w:r>
    </w:p>
    <w:p>
      <w:pPr>
        <w:spacing w:after="160"/>
      </w:pPr>
      <w:r>
        <w:rPr>
          <w:b w:val="0"/>
          <w:i w:val="0"/>
        </w:rPr>
        <w:t>To answer precisely rather than leave it implicit: JavAIList&lt;T&gt; and JavAISet&lt;T&gt; explicitly extend both their standard-library counterpart and JavAISortable&lt;T&gt; — they are strict supersets of java.util.List&lt;T&gt;/Set&lt;T&gt;, usable anywhere existing code expects one, not replacements for them. JavAIMap&lt;K,V&gt; implements JavAISortable&lt;V&gt;, not JavAISortable&lt;K&gt; or JavAISortable&lt;Map.Entry&lt;K,V&gt;&gt;: keys are typically identifiers with no embedding of their own, so ranking and centroid() operate over values.</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2E5C8A"/>
            <w:tcMar>
              <w:top w:w="80" w:type="dxa"/>
              <w:left w:w="80" w:type="dxa"/>
              <w:bottom w:w="80" w:type="dxa"/>
              <w:right w:w="80" w:type="dxa"/>
            </w:tcMar>
          </w:tcPr>
          <w:p>
            <w:r/>
            <w:r>
              <w:rPr>
                <w:b/>
                <w:color w:val="FFFFFF"/>
                <w:sz w:val="20"/>
              </w:rPr>
              <w:t>Type</w:t>
            </w:r>
          </w:p>
        </w:tc>
        <w:tc>
          <w:tcPr>
            <w:tcW w:type="dxa" w:w="7056"/>
            <w:shd w:val="clear" w:color="auto" w:fill="2E5C8A"/>
            <w:tcMar>
              <w:top w:w="80" w:type="dxa"/>
              <w:left w:w="80" w:type="dxa"/>
              <w:bottom w:w="80" w:type="dxa"/>
              <w:right w:w="80" w:type="dxa"/>
            </w:tcMar>
          </w:tcPr>
          <w:p>
            <w:r/>
            <w:r>
              <w:rPr>
                <w:b/>
                <w:color w:val="FFFFFF"/>
                <w:sz w:val="20"/>
              </w:rPr>
              <w:t>Extends</w:t>
            </w:r>
          </w:p>
        </w:tc>
      </w:tr>
      <w:tr>
        <w:tc>
          <w:tcPr>
            <w:tcW w:type="dxa" w:w="2880"/>
            <w:tcMar>
              <w:top w:w="80" w:type="dxa"/>
              <w:left w:w="80" w:type="dxa"/>
              <w:bottom w:w="80" w:type="dxa"/>
              <w:right w:w="80" w:type="dxa"/>
            </w:tcMar>
          </w:tcPr>
          <w:p>
            <w:r>
              <w:rPr>
                <w:sz w:val="19"/>
              </w:rPr>
              <w:t>JavAIList&lt;T&gt;</w:t>
            </w:r>
          </w:p>
        </w:tc>
        <w:tc>
          <w:tcPr>
            <w:tcW w:type="dxa" w:w="7056"/>
            <w:tcMar>
              <w:top w:w="80" w:type="dxa"/>
              <w:left w:w="80" w:type="dxa"/>
              <w:bottom w:w="80" w:type="dxa"/>
              <w:right w:w="80" w:type="dxa"/>
            </w:tcMar>
          </w:tcPr>
          <w:p>
            <w:r>
              <w:rPr>
                <w:sz w:val="19"/>
              </w:rPr>
              <w:t>java.util.List&lt;T&gt;, JavAISortable&lt;T&gt;, JavAIVectorizable</w:t>
            </w:r>
          </w:p>
        </w:tc>
      </w:tr>
      <w:tr>
        <w:tc>
          <w:tcPr>
            <w:tcW w:type="dxa" w:w="2880"/>
            <w:tcMar>
              <w:top w:w="80" w:type="dxa"/>
              <w:left w:w="80" w:type="dxa"/>
              <w:bottom w:w="80" w:type="dxa"/>
              <w:right w:w="80" w:type="dxa"/>
            </w:tcMar>
          </w:tcPr>
          <w:p>
            <w:r>
              <w:rPr>
                <w:sz w:val="19"/>
              </w:rPr>
              <w:t>JavAISet&lt;T&gt;</w:t>
            </w:r>
          </w:p>
        </w:tc>
        <w:tc>
          <w:tcPr>
            <w:tcW w:type="dxa" w:w="7056"/>
            <w:tcMar>
              <w:top w:w="80" w:type="dxa"/>
              <w:left w:w="80" w:type="dxa"/>
              <w:bottom w:w="80" w:type="dxa"/>
              <w:right w:w="80" w:type="dxa"/>
            </w:tcMar>
          </w:tcPr>
          <w:p>
            <w:r>
              <w:rPr>
                <w:sz w:val="19"/>
              </w:rPr>
              <w:t>java.util.Set&lt;T&gt;, JavAISortable&lt;T&gt;, JavAIVectorizable</w:t>
            </w:r>
          </w:p>
        </w:tc>
      </w:tr>
      <w:tr>
        <w:tc>
          <w:tcPr>
            <w:tcW w:type="dxa" w:w="2880"/>
            <w:tcMar>
              <w:top w:w="80" w:type="dxa"/>
              <w:left w:w="80" w:type="dxa"/>
              <w:bottom w:w="80" w:type="dxa"/>
              <w:right w:w="80" w:type="dxa"/>
            </w:tcMar>
          </w:tcPr>
          <w:p>
            <w:r>
              <w:rPr>
                <w:sz w:val="19"/>
              </w:rPr>
              <w:t>JavAIMap&lt;K,V&gt;</w:t>
            </w:r>
          </w:p>
        </w:tc>
        <w:tc>
          <w:tcPr>
            <w:tcW w:type="dxa" w:w="7056"/>
            <w:tcMar>
              <w:top w:w="80" w:type="dxa"/>
              <w:left w:w="80" w:type="dxa"/>
              <w:bottom w:w="80" w:type="dxa"/>
              <w:right w:w="80" w:type="dxa"/>
            </w:tcMar>
          </w:tcPr>
          <w:p>
            <w:r>
              <w:rPr>
                <w:sz w:val="19"/>
              </w:rPr>
              <w:t>java.util.Map&lt;K,V&gt;, JavAISortable&lt;V&gt;, JavAIVectorizable</w:t>
            </w:r>
          </w:p>
        </w:tc>
      </w:tr>
    </w:tbl>
    <w:p>
      <w:pPr>
        <w:spacing w:after="160"/>
      </w:pPr>
      <w:r>
        <w:rPr>
          <w:b w:val="0"/>
          <w:i w:val="0"/>
        </w:rPr>
        <w:t>sortByCosineDistance() is the one method every JavAI collection shares, but it isn't the only addition. Each concrete type also gets a small set of similarity-aware convenience methods — thin wrappers over Vector Core's similarityTo() (§5.1), not new mechanism:</w:t>
      </w:r>
    </w:p>
    <w:tbl>
      <w:tblPr>
        <w:tblW w:type="auto" w:w="0"/>
        <w:jc w:val="center"/>
        <w:tblLayout w:type="fixed"/>
        <w:tblLook w:firstColumn="1" w:firstRow="1" w:lastColumn="0" w:lastRow="0" w:noHBand="0" w:noVBand="1" w:val="04A0"/>
      </w:tblPr>
      <w:tblGrid>
        <w:gridCol w:w="3120"/>
        <w:gridCol w:w="3120"/>
        <w:gridCol w:w="3120"/>
      </w:tblGrid>
      <w:tr>
        <w:tc>
          <w:tcPr>
            <w:tcW w:type="dxa" w:w="5184"/>
            <w:shd w:val="clear" w:color="auto" w:fill="2E5C8A"/>
            <w:tcMar>
              <w:top w:w="80" w:type="dxa"/>
              <w:left w:w="80" w:type="dxa"/>
              <w:bottom w:w="80" w:type="dxa"/>
              <w:right w:w="80" w:type="dxa"/>
            </w:tcMar>
          </w:tcPr>
          <w:p>
            <w:r/>
            <w:r>
              <w:rPr>
                <w:b/>
                <w:color w:val="FFFFFF"/>
                <w:sz w:val="20"/>
              </w:rPr>
              <w:t>Method</w:t>
            </w:r>
          </w:p>
        </w:tc>
        <w:tc>
          <w:tcPr>
            <w:tcW w:type="dxa" w:w="2304"/>
            <w:shd w:val="clear" w:color="auto" w:fill="2E5C8A"/>
            <w:tcMar>
              <w:top w:w="80" w:type="dxa"/>
              <w:left w:w="80" w:type="dxa"/>
              <w:bottom w:w="80" w:type="dxa"/>
              <w:right w:w="80" w:type="dxa"/>
            </w:tcMar>
          </w:tcPr>
          <w:p>
            <w:r/>
            <w:r>
              <w:rPr>
                <w:b/>
                <w:color w:val="FFFFFF"/>
                <w:sz w:val="20"/>
              </w:rPr>
              <w:t>On</w:t>
            </w:r>
          </w:p>
        </w:tc>
        <w:tc>
          <w:tcPr>
            <w:tcW w:type="dxa" w:w="4752"/>
            <w:shd w:val="clear" w:color="auto" w:fill="2E5C8A"/>
            <w:tcMar>
              <w:top w:w="80" w:type="dxa"/>
              <w:left w:w="80" w:type="dxa"/>
              <w:bottom w:w="80" w:type="dxa"/>
              <w:right w:w="80" w:type="dxa"/>
            </w:tcMar>
          </w:tcPr>
          <w:p>
            <w:r/>
            <w:r>
              <w:rPr>
                <w:b/>
                <w:color w:val="FFFFFF"/>
                <w:sz w:val="20"/>
              </w:rPr>
              <w:t>Purpose</w:t>
            </w:r>
          </w:p>
        </w:tc>
      </w:tr>
      <w:tr>
        <w:tc>
          <w:tcPr>
            <w:tcW w:type="dxa" w:w="5184"/>
            <w:tcMar>
              <w:top w:w="80" w:type="dxa"/>
              <w:left w:w="80" w:type="dxa"/>
              <w:bottom w:w="80" w:type="dxa"/>
              <w:right w:w="80" w:type="dxa"/>
            </w:tcMar>
          </w:tcPr>
          <w:p>
            <w:r>
              <w:rPr>
                <w:sz w:val="19"/>
              </w:rPr>
              <w:t>nearestN(EmbeddingVector, int n): JavAIList&lt;T&gt;</w:t>
            </w:r>
          </w:p>
        </w:tc>
        <w:tc>
          <w:tcPr>
            <w:tcW w:type="dxa" w:w="2304"/>
            <w:tcMar>
              <w:top w:w="80" w:type="dxa"/>
              <w:left w:w="80" w:type="dxa"/>
              <w:bottom w:w="80" w:type="dxa"/>
              <w:right w:w="80" w:type="dxa"/>
            </w:tcMar>
          </w:tcPr>
          <w:p>
            <w:r>
              <w:rPr>
                <w:sz w:val="19"/>
              </w:rPr>
              <w:t>JavAIList / JavAISet</w:t>
            </w:r>
          </w:p>
        </w:tc>
        <w:tc>
          <w:tcPr>
            <w:tcW w:type="dxa" w:w="4752"/>
            <w:tcMar>
              <w:top w:w="80" w:type="dxa"/>
              <w:left w:w="80" w:type="dxa"/>
              <w:bottom w:w="80" w:type="dxa"/>
              <w:right w:w="80" w:type="dxa"/>
            </w:tcMar>
          </w:tcPr>
          <w:p>
            <w:r>
              <w:rPr>
                <w:sz w:val="19"/>
              </w:rPr>
              <w:t>Top-N by similarity without materializing a full sort — cheaper than sortByCosineDistance() then truncating</w:t>
            </w:r>
          </w:p>
        </w:tc>
      </w:tr>
      <w:tr>
        <w:tc>
          <w:tcPr>
            <w:tcW w:type="dxa" w:w="5184"/>
            <w:tcMar>
              <w:top w:w="80" w:type="dxa"/>
              <w:left w:w="80" w:type="dxa"/>
              <w:bottom w:w="80" w:type="dxa"/>
              <w:right w:w="80" w:type="dxa"/>
            </w:tcMar>
          </w:tcPr>
          <w:p>
            <w:r>
              <w:rPr>
                <w:sz w:val="19"/>
              </w:rPr>
              <w:t>filterByMinSimilarity(EmbeddingVector, double threshold): JavAIList&lt;T&gt;</w:t>
            </w:r>
          </w:p>
        </w:tc>
        <w:tc>
          <w:tcPr>
            <w:tcW w:type="dxa" w:w="2304"/>
            <w:tcMar>
              <w:top w:w="80" w:type="dxa"/>
              <w:left w:w="80" w:type="dxa"/>
              <w:bottom w:w="80" w:type="dxa"/>
              <w:right w:w="80" w:type="dxa"/>
            </w:tcMar>
          </w:tcPr>
          <w:p>
            <w:r>
              <w:rPr>
                <w:sz w:val="19"/>
              </w:rPr>
              <w:t>JavAIList / JavAISet</w:t>
            </w:r>
          </w:p>
        </w:tc>
        <w:tc>
          <w:tcPr>
            <w:tcW w:type="dxa" w:w="4752"/>
            <w:tcMar>
              <w:top w:w="80" w:type="dxa"/>
              <w:left w:w="80" w:type="dxa"/>
              <w:bottom w:w="80" w:type="dxa"/>
              <w:right w:w="80" w:type="dxa"/>
            </w:tcMar>
          </w:tcPr>
          <w:p>
            <w:r>
              <w:rPr>
                <w:sz w:val="19"/>
              </w:rPr>
              <w:t>Threshold cutoff, common enough to name rather than leaving every caller to reimplement it</w:t>
            </w:r>
          </w:p>
        </w:tc>
      </w:tr>
      <w:tr>
        <w:tc>
          <w:tcPr>
            <w:tcW w:type="dxa" w:w="5184"/>
            <w:tcMar>
              <w:top w:w="80" w:type="dxa"/>
              <w:left w:w="80" w:type="dxa"/>
              <w:bottom w:w="80" w:type="dxa"/>
              <w:right w:w="80" w:type="dxa"/>
            </w:tcMar>
          </w:tcPr>
          <w:p>
            <w:r>
              <w:rPr>
                <w:sz w:val="19"/>
              </w:rPr>
              <w:t>centroid(): EmbeddingVector</w:t>
            </w:r>
          </w:p>
        </w:tc>
        <w:tc>
          <w:tcPr>
            <w:tcW w:type="dxa" w:w="2304"/>
            <w:tcMar>
              <w:top w:w="80" w:type="dxa"/>
              <w:left w:w="80" w:type="dxa"/>
              <w:bottom w:w="80" w:type="dxa"/>
              <w:right w:w="80" w:type="dxa"/>
            </w:tcMar>
          </w:tcPr>
          <w:p>
            <w:r>
              <w:rPr>
                <w:sz w:val="19"/>
              </w:rPr>
              <w:t>JavAIList / JavAISet / JavAIMap</w:t>
            </w:r>
          </w:p>
        </w:tc>
        <w:tc>
          <w:tcPr>
            <w:tcW w:type="dxa" w:w="4752"/>
            <w:tcMar>
              <w:top w:w="80" w:type="dxa"/>
              <w:left w:w="80" w:type="dxa"/>
              <w:bottom w:w="80" w:type="dxa"/>
              <w:right w:w="80" w:type="dxa"/>
            </w:tcMar>
          </w:tcPr>
          <w:p>
            <w:r>
              <w:rPr>
                <w:sz w:val="19"/>
              </w:rPr>
              <w:t>Mean vector of all elements — treat the whole collection as one point without wrapping it in a KnowledgeGraph</w:t>
            </w:r>
          </w:p>
        </w:tc>
      </w:tr>
    </w:tbl>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JavAIList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569CD6"/>
                <w:sz w:val="19"/>
              </w:rPr>
              <w:t>extends</w:t>
            </w:r>
            <w:r>
              <w:rPr>
                <w:rFonts w:ascii="Consolas" w:hAnsi="Consolas"/>
                <w:color w:val="D4D4D4"/>
                <w:sz w:val="19"/>
              </w:rPr>
              <w:t xml:space="preserve"> java.util.</w:t>
            </w:r>
            <w:r>
              <w:rPr>
                <w:rFonts w:ascii="Consolas" w:hAnsi="Consolas"/>
                <w:color w:val="4EC9C0"/>
                <w:sz w:val="19"/>
              </w:rPr>
              <w:t>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4EC9C0"/>
                <w:sz w:val="19"/>
              </w:rPr>
              <w:t>JavAISortable</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4EC9C0"/>
                <w:sz w:val="19"/>
              </w:rPr>
              <w:t>JavAIVectorizable</w:t>
            </w:r>
            <w:r>
              <w:rPr>
                <w:rFonts w:ascii="Consolas" w:hAnsi="Consolas"/>
                <w:color w:val="D4D4D4"/>
                <w:sz w:val="19"/>
              </w:rPr>
              <w:t xml:space="preserve"> {</w:t>
            </w:r>
          </w:p>
          <w:p>
            <w:pPr>
              <w:spacing w:before="0" w:after="0" w:line="240" w:lineRule="auto"/>
            </w:pPr>
            <w:r>
              <w:rPr>
                <w:rFonts w:ascii="Consolas" w:hAnsi="Consolas"/>
                <w:color w:val="D4D4D4"/>
                <w:sz w:val="19"/>
              </w:rPr>
              <w:t xml:space="preserve">    </w:t>
            </w:r>
            <w:r>
              <w:rPr>
                <w:rFonts w:ascii="Consolas" w:hAnsi="Consolas"/>
                <w:color w:val="4EC9C0"/>
                <w:sz w:val="19"/>
              </w:rPr>
              <w:t>JavAIList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DCDCAA"/>
                <w:sz w:val="19"/>
              </w:rPr>
              <w:t>nearestN</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569CD6"/>
                <w:sz w:val="19"/>
              </w:rPr>
              <w:t>int</w:t>
            </w:r>
            <w:r>
              <w:rPr>
                <w:rFonts w:ascii="Consolas" w:hAnsi="Consolas"/>
                <w:color w:val="D4D4D4"/>
                <w:sz w:val="19"/>
              </w:rPr>
              <w:t xml:space="preserve"> n);</w:t>
            </w:r>
          </w:p>
          <w:p>
            <w:pPr>
              <w:spacing w:before="0" w:after="0" w:line="240" w:lineRule="auto"/>
            </w:pPr>
            <w:r>
              <w:rPr>
                <w:rFonts w:ascii="Consolas" w:hAnsi="Consolas"/>
                <w:color w:val="D4D4D4"/>
                <w:sz w:val="19"/>
              </w:rPr>
              <w:t xml:space="preserve">    </w:t>
            </w:r>
            <w:r>
              <w:rPr>
                <w:rFonts w:ascii="Consolas" w:hAnsi="Consolas"/>
                <w:color w:val="4EC9C0"/>
                <w:sz w:val="19"/>
              </w:rPr>
              <w:t>JavAIList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DCDCAA"/>
                <w:sz w:val="19"/>
              </w:rPr>
              <w:t>filterByMinSimilarity</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569CD6"/>
                <w:sz w:val="19"/>
              </w:rPr>
              <w:t>double</w:t>
            </w:r>
            <w:r>
              <w:rPr>
                <w:rFonts w:ascii="Consolas" w:hAnsi="Consolas"/>
                <w:color w:val="D4D4D4"/>
                <w:sz w:val="19"/>
              </w:rPr>
              <w:t xml:space="preserve"> threshold);</w:t>
            </w:r>
          </w:p>
          <w:p>
            <w:pPr>
              <w:spacing w:before="0" w:after="0" w:line="240" w:lineRule="auto"/>
            </w:pP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 xml:space="preserve"> </w:t>
            </w:r>
            <w:r>
              <w:rPr>
                <w:rFonts w:ascii="Consolas" w:hAnsi="Consolas"/>
                <w:color w:val="DCDCAA"/>
                <w:sz w:val="19"/>
              </w:rPr>
              <w:t>centroid</w:t>
            </w:r>
            <w:r>
              <w:rPr>
                <w:rFonts w:ascii="Consolas" w:hAnsi="Consolas"/>
                <w:color w:val="D4D4D4"/>
                <w:sz w:val="19"/>
              </w:rPr>
              <w:t>();</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JavAISet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569CD6"/>
                <w:sz w:val="19"/>
              </w:rPr>
              <w:t>extends</w:t>
            </w:r>
            <w:r>
              <w:rPr>
                <w:rFonts w:ascii="Consolas" w:hAnsi="Consolas"/>
                <w:color w:val="D4D4D4"/>
                <w:sz w:val="19"/>
              </w:rPr>
              <w:t xml:space="preserve"> java.util.</w:t>
            </w:r>
            <w:r>
              <w:rPr>
                <w:rFonts w:ascii="Consolas" w:hAnsi="Consolas"/>
                <w:color w:val="4EC9C0"/>
                <w:sz w:val="19"/>
              </w:rPr>
              <w:t>Set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4EC9C0"/>
                <w:sz w:val="19"/>
              </w:rPr>
              <w:t>JavAISortable</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4EC9C0"/>
                <w:sz w:val="19"/>
              </w:rPr>
              <w:t>JavAIVectorizable</w:t>
            </w:r>
            <w:r>
              <w:rPr>
                <w:rFonts w:ascii="Consolas" w:hAnsi="Consolas"/>
                <w:color w:val="D4D4D4"/>
                <w:sz w:val="19"/>
              </w:rPr>
              <w:t xml:space="preserve"> {</w:t>
            </w:r>
          </w:p>
          <w:p>
            <w:pPr>
              <w:spacing w:before="0" w:after="0" w:line="240" w:lineRule="auto"/>
            </w:pPr>
            <w:r>
              <w:rPr>
                <w:rFonts w:ascii="Consolas" w:hAnsi="Consolas"/>
                <w:color w:val="D4D4D4"/>
                <w:sz w:val="19"/>
              </w:rPr>
              <w:t xml:space="preserve">    </w:t>
            </w:r>
            <w:r>
              <w:rPr>
                <w:rFonts w:ascii="Consolas" w:hAnsi="Consolas"/>
                <w:color w:val="4EC9C0"/>
                <w:sz w:val="19"/>
              </w:rPr>
              <w:t>JavAIList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DCDCAA"/>
                <w:sz w:val="19"/>
              </w:rPr>
              <w:t>nearestN</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569CD6"/>
                <w:sz w:val="19"/>
              </w:rPr>
              <w:t>int</w:t>
            </w:r>
            <w:r>
              <w:rPr>
                <w:rFonts w:ascii="Consolas" w:hAnsi="Consolas"/>
                <w:color w:val="D4D4D4"/>
                <w:sz w:val="19"/>
              </w:rPr>
              <w:t xml:space="preserve"> n);</w:t>
            </w:r>
          </w:p>
          <w:p>
            <w:pPr>
              <w:spacing w:before="0" w:after="0" w:line="240" w:lineRule="auto"/>
            </w:pPr>
            <w:r>
              <w:rPr>
                <w:rFonts w:ascii="Consolas" w:hAnsi="Consolas"/>
                <w:color w:val="D4D4D4"/>
                <w:sz w:val="19"/>
              </w:rPr>
              <w:t xml:space="preserve">    </w:t>
            </w:r>
            <w:r>
              <w:rPr>
                <w:rFonts w:ascii="Consolas" w:hAnsi="Consolas"/>
                <w:color w:val="4EC9C0"/>
                <w:sz w:val="19"/>
              </w:rPr>
              <w:t>JavAIList</w:t>
            </w:r>
            <w:r>
              <w:rPr>
                <w:rFonts w:ascii="Consolas" w:hAnsi="Consolas"/>
                <w:color w:val="D4D4D4"/>
                <w:sz w:val="19"/>
              </w:rPr>
              <w:t>&lt;</w:t>
            </w:r>
            <w:r>
              <w:rPr>
                <w:rFonts w:ascii="Consolas" w:hAnsi="Consolas"/>
                <w:color w:val="4EC9C0"/>
                <w:sz w:val="19"/>
              </w:rPr>
              <w:t>T</w:t>
            </w:r>
            <w:r>
              <w:rPr>
                <w:rFonts w:ascii="Consolas" w:hAnsi="Consolas"/>
                <w:color w:val="D4D4D4"/>
                <w:sz w:val="19"/>
              </w:rPr>
              <w:t xml:space="preserve">&gt; </w:t>
            </w:r>
            <w:r>
              <w:rPr>
                <w:rFonts w:ascii="Consolas" w:hAnsi="Consolas"/>
                <w:color w:val="DCDCAA"/>
                <w:sz w:val="19"/>
              </w:rPr>
              <w:t>filterByMinSimilarity</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569CD6"/>
                <w:sz w:val="19"/>
              </w:rPr>
              <w:t>double</w:t>
            </w:r>
            <w:r>
              <w:rPr>
                <w:rFonts w:ascii="Consolas" w:hAnsi="Consolas"/>
                <w:color w:val="D4D4D4"/>
                <w:sz w:val="19"/>
              </w:rPr>
              <w:t xml:space="preserve"> threshold);</w:t>
            </w:r>
          </w:p>
          <w:p>
            <w:pPr>
              <w:spacing w:before="0" w:after="0" w:line="240" w:lineRule="auto"/>
            </w:pP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 xml:space="preserve"> </w:t>
            </w:r>
            <w:r>
              <w:rPr>
                <w:rFonts w:ascii="Consolas" w:hAnsi="Consolas"/>
                <w:color w:val="DCDCAA"/>
                <w:sz w:val="19"/>
              </w:rPr>
              <w:t>centroid</w:t>
            </w:r>
            <w:r>
              <w:rPr>
                <w:rFonts w:ascii="Consolas" w:hAnsi="Consolas"/>
                <w:color w:val="D4D4D4"/>
                <w:sz w:val="19"/>
              </w:rPr>
              <w:t>();</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Keys are typically identifiers with no embedding of their own --</w:t>
            </w:r>
          </w:p>
          <w:p>
            <w:pPr>
              <w:spacing w:before="0" w:after="0" w:line="240" w:lineRule="auto"/>
            </w:pPr>
            <w:r>
              <w:rPr>
                <w:rFonts w:ascii="Consolas" w:hAnsi="Consolas"/>
                <w:i/>
                <w:color w:val="6A9955"/>
                <w:sz w:val="19"/>
              </w:rPr>
              <w:t>// ranking and centroid() operate over values, not keys or entries.</w:t>
            </w:r>
          </w:p>
          <w:p>
            <w:pPr>
              <w:spacing w:before="0" w:after="0" w:line="240" w:lineRule="auto"/>
            </w:pP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JavAIMap</w:t>
            </w:r>
            <w:r>
              <w:rPr>
                <w:rFonts w:ascii="Consolas" w:hAnsi="Consolas"/>
                <w:color w:val="D4D4D4"/>
                <w:sz w:val="19"/>
              </w:rPr>
              <w:t>&lt;</w:t>
            </w:r>
            <w:r>
              <w:rPr>
                <w:rFonts w:ascii="Consolas" w:hAnsi="Consolas"/>
                <w:color w:val="4EC9C0"/>
                <w:sz w:val="19"/>
              </w:rPr>
              <w:t>K</w:t>
            </w:r>
            <w:r>
              <w:rPr>
                <w:rFonts w:ascii="Consolas" w:hAnsi="Consolas"/>
                <w:color w:val="D4D4D4"/>
                <w:sz w:val="19"/>
              </w:rPr>
              <w:t xml:space="preserve">, </w:t>
            </w:r>
            <w:r>
              <w:rPr>
                <w:rFonts w:ascii="Consolas" w:hAnsi="Consolas"/>
                <w:color w:val="4EC9C0"/>
                <w:sz w:val="19"/>
              </w:rPr>
              <w:t>V</w:t>
            </w:r>
            <w:r>
              <w:rPr>
                <w:rFonts w:ascii="Consolas" w:hAnsi="Consolas"/>
                <w:color w:val="D4D4D4"/>
                <w:sz w:val="19"/>
              </w:rPr>
              <w:t xml:space="preserve">&gt; </w:t>
            </w:r>
            <w:r>
              <w:rPr>
                <w:rFonts w:ascii="Consolas" w:hAnsi="Consolas"/>
                <w:color w:val="569CD6"/>
                <w:sz w:val="19"/>
              </w:rPr>
              <w:t>extends</w:t>
            </w:r>
            <w:r>
              <w:rPr>
                <w:rFonts w:ascii="Consolas" w:hAnsi="Consolas"/>
                <w:color w:val="D4D4D4"/>
                <w:sz w:val="19"/>
              </w:rPr>
              <w:t xml:space="preserve"> java.util.</w:t>
            </w:r>
            <w:r>
              <w:rPr>
                <w:rFonts w:ascii="Consolas" w:hAnsi="Consolas"/>
                <w:color w:val="4EC9C0"/>
                <w:sz w:val="19"/>
              </w:rPr>
              <w:t>Map</w:t>
            </w:r>
            <w:r>
              <w:rPr>
                <w:rFonts w:ascii="Consolas" w:hAnsi="Consolas"/>
                <w:color w:val="D4D4D4"/>
                <w:sz w:val="19"/>
              </w:rPr>
              <w:t>&lt;</w:t>
            </w:r>
            <w:r>
              <w:rPr>
                <w:rFonts w:ascii="Consolas" w:hAnsi="Consolas"/>
                <w:color w:val="4EC9C0"/>
                <w:sz w:val="19"/>
              </w:rPr>
              <w:t>K</w:t>
            </w:r>
            <w:r>
              <w:rPr>
                <w:rFonts w:ascii="Consolas" w:hAnsi="Consolas"/>
                <w:color w:val="D4D4D4"/>
                <w:sz w:val="19"/>
              </w:rPr>
              <w:t xml:space="preserve">, </w:t>
            </w:r>
            <w:r>
              <w:rPr>
                <w:rFonts w:ascii="Consolas" w:hAnsi="Consolas"/>
                <w:color w:val="4EC9C0"/>
                <w:sz w:val="19"/>
              </w:rPr>
              <w:t>V</w:t>
            </w:r>
            <w:r>
              <w:rPr>
                <w:rFonts w:ascii="Consolas" w:hAnsi="Consolas"/>
                <w:color w:val="D4D4D4"/>
                <w:sz w:val="19"/>
              </w:rPr>
              <w:t xml:space="preserve">&gt;, </w:t>
            </w:r>
            <w:r>
              <w:rPr>
                <w:rFonts w:ascii="Consolas" w:hAnsi="Consolas"/>
                <w:color w:val="4EC9C0"/>
                <w:sz w:val="19"/>
              </w:rPr>
              <w:t>JavAISortable</w:t>
            </w:r>
            <w:r>
              <w:rPr>
                <w:rFonts w:ascii="Consolas" w:hAnsi="Consolas"/>
                <w:color w:val="D4D4D4"/>
                <w:sz w:val="19"/>
              </w:rPr>
              <w:t>&lt;</w:t>
            </w:r>
            <w:r>
              <w:rPr>
                <w:rFonts w:ascii="Consolas" w:hAnsi="Consolas"/>
                <w:color w:val="4EC9C0"/>
                <w:sz w:val="19"/>
              </w:rPr>
              <w:t>V</w:t>
            </w:r>
            <w:r>
              <w:rPr>
                <w:rFonts w:ascii="Consolas" w:hAnsi="Consolas"/>
                <w:color w:val="D4D4D4"/>
                <w:sz w:val="19"/>
              </w:rPr>
              <w:t xml:space="preserve">&gt;, </w:t>
            </w:r>
            <w:r>
              <w:rPr>
                <w:rFonts w:ascii="Consolas" w:hAnsi="Consolas"/>
                <w:color w:val="4EC9C0"/>
                <w:sz w:val="19"/>
              </w:rPr>
              <w:t>JavAIVectorizable</w:t>
            </w:r>
            <w:r>
              <w:rPr>
                <w:rFonts w:ascii="Consolas" w:hAnsi="Consolas"/>
                <w:color w:val="D4D4D4"/>
                <w:sz w:val="19"/>
              </w:rPr>
              <w:t xml:space="preserve"> {</w:t>
            </w:r>
          </w:p>
          <w:p>
            <w:pPr>
              <w:spacing w:before="0" w:after="0" w:line="240" w:lineRule="auto"/>
            </w:pP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 xml:space="preserve"> </w:t>
            </w:r>
            <w:r>
              <w:rPr>
                <w:rFonts w:ascii="Consolas" w:hAnsi="Consolas"/>
                <w:color w:val="DCDCAA"/>
                <w:sz w:val="19"/>
              </w:rPr>
              <w:t>centroid</w:t>
            </w:r>
            <w:r>
              <w:rPr>
                <w:rFonts w:ascii="Consolas" w:hAnsi="Consolas"/>
                <w:color w:val="D4D4D4"/>
                <w:sz w:val="19"/>
              </w:rPr>
              <w:t>();</w:t>
            </w:r>
          </w:p>
          <w:p>
            <w:pPr>
              <w:spacing w:before="0" w:after="0" w:line="240" w:lineRule="auto"/>
            </w:pPr>
            <w:r>
              <w:rPr>
                <w:rFonts w:ascii="Consolas" w:hAnsi="Consolas"/>
                <w:color w:val="D4D4D4"/>
                <w:sz w:val="19"/>
              </w:rPr>
              <w:t>}</w:t>
            </w:r>
          </w:p>
        </w:tc>
      </w:tr>
    </w:tbl>
    <w:p>
      <w:pPr>
        <w:spacing w:before="80"/>
        <w:jc w:val="center"/>
      </w:pPr>
      <w:r>
        <w:rPr>
          <w:i/>
          <w:color w:val="555555"/>
          <w:sz w:val="19"/>
        </w:rPr>
        <w:t>Example 29. JavAIList/JavAISet/JavAIMap's full extends clauses, plus every method beyond sortByCosineDistance().</w:t>
      </w:r>
    </w:p>
    <w:p>
      <w:pPr>
        <w:spacing w:after="160"/>
      </w:pPr>
      <w:r>
        <w:rPr>
          <w:b w:val="0"/>
          <w:i w:val="0"/>
        </w:rPr>
        <w:t>KnowledgeGraph&lt;N, E&gt; itself, in full — the type every graph-shaped collection in this document (in-memory or persisted, via Persistence Bridge's Neo4j shim, §5.2) ultimately is: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KnowledgeGraph</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JavAIGraphNode</w:t>
            </w:r>
            <w:r>
              <w:rPr>
                <w:rFonts w:ascii="Consolas" w:hAnsi="Consolas"/>
                <w:color w:val="D4D4D4"/>
                <w:sz w:val="19"/>
              </w:rPr>
              <w:t xml:space="preserve">, </w:t>
            </w:r>
            <w:r>
              <w:rPr>
                <w:rFonts w:ascii="Consolas" w:hAnsi="Consolas"/>
                <w:color w:val="4EC9C0"/>
                <w:sz w:val="19"/>
              </w:rPr>
              <w:t>E</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JavAIEdge</w:t>
            </w:r>
            <w:r>
              <w:rPr>
                <w:rFonts w:ascii="Consolas" w:hAnsi="Consolas"/>
                <w:color w:val="D4D4D4"/>
                <w:sz w:val="19"/>
              </w:rPr>
              <w:t>&gt;</w:t>
            </w:r>
          </w:p>
          <w:p>
            <w:pPr>
              <w:spacing w:before="0" w:after="0" w:line="240" w:lineRule="auto"/>
            </w:pP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JavAIVectorizable</w:t>
            </w:r>
            <w:r>
              <w:rPr>
                <w:rFonts w:ascii="Consolas" w:hAnsi="Consolas"/>
                <w:color w:val="D4D4D4"/>
                <w:sz w:val="19"/>
              </w:rPr>
              <w:t xml:space="preserve">, </w:t>
            </w:r>
            <w:r>
              <w:rPr>
                <w:rFonts w:ascii="Consolas" w:hAnsi="Consolas"/>
                <w:color w:val="4EC9C0"/>
                <w:sz w:val="19"/>
              </w:rPr>
              <w:t>JavAISortable</w:t>
            </w:r>
            <w:r>
              <w:rPr>
                <w:rFonts w:ascii="Consolas" w:hAnsi="Consolas"/>
                <w:color w:val="D4D4D4"/>
                <w:sz w:val="19"/>
              </w:rPr>
              <w:t>&lt;</w:t>
            </w:r>
            <w:r>
              <w:rPr>
                <w:rFonts w:ascii="Consolas" w:hAnsi="Consolas"/>
                <w:color w:val="4EC9C0"/>
                <w:sz w:val="19"/>
              </w:rPr>
              <w:t>N</w:t>
            </w:r>
            <w:r>
              <w:rPr>
                <w:rFonts w:ascii="Consolas" w:hAnsi="Consolas"/>
                <w:color w:val="D4D4D4"/>
                <w:sz w:val="19"/>
              </w:rPr>
              <w:t>&gt; {</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i/>
                <w:color w:val="6A9955"/>
                <w:sz w:val="19"/>
              </w:rPr>
              <w:t>// -- construction / access --</w:t>
            </w:r>
          </w:p>
          <w:p>
            <w:pPr>
              <w:spacing w:before="0" w:after="0" w:line="240" w:lineRule="auto"/>
            </w:pP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CDCAA"/>
                <w:sz w:val="19"/>
              </w:rPr>
              <w:t>addNode</w:t>
            </w:r>
            <w:r>
              <w:rPr>
                <w:rFonts w:ascii="Consolas" w:hAnsi="Consolas"/>
                <w:color w:val="D4D4D4"/>
                <w:sz w:val="19"/>
              </w:rPr>
              <w:t>(</w:t>
            </w:r>
            <w:r>
              <w:rPr>
                <w:rFonts w:ascii="Consolas" w:hAnsi="Consolas"/>
                <w:color w:val="4EC9C0"/>
                <w:sz w:val="19"/>
              </w:rPr>
              <w:t>N</w:t>
            </w:r>
            <w:r>
              <w:rPr>
                <w:rFonts w:ascii="Consolas" w:hAnsi="Consolas"/>
                <w:color w:val="D4D4D4"/>
                <w:sz w:val="19"/>
              </w:rPr>
              <w:t xml:space="preserve"> node);</w:t>
            </w:r>
          </w:p>
          <w:p>
            <w:pPr>
              <w:spacing w:before="0" w:after="0" w:line="240" w:lineRule="auto"/>
            </w:pP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CDCAA"/>
                <w:sz w:val="19"/>
              </w:rPr>
              <w:t>addEdge</w:t>
            </w:r>
            <w:r>
              <w:rPr>
                <w:rFonts w:ascii="Consolas" w:hAnsi="Consolas"/>
                <w:color w:val="D4D4D4"/>
                <w:sz w:val="19"/>
              </w:rPr>
              <w:t>(</w:t>
            </w:r>
            <w:r>
              <w:rPr>
                <w:rFonts w:ascii="Consolas" w:hAnsi="Consolas"/>
                <w:color w:val="4EC9C0"/>
                <w:sz w:val="19"/>
              </w:rPr>
              <w:t>N</w:t>
            </w:r>
            <w:r>
              <w:rPr>
                <w:rFonts w:ascii="Consolas" w:hAnsi="Consolas"/>
                <w:color w:val="D4D4D4"/>
                <w:sz w:val="19"/>
              </w:rPr>
              <w:t xml:space="preserve"> from, </w:t>
            </w:r>
            <w:r>
              <w:rPr>
                <w:rFonts w:ascii="Consolas" w:hAnsi="Consolas"/>
                <w:color w:val="4EC9C0"/>
                <w:sz w:val="19"/>
              </w:rPr>
              <w:t>N</w:t>
            </w:r>
            <w:r>
              <w:rPr>
                <w:rFonts w:ascii="Consolas" w:hAnsi="Consolas"/>
                <w:color w:val="D4D4D4"/>
                <w:sz w:val="19"/>
              </w:rPr>
              <w:t xml:space="preserve"> to, </w:t>
            </w:r>
            <w:r>
              <w:rPr>
                <w:rFonts w:ascii="Consolas" w:hAnsi="Consolas"/>
                <w:color w:val="4EC9C0"/>
                <w:sz w:val="19"/>
              </w:rPr>
              <w:t>E</w:t>
            </w:r>
            <w:r>
              <w:rPr>
                <w:rFonts w:ascii="Consolas" w:hAnsi="Consolas"/>
                <w:color w:val="D4D4D4"/>
                <w:sz w:val="19"/>
              </w:rPr>
              <w:t xml:space="preserve"> edge);</w:t>
            </w:r>
          </w:p>
          <w:p>
            <w:pPr>
              <w:spacing w:before="0" w:after="0" w:line="240" w:lineRule="auto"/>
            </w:pPr>
            <w:r>
              <w:rPr>
                <w:rFonts w:ascii="Consolas" w:hAnsi="Consolas"/>
                <w:color w:val="D4D4D4"/>
                <w:sz w:val="19"/>
              </w:rPr>
              <w:t xml:space="preserve">    </w:t>
            </w:r>
            <w:r>
              <w:rPr>
                <w:rFonts w:ascii="Consolas" w:hAnsi="Consolas"/>
                <w:color w:val="4EC9C0"/>
                <w:sz w:val="19"/>
              </w:rPr>
              <w:t>JavAISet</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&gt; </w:t>
            </w:r>
            <w:r>
              <w:rPr>
                <w:rFonts w:ascii="Consolas" w:hAnsi="Consolas"/>
                <w:color w:val="DCDCAA"/>
                <w:sz w:val="19"/>
              </w:rPr>
              <w:t>nodes</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4EC9C0"/>
                <w:sz w:val="19"/>
              </w:rPr>
              <w:t>JavAISet</w:t>
            </w:r>
            <w:r>
              <w:rPr>
                <w:rFonts w:ascii="Consolas" w:hAnsi="Consolas"/>
                <w:color w:val="D4D4D4"/>
                <w:sz w:val="19"/>
              </w:rPr>
              <w:t>&lt;</w:t>
            </w:r>
            <w:r>
              <w:rPr>
                <w:rFonts w:ascii="Consolas" w:hAnsi="Consolas"/>
                <w:color w:val="4EC9C0"/>
                <w:sz w:val="19"/>
              </w:rPr>
              <w:t>E</w:t>
            </w:r>
            <w:r>
              <w:rPr>
                <w:rFonts w:ascii="Consolas" w:hAnsi="Consolas"/>
                <w:color w:val="D4D4D4"/>
                <w:sz w:val="19"/>
              </w:rPr>
              <w:t xml:space="preserve">&gt; </w:t>
            </w:r>
            <w:r>
              <w:rPr>
                <w:rFonts w:ascii="Consolas" w:hAnsi="Consolas"/>
                <w:color w:val="DCDCAA"/>
                <w:sz w:val="19"/>
              </w:rPr>
              <w:t>edges</w:t>
            </w:r>
            <w:r>
              <w:rPr>
                <w:rFonts w:ascii="Consolas" w:hAnsi="Consolas"/>
                <w:color w:val="D4D4D4"/>
                <w:sz w:val="19"/>
              </w:rPr>
              <w:t>(</w:t>
            </w:r>
            <w:r>
              <w:rPr>
                <w:rFonts w:ascii="Consolas" w:hAnsi="Consolas"/>
                <w:color w:val="4EC9C0"/>
                <w:sz w:val="19"/>
              </w:rPr>
              <w:t>N</w:t>
            </w:r>
            <w:r>
              <w:rPr>
                <w:rFonts w:ascii="Consolas" w:hAnsi="Consolas"/>
                <w:color w:val="D4D4D4"/>
                <w:sz w:val="19"/>
              </w:rPr>
              <w:t xml:space="preserve"> from, </w:t>
            </w:r>
            <w:r>
              <w:rPr>
                <w:rFonts w:ascii="Consolas" w:hAnsi="Consolas"/>
                <w:color w:val="4EC9C0"/>
                <w:sz w:val="19"/>
              </w:rPr>
              <w:t>N</w:t>
            </w:r>
            <w:r>
              <w:rPr>
                <w:rFonts w:ascii="Consolas" w:hAnsi="Consolas"/>
                <w:color w:val="D4D4D4"/>
                <w:sz w:val="19"/>
              </w:rPr>
              <w:t xml:space="preserve"> to);</w:t>
            </w:r>
          </w:p>
          <w:p>
            <w:pPr>
              <w:spacing w:before="0" w:after="0" w:line="240" w:lineRule="auto"/>
            </w:pPr>
            <w:r>
              <w:rPr>
                <w:rFonts w:ascii="Consolas" w:hAnsi="Consolas"/>
                <w:color w:val="D4D4D4"/>
                <w:sz w:val="19"/>
              </w:rPr>
              <w:t xml:space="preserve">    </w:t>
            </w:r>
            <w:r>
              <w:rPr>
                <w:rFonts w:ascii="Consolas" w:hAnsi="Consolas"/>
                <w:color w:val="4EC9C0"/>
                <w:sz w:val="19"/>
              </w:rPr>
              <w:t>JavAISet</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&gt; </w:t>
            </w:r>
            <w:r>
              <w:rPr>
                <w:rFonts w:ascii="Consolas" w:hAnsi="Consolas"/>
                <w:color w:val="DCDCAA"/>
                <w:sz w:val="19"/>
              </w:rPr>
              <w:t>neighbors</w:t>
            </w:r>
            <w:r>
              <w:rPr>
                <w:rFonts w:ascii="Consolas" w:hAnsi="Consolas"/>
                <w:color w:val="D4D4D4"/>
                <w:sz w:val="19"/>
              </w:rPr>
              <w:t>(</w:t>
            </w:r>
            <w:r>
              <w:rPr>
                <w:rFonts w:ascii="Consolas" w:hAnsi="Consolas"/>
                <w:color w:val="4EC9C0"/>
                <w:sz w:val="19"/>
              </w:rPr>
              <w:t>N</w:t>
            </w:r>
            <w:r>
              <w:rPr>
                <w:rFonts w:ascii="Consolas" w:hAnsi="Consolas"/>
                <w:color w:val="D4D4D4"/>
                <w:sz w:val="19"/>
              </w:rPr>
              <w:t xml:space="preserve"> node);</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i/>
                <w:color w:val="6A9955"/>
                <w:sz w:val="19"/>
              </w:rPr>
              <w:t>// -- pattern-match traversal, no similarity involved --</w:t>
            </w:r>
          </w:p>
          <w:p>
            <w:pPr>
              <w:spacing w:before="0" w:after="0" w:line="240" w:lineRule="auto"/>
            </w:pPr>
            <w:r>
              <w:rPr>
                <w:rFonts w:ascii="Consolas" w:hAnsi="Consolas"/>
                <w:color w:val="D4D4D4"/>
                <w:sz w:val="19"/>
              </w:rPr>
              <w:t xml:space="preserve">    </w:t>
            </w:r>
            <w:r>
              <w:rPr>
                <w:rFonts w:ascii="Consolas" w:hAnsi="Consolas"/>
                <w:color w:val="4EC9C0"/>
                <w:sz w:val="19"/>
              </w:rPr>
              <w:t>JavAIList</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&gt; </w:t>
            </w:r>
            <w:r>
              <w:rPr>
                <w:rFonts w:ascii="Consolas" w:hAnsi="Consolas"/>
                <w:color w:val="DCDCAA"/>
                <w:sz w:val="19"/>
              </w:rPr>
              <w:t>match</w:t>
            </w:r>
            <w:r>
              <w:rPr>
                <w:rFonts w:ascii="Consolas" w:hAnsi="Consolas"/>
                <w:color w:val="D4D4D4"/>
                <w:sz w:val="19"/>
              </w:rPr>
              <w:t>(</w:t>
            </w:r>
            <w:r>
              <w:rPr>
                <w:rFonts w:ascii="Consolas" w:hAnsi="Consolas"/>
                <w:color w:val="4EC9C0"/>
                <w:sz w:val="19"/>
              </w:rPr>
              <w:t>Class</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&gt; type, </w:t>
            </w:r>
            <w:r>
              <w:rPr>
                <w:rFonts w:ascii="Consolas" w:hAnsi="Consolas"/>
                <w:color w:val="4EC9C0"/>
                <w:sz w:val="19"/>
              </w:rPr>
              <w:t>Predicate</w:t>
            </w:r>
            <w:r>
              <w:rPr>
                <w:rFonts w:ascii="Consolas" w:hAnsi="Consolas"/>
                <w:color w:val="D4D4D4"/>
                <w:sz w:val="19"/>
              </w:rPr>
              <w:t>&lt;</w:t>
            </w:r>
            <w:r>
              <w:rPr>
                <w:rFonts w:ascii="Consolas" w:hAnsi="Consolas"/>
                <w:color w:val="4EC9C0"/>
                <w:sz w:val="19"/>
              </w:rPr>
              <w:t>N</w:t>
            </w:r>
            <w:r>
              <w:rPr>
                <w:rFonts w:ascii="Consolas" w:hAnsi="Consolas"/>
                <w:color w:val="D4D4D4"/>
                <w:sz w:val="19"/>
              </w:rPr>
              <w:t>&gt; filter);</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i/>
                <w:color w:val="6A9955"/>
                <w:sz w:val="19"/>
              </w:rPr>
              <w:t>// -- hybrid similarity + structure query --</w:t>
            </w:r>
          </w:p>
          <w:p>
            <w:pPr>
              <w:spacing w:before="0" w:after="0" w:line="240" w:lineRule="auto"/>
            </w:pPr>
            <w:r>
              <w:rPr>
                <w:rFonts w:ascii="Consolas" w:hAnsi="Consolas"/>
                <w:color w:val="D4D4D4"/>
                <w:sz w:val="19"/>
              </w:rPr>
              <w:t xml:space="preserve">    </w:t>
            </w:r>
            <w:r>
              <w:rPr>
                <w:rFonts w:ascii="Consolas" w:hAnsi="Consolas"/>
                <w:i/>
                <w:color w:val="6A9955"/>
                <w:sz w:val="19"/>
              </w:rPr>
              <w:t>// The return type is the key design point: a SubgraphResult IS a</w:t>
            </w:r>
          </w:p>
          <w:p>
            <w:pPr>
              <w:spacing w:before="0" w:after="0" w:line="240" w:lineRule="auto"/>
            </w:pPr>
            <w:r>
              <w:rPr>
                <w:rFonts w:ascii="Consolas" w:hAnsi="Consolas"/>
                <w:color w:val="D4D4D4"/>
                <w:sz w:val="19"/>
              </w:rPr>
              <w:t xml:space="preserve">    </w:t>
            </w:r>
            <w:r>
              <w:rPr>
                <w:rFonts w:ascii="Consolas" w:hAnsi="Consolas"/>
                <w:i/>
                <w:color w:val="6A9955"/>
                <w:sz w:val="19"/>
              </w:rPr>
              <w:t>// KnowledgeGraph, not a bare list of hits. Nodes/edges that matched</w:t>
            </w:r>
          </w:p>
          <w:p>
            <w:pPr>
              <w:spacing w:before="0" w:after="0" w:line="240" w:lineRule="auto"/>
            </w:pPr>
            <w:r>
              <w:rPr>
                <w:rFonts w:ascii="Consolas" w:hAnsi="Consolas"/>
                <w:color w:val="D4D4D4"/>
                <w:sz w:val="19"/>
              </w:rPr>
              <w:t xml:space="preserve">    </w:t>
            </w:r>
            <w:r>
              <w:rPr>
                <w:rFonts w:ascii="Consolas" w:hAnsi="Consolas"/>
                <w:i/>
                <w:color w:val="6A9955"/>
                <w:sz w:val="19"/>
              </w:rPr>
              <w:t>// stay queryable, sortable, and narrowable exactly like the graph</w:t>
            </w:r>
          </w:p>
          <w:p>
            <w:pPr>
              <w:spacing w:before="0" w:after="0" w:line="240" w:lineRule="auto"/>
            </w:pPr>
            <w:r>
              <w:rPr>
                <w:rFonts w:ascii="Consolas" w:hAnsi="Consolas"/>
                <w:color w:val="D4D4D4"/>
                <w:sz w:val="19"/>
              </w:rPr>
              <w:t xml:space="preserve">    </w:t>
            </w:r>
            <w:r>
              <w:rPr>
                <w:rFonts w:ascii="Consolas" w:hAnsi="Consolas"/>
                <w:i/>
                <w:color w:val="6A9955"/>
                <w:sz w:val="19"/>
              </w:rPr>
              <w:t>// they came from.</w:t>
            </w:r>
          </w:p>
          <w:p>
            <w:pPr>
              <w:spacing w:before="0" w:after="0" w:line="240" w:lineRule="auto"/>
            </w:pPr>
            <w:r>
              <w:rPr>
                <w:rFonts w:ascii="Consolas" w:hAnsi="Consolas"/>
                <w:color w:val="D4D4D4"/>
                <w:sz w:val="19"/>
              </w:rPr>
              <w:t xml:space="preserve">    </w:t>
            </w:r>
            <w:r>
              <w:rPr>
                <w:rFonts w:ascii="Consolas" w:hAnsi="Consolas"/>
                <w:color w:val="4EC9C0"/>
                <w:sz w:val="19"/>
              </w:rPr>
              <w:t>SubgraphResult</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 </w:t>
            </w:r>
            <w:r>
              <w:rPr>
                <w:rFonts w:ascii="Consolas" w:hAnsi="Consolas"/>
                <w:color w:val="4EC9C0"/>
                <w:sz w:val="19"/>
              </w:rPr>
              <w:t>E</w:t>
            </w:r>
            <w:r>
              <w:rPr>
                <w:rFonts w:ascii="Consolas" w:hAnsi="Consolas"/>
                <w:color w:val="D4D4D4"/>
                <w:sz w:val="19"/>
              </w:rPr>
              <w:t xml:space="preserve">&gt; </w:t>
            </w:r>
            <w:r>
              <w:rPr>
                <w:rFonts w:ascii="Consolas" w:hAnsi="Consolas"/>
                <w:color w:val="DCDCAA"/>
                <w:sz w:val="19"/>
              </w:rPr>
              <w:t>nearestSubgraph</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569CD6"/>
                <w:sz w:val="19"/>
              </w:rPr>
              <w:t>int</w:t>
            </w:r>
            <w:r>
              <w:rPr>
                <w:rFonts w:ascii="Consolas" w:hAnsi="Consolas"/>
                <w:color w:val="D4D4D4"/>
                <w:sz w:val="19"/>
              </w:rPr>
              <w:t xml:space="preserve"> k, </w:t>
            </w:r>
            <w:r>
              <w:rPr>
                <w:rFonts w:ascii="Consolas" w:hAnsi="Consolas"/>
                <w:color w:val="569CD6"/>
                <w:sz w:val="19"/>
              </w:rPr>
              <w:t>int</w:t>
            </w:r>
            <w:r>
              <w:rPr>
                <w:rFonts w:ascii="Consolas" w:hAnsi="Consolas"/>
                <w:color w:val="D4D4D4"/>
                <w:sz w:val="19"/>
              </w:rPr>
              <w:t xml:space="preserve"> hops);</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i/>
                <w:color w:val="6A9955"/>
                <w:sz w:val="19"/>
              </w:rPr>
              <w:t>// -- persistence-facing --</w:t>
            </w:r>
          </w:p>
          <w:p>
            <w:pPr>
              <w:spacing w:before="0" w:after="0" w:line="240" w:lineRule="auto"/>
            </w:pPr>
            <w:r>
              <w:rPr>
                <w:rFonts w:ascii="Consolas" w:hAnsi="Consolas"/>
                <w:color w:val="D4D4D4"/>
                <w:sz w:val="19"/>
              </w:rPr>
              <w:t xml:space="preserve">    </w:t>
            </w:r>
            <w:r>
              <w:rPr>
                <w:rFonts w:ascii="Consolas" w:hAnsi="Consolas"/>
                <w:color w:val="4EC9C0"/>
                <w:sz w:val="19"/>
              </w:rPr>
              <w:t>KnowledgeGraph</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 </w:t>
            </w:r>
            <w:r>
              <w:rPr>
                <w:rFonts w:ascii="Consolas" w:hAnsi="Consolas"/>
                <w:color w:val="4EC9C0"/>
                <w:sz w:val="19"/>
              </w:rPr>
              <w:t>E</w:t>
            </w:r>
            <w:r>
              <w:rPr>
                <w:rFonts w:ascii="Consolas" w:hAnsi="Consolas"/>
                <w:color w:val="D4D4D4"/>
                <w:sz w:val="19"/>
              </w:rPr>
              <w:t xml:space="preserve">&gt; </w:t>
            </w:r>
            <w:r>
              <w:rPr>
                <w:rFonts w:ascii="Consolas" w:hAnsi="Consolas"/>
                <w:color w:val="DCDCAA"/>
                <w:sz w:val="19"/>
              </w:rPr>
              <w:t>persisted</w:t>
            </w:r>
            <w:r>
              <w:rPr>
                <w:rFonts w:ascii="Consolas" w:hAnsi="Consolas"/>
                <w:color w:val="D4D4D4"/>
                <w:sz w:val="19"/>
              </w:rPr>
              <w:t>(</w:t>
            </w:r>
            <w:r>
              <w:rPr>
                <w:rFonts w:ascii="Consolas" w:hAnsi="Consolas"/>
                <w:color w:val="4EC9C0"/>
                <w:sz w:val="19"/>
              </w:rPr>
              <w:t>JavAIRepository</w:t>
            </w:r>
            <w:r>
              <w:rPr>
                <w:rFonts w:ascii="Consolas" w:hAnsi="Consolas"/>
                <w:color w:val="D4D4D4"/>
                <w:sz w:val="19"/>
              </w:rPr>
              <w:t>&lt;</w:t>
            </w:r>
            <w:r>
              <w:rPr>
                <w:rFonts w:ascii="Consolas" w:hAnsi="Consolas"/>
                <w:color w:val="4EC9C0"/>
                <w:sz w:val="19"/>
              </w:rPr>
              <w:t>N</w:t>
            </w:r>
            <w:r>
              <w:rPr>
                <w:rFonts w:ascii="Consolas" w:hAnsi="Consolas"/>
                <w:color w:val="D4D4D4"/>
                <w:sz w:val="19"/>
              </w:rPr>
              <w:t>&gt; backing);</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What nearestSubgraph() actually returns. Because it extends</w:t>
            </w:r>
          </w:p>
          <w:p>
            <w:pPr>
              <w:spacing w:before="0" w:after="0" w:line="240" w:lineRule="auto"/>
            </w:pPr>
            <w:r>
              <w:rPr>
                <w:rFonts w:ascii="Consolas" w:hAnsi="Consolas"/>
                <w:i/>
                <w:color w:val="6A9955"/>
                <w:sz w:val="19"/>
              </w:rPr>
              <w:t>// KnowledgeGraph&lt;N, E&gt;, every method above -- including nearestSubgraph()</w:t>
            </w:r>
          </w:p>
          <w:p>
            <w:pPr>
              <w:spacing w:before="0" w:after="0" w:line="240" w:lineRule="auto"/>
            </w:pPr>
            <w:r>
              <w:rPr>
                <w:rFonts w:ascii="Consolas" w:hAnsi="Consolas"/>
                <w:i/>
                <w:color w:val="6A9955"/>
                <w:sz w:val="19"/>
              </w:rPr>
              <w:t>// itself -- is callable again, directly on the result.</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SubgraphResult</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JavAIGraphNode</w:t>
            </w:r>
            <w:r>
              <w:rPr>
                <w:rFonts w:ascii="Consolas" w:hAnsi="Consolas"/>
                <w:color w:val="D4D4D4"/>
                <w:sz w:val="19"/>
              </w:rPr>
              <w:t xml:space="preserve">, </w:t>
            </w:r>
            <w:r>
              <w:rPr>
                <w:rFonts w:ascii="Consolas" w:hAnsi="Consolas"/>
                <w:color w:val="4EC9C0"/>
                <w:sz w:val="19"/>
              </w:rPr>
              <w:t>E</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JavAIEdge</w:t>
            </w:r>
            <w:r>
              <w:rPr>
                <w:rFonts w:ascii="Consolas" w:hAnsi="Consolas"/>
                <w:color w:val="D4D4D4"/>
                <w:sz w:val="19"/>
              </w:rPr>
              <w:t>&gt;</w:t>
            </w:r>
          </w:p>
          <w:p>
            <w:pPr>
              <w:spacing w:before="0" w:after="0" w:line="240" w:lineRule="auto"/>
            </w:pP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KnowledgeGraph</w:t>
            </w:r>
            <w:r>
              <w:rPr>
                <w:rFonts w:ascii="Consolas" w:hAnsi="Consolas"/>
                <w:color w:val="D4D4D4"/>
                <w:sz w:val="19"/>
              </w:rPr>
              <w:t>&lt;</w:t>
            </w:r>
            <w:r>
              <w:rPr>
                <w:rFonts w:ascii="Consolas" w:hAnsi="Consolas"/>
                <w:color w:val="4EC9C0"/>
                <w:sz w:val="19"/>
              </w:rPr>
              <w:t>N</w:t>
            </w:r>
            <w:r>
              <w:rPr>
                <w:rFonts w:ascii="Consolas" w:hAnsi="Consolas"/>
                <w:color w:val="D4D4D4"/>
                <w:sz w:val="19"/>
              </w:rPr>
              <w:t xml:space="preserve">, </w:t>
            </w:r>
            <w:r>
              <w:rPr>
                <w:rFonts w:ascii="Consolas" w:hAnsi="Consolas"/>
                <w:color w:val="4EC9C0"/>
                <w:sz w:val="19"/>
              </w:rPr>
              <w:t>E</w:t>
            </w:r>
            <w:r>
              <w:rPr>
                <w:rFonts w:ascii="Consolas" w:hAnsi="Consolas"/>
                <w:color w:val="D4D4D4"/>
                <w:sz w:val="19"/>
              </w:rPr>
              <w:t>&gt; {</w:t>
            </w:r>
          </w:p>
          <w:p>
            <w:pPr>
              <w:spacing w:before="0" w:after="0" w:line="240" w:lineRule="auto"/>
            </w:pPr>
            <w:r>
              <w:rPr>
                <w:rFonts w:ascii="Consolas" w:hAnsi="Consolas"/>
                <w:color w:val="D4D4D4"/>
                <w:sz w:val="19"/>
              </w:rPr>
              <w:t xml:space="preserve">    </w:t>
            </w:r>
            <w:r>
              <w:rPr>
                <w:rFonts w:ascii="Consolas" w:hAnsi="Consolas"/>
                <w:color w:val="569CD6"/>
                <w:sz w:val="19"/>
              </w:rPr>
              <w:t>double</w:t>
            </w:r>
            <w:r>
              <w:rPr>
                <w:rFonts w:ascii="Consolas" w:hAnsi="Consolas"/>
                <w:color w:val="D4D4D4"/>
                <w:sz w:val="19"/>
              </w:rPr>
              <w:t xml:space="preserve"> </w:t>
            </w:r>
            <w:r>
              <w:rPr>
                <w:rFonts w:ascii="Consolas" w:hAnsi="Consolas"/>
                <w:color w:val="DCDCAA"/>
                <w:sz w:val="19"/>
              </w:rPr>
              <w:t>scoreOf</w:t>
            </w:r>
            <w:r>
              <w:rPr>
                <w:rFonts w:ascii="Consolas" w:hAnsi="Consolas"/>
                <w:color w:val="D4D4D4"/>
                <w:sz w:val="19"/>
              </w:rPr>
              <w:t>(</w:t>
            </w:r>
            <w:r>
              <w:rPr>
                <w:rFonts w:ascii="Consolas" w:hAnsi="Consolas"/>
                <w:color w:val="4EC9C0"/>
                <w:sz w:val="19"/>
              </w:rPr>
              <w:t>N</w:t>
            </w:r>
            <w:r>
              <w:rPr>
                <w:rFonts w:ascii="Consolas" w:hAnsi="Consolas"/>
                <w:color w:val="D4D4D4"/>
                <w:sz w:val="19"/>
              </w:rPr>
              <w:t xml:space="preserve"> node);            </w:t>
            </w:r>
            <w:r>
              <w:rPr>
                <w:rFonts w:ascii="Consolas" w:hAnsi="Consolas"/>
                <w:i/>
                <w:color w:val="6A9955"/>
                <w:sz w:val="19"/>
              </w:rPr>
              <w:t>// similarity score that earned this node its place</w:t>
            </w:r>
          </w:p>
          <w:p>
            <w:pPr>
              <w:spacing w:before="0" w:after="0" w:line="240" w:lineRule="auto"/>
            </w:pP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CDCAA"/>
                <w:sz w:val="19"/>
              </w:rPr>
              <w:t>hopsFrom</w:t>
            </w:r>
            <w:r>
              <w:rPr>
                <w:rFonts w:ascii="Consolas" w:hAnsi="Consolas"/>
                <w:color w:val="D4D4D4"/>
                <w:sz w:val="19"/>
              </w:rPr>
              <w:t>(</w:t>
            </w:r>
            <w:r>
              <w:rPr>
                <w:rFonts w:ascii="Consolas" w:hAnsi="Consolas"/>
                <w:color w:val="4EC9C0"/>
                <w:sz w:val="19"/>
              </w:rPr>
              <w:t>N</w:t>
            </w:r>
            <w:r>
              <w:rPr>
                <w:rFonts w:ascii="Consolas" w:hAnsi="Consolas"/>
                <w:color w:val="D4D4D4"/>
                <w:sz w:val="19"/>
              </w:rPr>
              <w:t xml:space="preserve"> node, </w:t>
            </w:r>
            <w:r>
              <w:rPr>
                <w:rFonts w:ascii="Consolas" w:hAnsi="Consolas"/>
                <w:color w:val="4EC9C0"/>
                <w:sz w:val="19"/>
              </w:rPr>
              <w:t>N</w:t>
            </w:r>
            <w:r>
              <w:rPr>
                <w:rFonts w:ascii="Consolas" w:hAnsi="Consolas"/>
                <w:color w:val="D4D4D4"/>
                <w:sz w:val="19"/>
              </w:rPr>
              <w:t xml:space="preserve"> origin);    </w:t>
            </w:r>
            <w:r>
              <w:rPr>
                <w:rFonts w:ascii="Consolas" w:hAnsi="Consolas"/>
                <w:i/>
                <w:color w:val="6A9955"/>
                <w:sz w:val="19"/>
              </w:rPr>
              <w:t>// structural distance from the query origin</w:t>
            </w:r>
          </w:p>
          <w:p>
            <w:pPr>
              <w:spacing w:before="0" w:after="0" w:line="240" w:lineRule="auto"/>
            </w:pPr>
            <w:r>
              <w:rPr>
                <w:rFonts w:ascii="Consolas" w:hAnsi="Consolas"/>
                <w:color w:val="D4D4D4"/>
                <w:sz w:val="19"/>
              </w:rPr>
              <w:t>}</w:t>
            </w:r>
          </w:p>
        </w:tc>
      </w:tr>
    </w:tbl>
    <w:p>
      <w:pPr>
        <w:spacing w:before="80"/>
        <w:jc w:val="center"/>
      </w:pPr>
      <w:r>
        <w:rPr>
          <w:i/>
          <w:color w:val="555555"/>
          <w:sz w:val="19"/>
        </w:rPr>
        <w:t>Example 25. The full KnowledgeGraph&lt;N, E&gt; contract — nearestSubgraph() returns a SubgraphResult, which is itself a KnowledgeGraph.</w:t>
      </w:r>
    </w:p>
    <w:p>
      <w:pPr>
        <w:spacing w:after="160"/>
      </w:pPr>
      <w:r>
        <w:rPr>
          <w:b w:val="0"/>
          <w:i w:val="0"/>
        </w:rPr>
        <w:t>The consequence of SubgraphResult extending KnowledgeGraph: a query result can be queried again, narrowing structure and similarity together across multiple hops, without ever dropping down to a plain list:</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KnowledgeGraph</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&gt; graph =</w:t>
            </w:r>
          </w:p>
          <w:p>
            <w:pPr>
              <w:spacing w:before="0" w:after="0" w:line="240" w:lineRule="auto"/>
            </w:pPr>
            <w:r>
              <w:rPr>
                <w:rFonts w:ascii="Consolas" w:hAnsi="Consolas"/>
                <w:color w:val="D4D4D4"/>
                <w:sz w:val="19"/>
              </w:rPr>
              <w:t xml:space="preserve">    </w:t>
            </w:r>
            <w:r>
              <w:rPr>
                <w:rFonts w:ascii="Consolas" w:hAnsi="Consolas"/>
                <w:color w:val="4EC9C0"/>
                <w:sz w:val="19"/>
              </w:rPr>
              <w:t>JavAIPI</w:t>
            </w:r>
            <w:r>
              <w:rPr>
                <w:rFonts w:ascii="Consolas" w:hAnsi="Consolas"/>
                <w:color w:val="D4D4D4"/>
                <w:sz w:val="19"/>
              </w:rPr>
              <w:t>.</w:t>
            </w:r>
            <w:r>
              <w:rPr>
                <w:rFonts w:ascii="Consolas" w:hAnsi="Consolas"/>
                <w:color w:val="DCDCAA"/>
                <w:sz w:val="19"/>
              </w:rPr>
              <w:t>knowledgeGraph</w:t>
            </w:r>
            <w:r>
              <w:rPr>
                <w:rFonts w:ascii="Consolas" w:hAnsi="Consolas"/>
                <w:color w:val="D4D4D4"/>
                <w:sz w:val="19"/>
              </w:rPr>
              <w:t>(</w:t>
            </w:r>
            <w:r>
              <w:rPr>
                <w:rFonts w:ascii="Consolas" w:hAnsi="Consolas"/>
                <w:color w:val="4EC9C0"/>
                <w:sz w:val="19"/>
              </w:rPr>
              <w:t>Article</w:t>
            </w:r>
            <w:r>
              <w:rPr>
                <w:rFonts w:ascii="Consolas" w:hAnsi="Consolas"/>
                <w:color w:val="D4D4D4"/>
                <w:sz w:val="19"/>
              </w:rPr>
              <w:t>.</w:t>
            </w:r>
            <w:r>
              <w:rPr>
                <w:rFonts w:ascii="Consolas" w:hAnsi="Consolas"/>
                <w:color w:val="569CD6"/>
                <w:sz w:val="19"/>
              </w:rPr>
              <w:t>class</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w:t>
            </w:r>
            <w:r>
              <w:rPr>
                <w:rFonts w:ascii="Consolas" w:hAnsi="Consolas"/>
                <w:color w:val="569CD6"/>
                <w:sz w:val="19"/>
              </w:rPr>
              <w:t>class</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First hop: broad similarity + structure query over the whole graph.</w:t>
            </w:r>
          </w:p>
          <w:p>
            <w:pPr>
              <w:spacing w:before="0" w:after="0" w:line="240" w:lineRule="auto"/>
            </w:pPr>
            <w:r>
              <w:rPr>
                <w:rFonts w:ascii="Consolas" w:hAnsi="Consolas"/>
                <w:color w:val="4EC9C0"/>
                <w:sz w:val="19"/>
              </w:rPr>
              <w:t>SubgraphResult</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&gt; broad =</w:t>
            </w:r>
          </w:p>
          <w:p>
            <w:pPr>
              <w:spacing w:before="0" w:after="0" w:line="240" w:lineRule="auto"/>
            </w:pPr>
            <w:r>
              <w:rPr>
                <w:rFonts w:ascii="Consolas" w:hAnsi="Consolas"/>
                <w:color w:val="D4D4D4"/>
                <w:sz w:val="19"/>
              </w:rPr>
              <w:t xml:space="preserve">    graph.</w:t>
            </w:r>
            <w:r>
              <w:rPr>
                <w:rFonts w:ascii="Consolas" w:hAnsi="Consolas"/>
                <w:color w:val="DCDCAA"/>
                <w:sz w:val="19"/>
              </w:rPr>
              <w:t>nearestSubgraph</w:t>
            </w:r>
            <w:r>
              <w:rPr>
                <w:rFonts w:ascii="Consolas" w:hAnsi="Consolas"/>
                <w:color w:val="D4D4D4"/>
                <w:sz w:val="19"/>
              </w:rPr>
              <w:t xml:space="preserve">(queryVector, </w:t>
            </w:r>
            <w:r>
              <w:rPr>
                <w:rFonts w:ascii="Consolas" w:hAnsi="Consolas"/>
                <w:color w:val="B5CEA8"/>
                <w:sz w:val="19"/>
              </w:rPr>
              <w:t>50</w:t>
            </w:r>
            <w:r>
              <w:rPr>
                <w:rFonts w:ascii="Consolas" w:hAnsi="Consolas"/>
                <w:color w:val="D4D4D4"/>
                <w:sz w:val="19"/>
              </w:rPr>
              <w:t xml:space="preserve">, /* hops */ </w:t>
            </w:r>
            <w:r>
              <w:rPr>
                <w:rFonts w:ascii="Consolas" w:hAnsi="Consolas"/>
                <w:color w:val="B5CEA8"/>
                <w:sz w:val="19"/>
              </w:rPr>
              <w:t>3</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broad IS a KnowledgeGraph -- call nearestSubgraph() again, directly on</w:t>
            </w:r>
          </w:p>
          <w:p>
            <w:pPr>
              <w:spacing w:before="0" w:after="0" w:line="240" w:lineRule="auto"/>
            </w:pPr>
            <w:r>
              <w:rPr>
                <w:rFonts w:ascii="Consolas" w:hAnsi="Consolas"/>
                <w:i/>
                <w:color w:val="6A9955"/>
                <w:sz w:val="19"/>
              </w:rPr>
              <w:t>// the result, to narrow without re-touching the graph it came from.</w:t>
            </w:r>
          </w:p>
          <w:p>
            <w:pPr>
              <w:spacing w:before="0" w:after="0" w:line="240" w:lineRule="auto"/>
            </w:pPr>
            <w:r>
              <w:rPr>
                <w:rFonts w:ascii="Consolas" w:hAnsi="Consolas"/>
                <w:color w:val="4EC9C0"/>
                <w:sz w:val="19"/>
              </w:rPr>
              <w:t>SubgraphResult</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&gt; narrowed =</w:t>
            </w:r>
          </w:p>
          <w:p>
            <w:pPr>
              <w:spacing w:before="0" w:after="0" w:line="240" w:lineRule="auto"/>
            </w:pPr>
            <w:r>
              <w:rPr>
                <w:rFonts w:ascii="Consolas" w:hAnsi="Consolas"/>
                <w:color w:val="D4D4D4"/>
                <w:sz w:val="19"/>
              </w:rPr>
              <w:t xml:space="preserve">    broad.</w:t>
            </w:r>
            <w:r>
              <w:rPr>
                <w:rFonts w:ascii="Consolas" w:hAnsi="Consolas"/>
                <w:color w:val="DCDCAA"/>
                <w:sz w:val="19"/>
              </w:rPr>
              <w:t>nearestSubgraph</w:t>
            </w:r>
            <w:r>
              <w:rPr>
                <w:rFonts w:ascii="Consolas" w:hAnsi="Consolas"/>
                <w:color w:val="D4D4D4"/>
                <w:sz w:val="19"/>
              </w:rPr>
              <w:t xml:space="preserve">(queryVector, </w:t>
            </w:r>
            <w:r>
              <w:rPr>
                <w:rFonts w:ascii="Consolas" w:hAnsi="Consolas"/>
                <w:color w:val="B5CEA8"/>
                <w:sz w:val="19"/>
              </w:rPr>
              <w:t>8</w:t>
            </w:r>
            <w:r>
              <w:rPr>
                <w:rFonts w:ascii="Consolas" w:hAnsi="Consolas"/>
                <w:color w:val="D4D4D4"/>
                <w:sz w:val="19"/>
              </w:rPr>
              <w:t xml:space="preserve">, /* hops */ </w:t>
            </w:r>
            <w:r>
              <w:rPr>
                <w:rFonts w:ascii="Consolas" w:hAnsi="Consolas"/>
                <w:color w:val="B5CEA8"/>
                <w:sz w:val="19"/>
              </w:rPr>
              <w:t>1</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And it's still sortable and still promptable, like any other result:</w:t>
            </w:r>
          </w:p>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Article</w:t>
            </w:r>
            <w:r>
              <w:rPr>
                <w:rFonts w:ascii="Consolas" w:hAnsi="Consolas"/>
                <w:color w:val="D4D4D4"/>
                <w:sz w:val="19"/>
              </w:rPr>
              <w:t>&gt; ranked = narrowed.</w:t>
            </w:r>
            <w:r>
              <w:rPr>
                <w:rFonts w:ascii="Consolas" w:hAnsi="Consolas"/>
                <w:color w:val="DCDCAA"/>
                <w:sz w:val="19"/>
              </w:rPr>
              <w:t>sortByCosineDistance</w:t>
            </w:r>
            <w:r>
              <w:rPr>
                <w:rFonts w:ascii="Consolas" w:hAnsi="Consolas"/>
                <w:color w:val="D4D4D4"/>
                <w:sz w:val="19"/>
              </w:rPr>
              <w:t>(queryVector);</w:t>
            </w:r>
          </w:p>
          <w:p>
            <w:pPr>
              <w:spacing w:before="0" w:after="0" w:line="240" w:lineRule="auto"/>
            </w:pPr>
            <w:r>
              <w:rPr>
                <w:rFonts w:ascii="Consolas" w:hAnsi="Consolas"/>
                <w:color w:val="4EC9C0"/>
                <w:sz w:val="19"/>
              </w:rPr>
              <w:t>CompletionResult</w:t>
            </w:r>
            <w:r>
              <w:rPr>
                <w:rFonts w:ascii="Consolas" w:hAnsi="Consolas"/>
                <w:color w:val="D4D4D4"/>
                <w:sz w:val="19"/>
              </w:rPr>
              <w:t xml:space="preserve"> brief = completionProvider.</w:t>
            </w:r>
            <w:r>
              <w:rPr>
                <w:rFonts w:ascii="Consolas" w:hAnsi="Consolas"/>
                <w:color w:val="DCDCAA"/>
                <w:sz w:val="19"/>
              </w:rPr>
              <w:t>complete</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4EC9C0"/>
                <w:sz w:val="19"/>
              </w:rPr>
              <w:t>CompletionRequest</w:t>
            </w:r>
            <w:r>
              <w:rPr>
                <w:rFonts w:ascii="Consolas" w:hAnsi="Consolas"/>
                <w:color w:val="D4D4D4"/>
                <w:sz w:val="19"/>
              </w:rPr>
              <w:t>.</w:t>
            </w:r>
            <w:r>
              <w:rPr>
                <w:rFonts w:ascii="Consolas" w:hAnsi="Consolas"/>
                <w:color w:val="DCDCAA"/>
                <w:sz w:val="19"/>
              </w:rPr>
              <w:t>builder</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prompt</w:t>
            </w:r>
            <w:r>
              <w:rPr>
                <w:rFonts w:ascii="Consolas" w:hAnsi="Consolas"/>
                <w:color w:val="D4D4D4"/>
                <w:sz w:val="19"/>
              </w:rPr>
              <w:t>(</w:t>
            </w:r>
            <w:r>
              <w:rPr>
                <w:rFonts w:ascii="Consolas" w:hAnsi="Consolas"/>
                <w:color w:val="CE9178"/>
                <w:sz w:val="19"/>
              </w:rPr>
              <w:t>"Summarize the most tightly related coverage."</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context</w:t>
            </w:r>
            <w:r>
              <w:rPr>
                <w:rFonts w:ascii="Consolas" w:hAnsi="Consolas"/>
                <w:color w:val="D4D4D4"/>
                <w:sz w:val="19"/>
              </w:rPr>
              <w:t>(narrowed.</w:t>
            </w:r>
            <w:r>
              <w:rPr>
                <w:rFonts w:ascii="Consolas" w:hAnsi="Consolas"/>
                <w:color w:val="DCDCAA"/>
                <w:sz w:val="19"/>
              </w:rPr>
              <w:t>toContext</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build</w:t>
            </w:r>
            <w:r>
              <w:rPr>
                <w:rFonts w:ascii="Consolas" w:hAnsi="Consolas"/>
                <w:color w:val="D4D4D4"/>
                <w:sz w:val="19"/>
              </w:rPr>
              <w:t>());</w:t>
            </w:r>
          </w:p>
        </w:tc>
      </w:tr>
    </w:tbl>
    <w:p>
      <w:pPr>
        <w:spacing w:before="80"/>
        <w:jc w:val="center"/>
      </w:pPr>
      <w:r>
        <w:rPr>
          <w:i/>
          <w:color w:val="555555"/>
          <w:sz w:val="19"/>
        </w:rPr>
        <w:t>Example 26. Narrowing a subgraph query result by querying it again — composability, not a special case.</w:t>
      </w:r>
    </w:p>
    <w:p>
      <w:pPr>
        <w:pStyle w:val="Heading2"/>
      </w:pPr>
      <w:r>
        <w:t>5.5 Codegen Guidance — Annotations for LLM &amp; Codegen Behavior</w:t>
      </w:r>
    </w:p>
    <w:p>
      <w:pPr>
        <w:spacing w:after="160"/>
      </w:pPr>
      <w:r>
        <w:rPr>
          <w:b w:val="0"/>
          <w:i w:val="0"/>
        </w:rPr>
        <w:t>The other hat of the two-hat annotation system introduced in §5.1: where Vector Core's annotations control what gets embedded and how visible it is to search, these control how an LLM or coding agent is allowed to read, generate, or modify code — a hard pass/fail oracle where one is practical, a natural-language hint where it isn't.</w:t>
      </w:r>
    </w:p>
    <w:tbl>
      <w:tblPr>
        <w:tblW w:type="auto" w:w="0"/>
        <w:jc w:val="center"/>
        <w:tblLayout w:type="fixed"/>
        <w:tblLook w:firstColumn="1" w:firstRow="1" w:lastColumn="0" w:lastRow="0" w:noHBand="0" w:noVBand="1" w:val="04A0"/>
      </w:tblPr>
      <w:tblGrid>
        <w:gridCol w:w="3120"/>
        <w:gridCol w:w="3120"/>
        <w:gridCol w:w="3120"/>
      </w:tblGrid>
      <w:tr>
        <w:tc>
          <w:tcPr>
            <w:tcW w:type="dxa" w:w="3456"/>
            <w:shd w:val="clear" w:color="auto" w:fill="2E5C8A"/>
            <w:tcMar>
              <w:top w:w="80" w:type="dxa"/>
              <w:left w:w="80" w:type="dxa"/>
              <w:bottom w:w="80" w:type="dxa"/>
              <w:right w:w="80" w:type="dxa"/>
            </w:tcMar>
          </w:tcPr>
          <w:p>
            <w:r/>
            <w:r>
              <w:rPr>
                <w:b/>
                <w:color w:val="FFFFFF"/>
                <w:sz w:val="20"/>
              </w:rPr>
              <w:t>Annotation</w:t>
            </w:r>
          </w:p>
        </w:tc>
        <w:tc>
          <w:tcPr>
            <w:tcW w:type="dxa" w:w="2016"/>
            <w:shd w:val="clear" w:color="auto" w:fill="2E5C8A"/>
            <w:tcMar>
              <w:top w:w="80" w:type="dxa"/>
              <w:left w:w="80" w:type="dxa"/>
              <w:bottom w:w="80" w:type="dxa"/>
              <w:right w:w="80" w:type="dxa"/>
            </w:tcMar>
          </w:tcPr>
          <w:p>
            <w:r/>
            <w:r>
              <w:rPr>
                <w:b/>
                <w:color w:val="FFFFFF"/>
                <w:sz w:val="20"/>
              </w:rPr>
              <w:t>Target</w:t>
            </w:r>
          </w:p>
        </w:tc>
        <w:tc>
          <w:tcPr>
            <w:tcW w:type="dxa" w:w="4752"/>
            <w:shd w:val="clear" w:color="auto" w:fill="2E5C8A"/>
            <w:tcMar>
              <w:top w:w="80" w:type="dxa"/>
              <w:left w:w="80" w:type="dxa"/>
              <w:bottom w:w="80" w:type="dxa"/>
              <w:right w:w="80" w:type="dxa"/>
            </w:tcMar>
          </w:tcPr>
          <w:p>
            <w:r/>
            <w:r>
              <w:rPr>
                <w:b/>
                <w:color w:val="FFFFFF"/>
                <w:sz w:val="20"/>
              </w:rPr>
              <w:t>Purpose</w:t>
            </w:r>
          </w:p>
        </w:tc>
      </w:tr>
      <w:tr>
        <w:tc>
          <w:tcPr>
            <w:tcW w:type="dxa" w:w="3456"/>
            <w:tcMar>
              <w:top w:w="80" w:type="dxa"/>
              <w:left w:w="80" w:type="dxa"/>
              <w:bottom w:w="80" w:type="dxa"/>
              <w:right w:w="80" w:type="dxa"/>
            </w:tcMar>
          </w:tcPr>
          <w:p>
            <w:r>
              <w:rPr>
                <w:sz w:val="19"/>
              </w:rPr>
              <w:t>@Requires / @Ensures / @Invariant</w:t>
            </w:r>
          </w:p>
        </w:tc>
        <w:tc>
          <w:tcPr>
            <w:tcW w:type="dxa" w:w="2016"/>
            <w:tcMar>
              <w:top w:w="80" w:type="dxa"/>
              <w:left w:w="80" w:type="dxa"/>
              <w:bottom w:w="80" w:type="dxa"/>
              <w:right w:w="80" w:type="dxa"/>
            </w:tcMar>
          </w:tcPr>
          <w:p>
            <w:r>
              <w:rPr>
                <w:sz w:val="19"/>
              </w:rPr>
              <w:t>method / class</w:t>
            </w:r>
          </w:p>
        </w:tc>
        <w:tc>
          <w:tcPr>
            <w:tcW w:type="dxa" w:w="4752"/>
            <w:tcMar>
              <w:top w:w="80" w:type="dxa"/>
              <w:left w:w="80" w:type="dxa"/>
              <w:bottom w:w="80" w:type="dxa"/>
              <w:right w:w="80" w:type="dxa"/>
            </w:tcMar>
          </w:tcPr>
          <w:p>
            <w:r>
              <w:rPr>
                <w:sz w:val="19"/>
              </w:rPr>
              <w:t>Compiler-checked contracts — a hard pass/fail oracle for agent-written code</w:t>
            </w:r>
          </w:p>
        </w:tc>
      </w:tr>
      <w:tr>
        <w:tc>
          <w:tcPr>
            <w:tcW w:type="dxa" w:w="3456"/>
            <w:tcMar>
              <w:top w:w="80" w:type="dxa"/>
              <w:left w:w="80" w:type="dxa"/>
              <w:bottom w:w="80" w:type="dxa"/>
              <w:right w:w="80" w:type="dxa"/>
            </w:tcMar>
          </w:tcPr>
          <w:p>
            <w:r>
              <w:rPr>
                <w:sz w:val="19"/>
              </w:rPr>
              <w:t>@Intent("...")</w:t>
            </w:r>
          </w:p>
        </w:tc>
        <w:tc>
          <w:tcPr>
            <w:tcW w:type="dxa" w:w="2016"/>
            <w:tcMar>
              <w:top w:w="80" w:type="dxa"/>
              <w:left w:w="80" w:type="dxa"/>
              <w:bottom w:w="80" w:type="dxa"/>
              <w:right w:w="80" w:type="dxa"/>
            </w:tcMar>
          </w:tcPr>
          <w:p>
            <w:r>
              <w:rPr>
                <w:sz w:val="19"/>
              </w:rPr>
              <w:t>method / class</w:t>
            </w:r>
          </w:p>
        </w:tc>
        <w:tc>
          <w:tcPr>
            <w:tcW w:type="dxa" w:w="4752"/>
            <w:tcMar>
              <w:top w:w="80" w:type="dxa"/>
              <w:left w:w="80" w:type="dxa"/>
              <w:bottom w:w="80" w:type="dxa"/>
              <w:right w:w="80" w:type="dxa"/>
            </w:tcMar>
          </w:tcPr>
          <w:p>
            <w:r>
              <w:rPr>
                <w:sz w:val="19"/>
              </w:rPr>
              <w:t>Natural-language statement of purpose, loosely checkable by an LLM oracle where hard contracts aren't practical</w:t>
            </w:r>
          </w:p>
        </w:tc>
      </w:tr>
      <w:tr>
        <w:tc>
          <w:tcPr>
            <w:tcW w:type="dxa" w:w="3456"/>
            <w:tcMar>
              <w:top w:w="80" w:type="dxa"/>
              <w:left w:w="80" w:type="dxa"/>
              <w:bottom w:w="80" w:type="dxa"/>
              <w:right w:w="80" w:type="dxa"/>
            </w:tcMar>
          </w:tcPr>
          <w:p>
            <w:r>
              <w:rPr>
                <w:sz w:val="19"/>
              </w:rPr>
              <w:t>@AgentWritable / @Frozen / @HumanOnly</w:t>
            </w:r>
          </w:p>
        </w:tc>
        <w:tc>
          <w:tcPr>
            <w:tcW w:type="dxa" w:w="2016"/>
            <w:tcMar>
              <w:top w:w="80" w:type="dxa"/>
              <w:left w:w="80" w:type="dxa"/>
              <w:bottom w:w="80" w:type="dxa"/>
              <w:right w:w="80" w:type="dxa"/>
            </w:tcMar>
          </w:tcPr>
          <w:p>
            <w:r>
              <w:rPr>
                <w:sz w:val="19"/>
              </w:rPr>
              <w:t>class / method / field</w:t>
            </w:r>
          </w:p>
        </w:tc>
        <w:tc>
          <w:tcPr>
            <w:tcW w:type="dxa" w:w="4752"/>
            <w:tcMar>
              <w:top w:w="80" w:type="dxa"/>
              <w:left w:w="80" w:type="dxa"/>
              <w:bottom w:w="80" w:type="dxa"/>
              <w:right w:w="80" w:type="dxa"/>
            </w:tcMar>
          </w:tcPr>
          <w:p>
            <w:r>
              <w:rPr>
                <w:sz w:val="19"/>
              </w:rPr>
              <w:t>Edit-scope permission for autonomous agents, independent of runtime visibility</w:t>
            </w:r>
          </w:p>
        </w:tc>
      </w:tr>
      <w:tr>
        <w:tc>
          <w:tcPr>
            <w:tcW w:type="dxa" w:w="3456"/>
            <w:tcMar>
              <w:top w:w="80" w:type="dxa"/>
              <w:left w:w="80" w:type="dxa"/>
              <w:bottom w:w="80" w:type="dxa"/>
              <w:right w:w="80" w:type="dxa"/>
            </w:tcMar>
          </w:tcPr>
          <w:p>
            <w:r>
              <w:rPr>
                <w:sz w:val="19"/>
              </w:rPr>
              <w:t>@Nondeterministic / @Costly</w:t>
            </w:r>
          </w:p>
        </w:tc>
        <w:tc>
          <w:tcPr>
            <w:tcW w:type="dxa" w:w="2016"/>
            <w:tcMar>
              <w:top w:w="80" w:type="dxa"/>
              <w:left w:w="80" w:type="dxa"/>
              <w:bottom w:w="80" w:type="dxa"/>
              <w:right w:w="80" w:type="dxa"/>
            </w:tcMar>
          </w:tcPr>
          <w:p>
            <w:r>
              <w:rPr>
                <w:sz w:val="19"/>
              </w:rPr>
              <w:t>method</w:t>
            </w:r>
          </w:p>
        </w:tc>
        <w:tc>
          <w:tcPr>
            <w:tcW w:type="dxa" w:w="4752"/>
            <w:tcMar>
              <w:top w:w="80" w:type="dxa"/>
              <w:left w:w="80" w:type="dxa"/>
              <w:bottom w:w="80" w:type="dxa"/>
              <w:right w:w="80" w:type="dxa"/>
            </w:tcMar>
          </w:tcPr>
          <w:p>
            <w:r>
              <w:rPr>
                <w:sz w:val="19"/>
              </w:rPr>
              <w:t>Effect tags for model/embedding calls, forcing explicit retry/fallback handling</w:t>
            </w:r>
          </w:p>
        </w:tc>
      </w:tr>
      <w:tr>
        <w:tc>
          <w:tcPr>
            <w:tcW w:type="dxa" w:w="3456"/>
            <w:tcMar>
              <w:top w:w="80" w:type="dxa"/>
              <w:left w:w="80" w:type="dxa"/>
              <w:bottom w:w="80" w:type="dxa"/>
              <w:right w:w="80" w:type="dxa"/>
            </w:tcMar>
          </w:tcPr>
          <w:p>
            <w:r>
              <w:rPr>
                <w:sz w:val="19"/>
              </w:rPr>
              <w:t>@Provenance</w:t>
            </w:r>
          </w:p>
        </w:tc>
        <w:tc>
          <w:tcPr>
            <w:tcW w:type="dxa" w:w="2016"/>
            <w:tcMar>
              <w:top w:w="80" w:type="dxa"/>
              <w:left w:w="80" w:type="dxa"/>
              <w:bottom w:w="80" w:type="dxa"/>
              <w:right w:w="80" w:type="dxa"/>
            </w:tcMar>
          </w:tcPr>
          <w:p>
            <w:r>
              <w:rPr>
                <w:sz w:val="19"/>
              </w:rPr>
              <w:t>compiler-applied</w:t>
            </w:r>
          </w:p>
        </w:tc>
        <w:tc>
          <w:tcPr>
            <w:tcW w:type="dxa" w:w="4752"/>
            <w:tcMar>
              <w:top w:w="80" w:type="dxa"/>
              <w:left w:w="80" w:type="dxa"/>
              <w:bottom w:w="80" w:type="dxa"/>
              <w:right w:w="80" w:type="dxa"/>
            </w:tcMar>
          </w:tcPr>
          <w:p>
            <w:r>
              <w:rPr>
                <w:sz w:val="19"/>
              </w:rPr>
              <w:t>Records generating model + timestamp on agent-written code</w:t>
            </w:r>
          </w:p>
        </w:tc>
      </w:tr>
    </w:tbl>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C586C0"/>
                <w:sz w:val="19"/>
              </w:rPr>
              <w:t>@JavAIVectorizable</w:t>
            </w:r>
          </w:p>
          <w:p>
            <w:pPr>
              <w:spacing w:before="0" w:after="0" w:line="240" w:lineRule="auto"/>
            </w:pPr>
            <w:r>
              <w:rPr>
                <w:rFonts w:ascii="Consolas" w:hAnsi="Consolas"/>
                <w:color w:val="C586C0"/>
                <w:sz w:val="19"/>
              </w:rPr>
              <w:t>@JavAIGraphNode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 xml:space="preserve"> {</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@Vectorize</w:t>
            </w:r>
            <w:r>
              <w:rPr>
                <w:rFonts w:ascii="Consolas" w:hAnsi="Consolas"/>
                <w:color w:val="D4D4D4"/>
                <w:sz w:val="19"/>
              </w:rPr>
              <w:t xml:space="preserve"> </w:t>
            </w:r>
            <w:r>
              <w:rPr>
                <w:rFonts w:ascii="Consolas" w:hAnsi="Consolas"/>
                <w:color w:val="C586C0"/>
                <w:sz w:val="19"/>
              </w:rPr>
              <w:t>@SearchVisibility</w:t>
            </w:r>
            <w:r>
              <w:rPr>
                <w:rFonts w:ascii="Consolas" w:hAnsi="Consolas"/>
                <w:color w:val="D4D4D4"/>
                <w:sz w:val="19"/>
              </w:rPr>
              <w:t>(</w:t>
            </w:r>
            <w:r>
              <w:rPr>
                <w:rFonts w:ascii="Consolas" w:hAnsi="Consolas"/>
                <w:color w:val="4EC9C0"/>
                <w:sz w:val="19"/>
              </w:rPr>
              <w:t>PUBLIC</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title;</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@VectorizeIgnore</w:t>
            </w:r>
          </w:p>
          <w:p>
            <w:pPr>
              <w:spacing w:before="0" w:after="0" w:line="240" w:lineRule="auto"/>
            </w:pP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UUID</w:t>
            </w:r>
            <w:r>
              <w:rPr>
                <w:rFonts w:ascii="Consolas" w:hAnsi="Consolas"/>
                <w:color w:val="D4D4D4"/>
                <w:sz w:val="19"/>
              </w:rPr>
              <w:t xml:space="preserve"> internalId;              </w:t>
            </w:r>
            <w:r>
              <w:rPr>
                <w:rFonts w:ascii="Consolas" w:hAnsi="Consolas"/>
                <w:i/>
                <w:color w:val="6A9955"/>
                <w:sz w:val="19"/>
              </w:rPr>
              <w:t>// excluded from the embedding entirely</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@Requires</w:t>
            </w:r>
            <w:r>
              <w:rPr>
                <w:rFonts w:ascii="Consolas" w:hAnsi="Consolas"/>
                <w:color w:val="D4D4D4"/>
                <w:sz w:val="19"/>
              </w:rPr>
              <w:t>(</w:t>
            </w:r>
            <w:r>
              <w:rPr>
                <w:rFonts w:ascii="Consolas" w:hAnsi="Consolas"/>
                <w:color w:val="CE9178"/>
                <w:sz w:val="19"/>
              </w:rPr>
              <w:t>"title != null &amp;&amp; !title.isBlank()"</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C586C0"/>
                <w:sz w:val="19"/>
              </w:rPr>
              <w:t>@Ensures</w:t>
            </w:r>
            <w:r>
              <w:rPr>
                <w:rFonts w:ascii="Consolas" w:hAnsi="Consolas"/>
                <w:color w:val="D4D4D4"/>
                <w:sz w:val="19"/>
              </w:rPr>
              <w:t>(</w:t>
            </w:r>
            <w:r>
              <w:rPr>
                <w:rFonts w:ascii="Consolas" w:hAnsi="Consolas"/>
                <w:color w:val="CE9178"/>
                <w:sz w:val="19"/>
              </w:rPr>
              <w:t>"result.vector() != null"</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C586C0"/>
                <w:sz w:val="19"/>
              </w:rPr>
              <w:t>@Intent</w:t>
            </w:r>
            <w:r>
              <w:rPr>
                <w:rFonts w:ascii="Consolas" w:hAnsi="Consolas"/>
                <w:color w:val="D4D4D4"/>
                <w:sz w:val="19"/>
              </w:rPr>
              <w:t>(</w:t>
            </w:r>
            <w:r>
              <w:rPr>
                <w:rFonts w:ascii="Consolas" w:hAnsi="Consolas"/>
                <w:color w:val="CE9178"/>
                <w:sz w:val="19"/>
              </w:rPr>
              <w:t>"Normalizes whitespace before an article is (re)vectorized"</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C586C0"/>
                <w:sz w:val="19"/>
              </w:rPr>
              <w:t>@AgentWritable</w:t>
            </w:r>
          </w:p>
          <w:p>
            <w:pPr>
              <w:spacing w:before="0" w:after="0" w:line="240" w:lineRule="auto"/>
            </w:pP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 xml:space="preserve"> </w:t>
            </w:r>
            <w:r>
              <w:rPr>
                <w:rFonts w:ascii="Consolas" w:hAnsi="Consolas"/>
                <w:color w:val="DCDCAA"/>
                <w:sz w:val="19"/>
              </w:rPr>
              <w:t>normalize</w:t>
            </w:r>
            <w:r>
              <w:rPr>
                <w:rFonts w:ascii="Consolas" w:hAnsi="Consolas"/>
                <w:color w:val="D4D4D4"/>
                <w:sz w:val="19"/>
              </w:rPr>
              <w:t xml:space="preserve">() { /* ... */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 }</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@Frozen</w:t>
            </w:r>
          </w:p>
          <w:p>
            <w:pPr>
              <w:spacing w:before="0" w:after="0" w:line="240" w:lineRule="auto"/>
            </w:pPr>
            <w:r>
              <w:rPr>
                <w:rFonts w:ascii="Consolas" w:hAnsi="Consolas"/>
                <w:color w:val="D4D4D4"/>
                <w:sz w:val="19"/>
              </w:rPr>
              <w:t xml:space="preserve">    </w:t>
            </w:r>
            <w:r>
              <w:rPr>
                <w:rFonts w:ascii="Consolas" w:hAnsi="Consolas"/>
                <w:color w:val="C586C0"/>
                <w:sz w:val="19"/>
              </w:rPr>
              <w:t>@Nondeterministic</w:t>
            </w:r>
            <w:r>
              <w:rPr>
                <w:rFonts w:ascii="Consolas" w:hAnsi="Consolas"/>
                <w:color w:val="D4D4D4"/>
                <w:sz w:val="19"/>
              </w:rPr>
              <w:t xml:space="preserve"> </w:t>
            </w:r>
            <w:r>
              <w:rPr>
                <w:rFonts w:ascii="Consolas" w:hAnsi="Consolas"/>
                <w:color w:val="C586C0"/>
                <w:sz w:val="19"/>
              </w:rPr>
              <w:t>@Costly</w:t>
            </w:r>
          </w:p>
          <w:p>
            <w:pPr>
              <w:spacing w:before="0" w:after="0" w:line="240" w:lineRule="auto"/>
            </w:pP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 xml:space="preserve"> </w:t>
            </w:r>
            <w:r>
              <w:rPr>
                <w:rFonts w:ascii="Consolas" w:hAnsi="Consolas"/>
                <w:color w:val="DCDCAA"/>
                <w:sz w:val="19"/>
              </w:rPr>
              <w:t>regenerateEmbedding</w:t>
            </w:r>
            <w:r>
              <w:rPr>
                <w:rFonts w:ascii="Consolas" w:hAnsi="Consolas"/>
                <w:color w:val="D4D4D4"/>
                <w:sz w:val="19"/>
              </w:rPr>
              <w:t>(</w:t>
            </w:r>
            <w:r>
              <w:rPr>
                <w:rFonts w:ascii="Consolas" w:hAnsi="Consolas"/>
                <w:color w:val="C586C0"/>
                <w:sz w:val="19"/>
              </w:rPr>
              <w:t>@EmbeddingModel</w:t>
            </w:r>
            <w:r>
              <w:rPr>
                <w:rFonts w:ascii="Consolas" w:hAnsi="Consolas"/>
                <w:color w:val="D4D4D4"/>
                <w:sz w:val="19"/>
              </w:rPr>
              <w:t>(</w:t>
            </w:r>
            <w:r>
              <w:rPr>
                <w:rFonts w:ascii="Consolas" w:hAnsi="Consolas"/>
                <w:color w:val="CE9178"/>
                <w:sz w:val="19"/>
              </w:rPr>
              <w:t>"e5-large-v3"</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model) {</w:t>
            </w:r>
          </w:p>
          <w:p>
            <w:pPr>
              <w:spacing w:before="0" w:after="0" w:line="240" w:lineRule="auto"/>
            </w:pPr>
            <w:r>
              <w:rPr>
                <w:rFonts w:ascii="Consolas" w:hAnsi="Consolas"/>
                <w:color w:val="D4D4D4"/>
                <w:sz w:val="19"/>
              </w:rPr>
              <w:t xml:space="preserve">        /* ... */</w:t>
            </w:r>
          </w:p>
          <w:p>
            <w:pPr>
              <w:spacing w:before="0" w:after="0" w:line="240" w:lineRule="auto"/>
            </w:pP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CDCAA"/>
                <w:sz w:val="19"/>
              </w:rPr>
              <w:t>vector</w:t>
            </w:r>
            <w:r>
              <w:rPr>
                <w:rFonts w:ascii="Consolas" w:hAnsi="Consolas"/>
                <w:color w:val="D4D4D4"/>
                <w:sz w:val="19"/>
              </w:rPr>
              <w:t>();</w:t>
            </w:r>
          </w:p>
          <w:p>
            <w:pPr>
              <w:spacing w:before="0" w:after="0" w:line="240" w:lineRule="auto"/>
            </w:pPr>
            <w:r>
              <w:rPr>
                <w:rFonts w:ascii="Consolas" w:hAnsi="Consolas"/>
                <w:color w:val="D4D4D4"/>
                <w:sz w:val="19"/>
              </w:rPr>
              <w:t xml:space="preserve">    }</w:t>
            </w:r>
          </w:p>
          <w:p>
            <w:pPr>
              <w:spacing w:before="0" w:after="0" w:line="240" w:lineRule="auto"/>
            </w:pPr>
            <w:r>
              <w:rPr>
                <w:rFonts w:ascii="Consolas" w:hAnsi="Consolas"/>
                <w:color w:val="D4D4D4"/>
                <w:sz w:val="19"/>
              </w:rPr>
              <w:t>}</w:t>
            </w:r>
          </w:p>
        </w:tc>
      </w:tr>
    </w:tbl>
    <w:p>
      <w:pPr>
        <w:spacing w:before="80"/>
        <w:jc w:val="center"/>
      </w:pPr>
      <w:r>
        <w:rPr>
          <w:i/>
          <w:color w:val="555555"/>
          <w:sz w:val="19"/>
        </w:rPr>
        <w:t>Example 4. Vector Core's annotations (§5.1) and Codegen Guidance's annotations (§5.5) on one class — one metadata system, two hats.</w:t>
      </w:r>
    </w:p>
    <w:p>
      <w:pPr>
        <w:pStyle w:val="Heading2"/>
      </w:pPr>
      <w:r>
        <w:t>5.6 Acceleration Substrate — JVM, Compiler &amp; Dispatch Internals</w:t>
      </w:r>
    </w:p>
    <w:p>
      <w:pPr>
        <w:spacing w:after="160"/>
      </w:pPr>
      <w:r>
        <w:rPr>
          <w:b w:val="0"/>
          <w:i w:val="0"/>
        </w:rPr>
        <w:t>Everything below the line an application programmer is expected to think about: the mechanism that makes the other five areas real, without being part of their public surface. Nothing here changes the behavior visible in §5.1–§5.5 — it only changes how fast or how it's delivered (§3, §9).</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2E5C8A"/>
            <w:tcMar>
              <w:top w:w="80" w:type="dxa"/>
              <w:left w:w="80" w:type="dxa"/>
              <w:bottom w:w="80" w:type="dxa"/>
              <w:right w:w="80" w:type="dxa"/>
            </w:tcMar>
          </w:tcPr>
          <w:p>
            <w:r/>
            <w:r>
              <w:rPr>
                <w:b/>
                <w:color w:val="FFFFFF"/>
                <w:sz w:val="20"/>
              </w:rPr>
              <w:t>Tool / Mechanism</w:t>
            </w:r>
          </w:p>
        </w:tc>
        <w:tc>
          <w:tcPr>
            <w:tcW w:type="dxa" w:w="2736"/>
            <w:shd w:val="clear" w:color="auto" w:fill="2E5C8A"/>
            <w:tcMar>
              <w:top w:w="80" w:type="dxa"/>
              <w:left w:w="80" w:type="dxa"/>
              <w:bottom w:w="80" w:type="dxa"/>
              <w:right w:w="80" w:type="dxa"/>
            </w:tcMar>
          </w:tcPr>
          <w:p>
            <w:r/>
            <w:r>
              <w:rPr>
                <w:b/>
                <w:color w:val="FFFFFF"/>
                <w:sz w:val="20"/>
              </w:rPr>
              <w:t>Kind</w:t>
            </w:r>
          </w:p>
        </w:tc>
        <w:tc>
          <w:tcPr>
            <w:tcW w:type="dxa" w:w="4464"/>
            <w:shd w:val="clear" w:color="auto" w:fill="2E5C8A"/>
            <w:tcMar>
              <w:top w:w="80" w:type="dxa"/>
              <w:left w:w="80" w:type="dxa"/>
              <w:bottom w:w="80" w:type="dxa"/>
              <w:right w:w="80" w:type="dxa"/>
            </w:tcMar>
          </w:tcPr>
          <w:p>
            <w:r/>
            <w:r>
              <w:rPr>
                <w:b/>
                <w:color w:val="FFFFFF"/>
                <w:sz w:val="20"/>
              </w:rPr>
              <w:t>Role</w:t>
            </w:r>
          </w:p>
        </w:tc>
      </w:tr>
      <w:tr>
        <w:tc>
          <w:tcPr>
            <w:tcW w:type="dxa" w:w="3168"/>
            <w:tcMar>
              <w:top w:w="80" w:type="dxa"/>
              <w:left w:w="80" w:type="dxa"/>
              <w:bottom w:w="80" w:type="dxa"/>
              <w:right w:w="80" w:type="dxa"/>
            </w:tcMar>
          </w:tcPr>
          <w:p>
            <w:r>
              <w:rPr>
                <w:sz w:val="19"/>
              </w:rPr>
              <w:t>javaic</w:t>
            </w:r>
          </w:p>
        </w:tc>
        <w:tc>
          <w:tcPr>
            <w:tcW w:type="dxa" w:w="2736"/>
            <w:tcMar>
              <w:top w:w="80" w:type="dxa"/>
              <w:left w:w="80" w:type="dxa"/>
              <w:bottom w:w="80" w:type="dxa"/>
              <w:right w:w="80" w:type="dxa"/>
            </w:tcMar>
          </w:tcPr>
          <w:p>
            <w:r>
              <w:rPr>
                <w:sz w:val="19"/>
              </w:rPr>
              <w:t>Compiler driver / javac plugin</w:t>
            </w:r>
          </w:p>
        </w:tc>
        <w:tc>
          <w:tcPr>
            <w:tcW w:type="dxa" w:w="4464"/>
            <w:tcMar>
              <w:top w:w="80" w:type="dxa"/>
              <w:left w:w="80" w:type="dxa"/>
              <w:bottom w:w="80" w:type="dxa"/>
              <w:right w:w="80" w:type="dxa"/>
            </w:tcMar>
          </w:tcPr>
          <w:p>
            <w:r>
              <w:rPr>
                <w:sz w:val="19"/>
              </w:rPr>
              <w:t>Front end: strict Java-superset parser + JavAI codegen (§4.1)</w:t>
            </w:r>
          </w:p>
        </w:tc>
      </w:tr>
      <w:tr>
        <w:tc>
          <w:tcPr>
            <w:tcW w:type="dxa" w:w="3168"/>
            <w:tcMar>
              <w:top w:w="80" w:type="dxa"/>
              <w:left w:w="80" w:type="dxa"/>
              <w:bottom w:w="80" w:type="dxa"/>
              <w:right w:w="80" w:type="dxa"/>
            </w:tcMar>
          </w:tcPr>
          <w:p>
            <w:r>
              <w:rPr>
                <w:sz w:val="19"/>
              </w:rPr>
              <w:t>javai-enhance</w:t>
            </w:r>
          </w:p>
        </w:tc>
        <w:tc>
          <w:tcPr>
            <w:tcW w:type="dxa" w:w="2736"/>
            <w:tcMar>
              <w:top w:w="80" w:type="dxa"/>
              <w:left w:w="80" w:type="dxa"/>
              <w:bottom w:w="80" w:type="dxa"/>
              <w:right w:w="80" w:type="dxa"/>
            </w:tcMar>
          </w:tcPr>
          <w:p>
            <w:r>
              <w:rPr>
                <w:sz w:val="19"/>
              </w:rPr>
              <w:t>Build plugin (Maven/Gradle)</w:t>
            </w:r>
          </w:p>
        </w:tc>
        <w:tc>
          <w:tcPr>
            <w:tcW w:type="dxa" w:w="4464"/>
            <w:tcMar>
              <w:top w:w="80" w:type="dxa"/>
              <w:left w:w="80" w:type="dxa"/>
              <w:bottom w:w="80" w:type="dxa"/>
              <w:right w:w="80" w:type="dxa"/>
            </w:tcMar>
          </w:tcPr>
          <w:p>
            <w:r>
              <w:rPr>
                <w:sz w:val="19"/>
              </w:rPr>
              <w:t>Build-time bytecode enhancer (ByteBuddy-based) — the Hibernate-enhancement pattern applied to vectorization</w:t>
            </w:r>
          </w:p>
        </w:tc>
      </w:tr>
      <w:tr>
        <w:tc>
          <w:tcPr>
            <w:tcW w:type="dxa" w:w="3168"/>
            <w:tcMar>
              <w:top w:w="80" w:type="dxa"/>
              <w:left w:w="80" w:type="dxa"/>
              <w:bottom w:w="80" w:type="dxa"/>
              <w:right w:w="80" w:type="dxa"/>
            </w:tcMar>
          </w:tcPr>
          <w:p>
            <w:r>
              <w:rPr>
                <w:sz w:val="19"/>
              </w:rPr>
              <w:t>javai (CLI)</w:t>
            </w:r>
          </w:p>
        </w:tc>
        <w:tc>
          <w:tcPr>
            <w:tcW w:type="dxa" w:w="2736"/>
            <w:tcMar>
              <w:top w:w="80" w:type="dxa"/>
              <w:left w:w="80" w:type="dxa"/>
              <w:bottom w:w="80" w:type="dxa"/>
              <w:right w:w="80" w:type="dxa"/>
            </w:tcMar>
          </w:tcPr>
          <w:p>
            <w:r>
              <w:rPr>
                <w:sz w:val="19"/>
              </w:rPr>
              <w:t>Launcher wrapper</w:t>
            </w:r>
          </w:p>
        </w:tc>
        <w:tc>
          <w:tcPr>
            <w:tcW w:type="dxa" w:w="4464"/>
            <w:tcMar>
              <w:top w:w="80" w:type="dxa"/>
              <w:left w:w="80" w:type="dxa"/>
              <w:bottom w:w="80" w:type="dxa"/>
              <w:right w:w="80" w:type="dxa"/>
            </w:tcMar>
          </w:tcPr>
          <w:p>
            <w:r>
              <w:rPr>
                <w:sz w:val="19"/>
              </w:rPr>
              <w:t>Convenience wrapper around java; auto-configures the JavAI runtime jar on the classpath</w:t>
            </w:r>
          </w:p>
        </w:tc>
      </w:tr>
      <w:tr>
        <w:tc>
          <w:tcPr>
            <w:tcW w:type="dxa" w:w="3168"/>
            <w:tcMar>
              <w:top w:w="80" w:type="dxa"/>
              <w:left w:w="80" w:type="dxa"/>
              <w:bottom w:w="80" w:type="dxa"/>
              <w:right w:w="80" w:type="dxa"/>
            </w:tcMar>
          </w:tcPr>
          <w:p>
            <w:r>
              <w:rPr>
                <w:sz w:val="19"/>
              </w:rPr>
              <w:t>IntelliJ / VS Code plugin</w:t>
            </w:r>
          </w:p>
        </w:tc>
        <w:tc>
          <w:tcPr>
            <w:tcW w:type="dxa" w:w="2736"/>
            <w:tcMar>
              <w:top w:w="80" w:type="dxa"/>
              <w:left w:w="80" w:type="dxa"/>
              <w:bottom w:w="80" w:type="dxa"/>
              <w:right w:w="80" w:type="dxa"/>
            </w:tcMar>
          </w:tcPr>
          <w:p>
            <w:r>
              <w:rPr>
                <w:sz w:val="19"/>
              </w:rPr>
              <w:t>IDE tooling</w:t>
            </w:r>
          </w:p>
        </w:tc>
        <w:tc>
          <w:tcPr>
            <w:tcW w:type="dxa" w:w="4464"/>
            <w:tcMar>
              <w:top w:w="80" w:type="dxa"/>
              <w:left w:w="80" w:type="dxa"/>
              <w:bottom w:w="80" w:type="dxa"/>
              <w:right w:w="80" w:type="dxa"/>
            </w:tcMar>
          </w:tcPr>
          <w:p>
            <w:r>
              <w:rPr>
                <w:sz w:val="19"/>
              </w:rPr>
              <w:t>Syntax highlighting and inline diagnostics — flagged in §10 as a major, easily underestimated cost</w:t>
            </w:r>
          </w:p>
        </w:tc>
      </w:tr>
      <w:tr>
        <w:tc>
          <w:tcPr>
            <w:tcW w:type="dxa" w:w="3168"/>
            <w:tcMar>
              <w:top w:w="80" w:type="dxa"/>
              <w:left w:w="80" w:type="dxa"/>
              <w:bottom w:w="80" w:type="dxa"/>
              <w:right w:w="80" w:type="dxa"/>
            </w:tcMar>
          </w:tcPr>
          <w:p>
            <w:r>
              <w:rPr>
                <w:sz w:val="19"/>
              </w:rPr>
              <w:t>invokedynamic backend dispatch</w:t>
            </w:r>
          </w:p>
        </w:tc>
        <w:tc>
          <w:tcPr>
            <w:tcW w:type="dxa" w:w="2736"/>
            <w:tcMar>
              <w:top w:w="80" w:type="dxa"/>
              <w:left w:w="80" w:type="dxa"/>
              <w:bottom w:w="80" w:type="dxa"/>
              <w:right w:w="80" w:type="dxa"/>
            </w:tcMar>
          </w:tcPr>
          <w:p>
            <w:r>
              <w:rPr>
                <w:sz w:val="19"/>
              </w:rPr>
              <w:t>Runtime mechanism</w:t>
            </w:r>
          </w:p>
        </w:tc>
        <w:tc>
          <w:tcPr>
            <w:tcW w:type="dxa" w:w="4464"/>
            <w:tcMar>
              <w:top w:w="80" w:type="dxa"/>
              <w:left w:w="80" w:type="dxa"/>
              <w:bottom w:w="80" w:type="dxa"/>
              <w:right w:w="80" w:type="dxa"/>
            </w:tcMar>
          </w:tcPr>
          <w:p>
            <w:r>
              <w:rPr>
                <w:sz w:val="19"/>
              </w:rPr>
              <w:t>Chooses a similarity/embedding backend per call site without new bytecode instructions (§4.2)</w:t>
            </w:r>
          </w:p>
        </w:tc>
      </w:tr>
      <w:tr>
        <w:tc>
          <w:tcPr>
            <w:tcW w:type="dxa" w:w="3168"/>
            <w:tcMar>
              <w:top w:w="80" w:type="dxa"/>
              <w:left w:w="80" w:type="dxa"/>
              <w:bottom w:w="80" w:type="dxa"/>
              <w:right w:w="80" w:type="dxa"/>
            </w:tcMar>
          </w:tcPr>
          <w:p>
            <w:r>
              <w:rPr>
                <w:sz w:val="19"/>
              </w:rPr>
              <w:t>Panama FFI + GPU backend (cuvs-java)</w:t>
            </w:r>
          </w:p>
        </w:tc>
        <w:tc>
          <w:tcPr>
            <w:tcW w:type="dxa" w:w="2736"/>
            <w:tcMar>
              <w:top w:w="80" w:type="dxa"/>
              <w:left w:w="80" w:type="dxa"/>
              <w:bottom w:w="80" w:type="dxa"/>
              <w:right w:w="80" w:type="dxa"/>
            </w:tcMar>
          </w:tcPr>
          <w:p>
            <w:r>
              <w:rPr>
                <w:sz w:val="19"/>
              </w:rPr>
              <w:t>Runtime mechanism</w:t>
            </w:r>
          </w:p>
        </w:tc>
        <w:tc>
          <w:tcPr>
            <w:tcW w:type="dxa" w:w="4464"/>
            <w:tcMar>
              <w:top w:w="80" w:type="dxa"/>
              <w:left w:w="80" w:type="dxa"/>
              <w:bottom w:w="80" w:type="dxa"/>
              <w:right w:w="80" w:type="dxa"/>
            </w:tcMar>
          </w:tcPr>
          <w:p>
            <w:r>
              <w:rPr>
                <w:sz w:val="19"/>
              </w:rPr>
              <w:t>GPU-accelerated similarity search, drop-in behind the same SPI (§4.2, §9.3)</w:t>
            </w:r>
          </w:p>
        </w:tc>
      </w:tr>
      <w:tr>
        <w:tc>
          <w:tcPr>
            <w:tcW w:type="dxa" w:w="3168"/>
            <w:tcMar>
              <w:top w:w="80" w:type="dxa"/>
              <w:left w:w="80" w:type="dxa"/>
              <w:bottom w:w="80" w:type="dxa"/>
              <w:right w:w="80" w:type="dxa"/>
            </w:tcMar>
          </w:tcPr>
          <w:p>
            <w:r>
              <w:rPr>
                <w:sz w:val="19"/>
              </w:rPr>
              <w:t>JavAIVM (optional)</w:t>
            </w:r>
          </w:p>
        </w:tc>
        <w:tc>
          <w:tcPr>
            <w:tcW w:type="dxa" w:w="2736"/>
            <w:tcMar>
              <w:top w:w="80" w:type="dxa"/>
              <w:left w:w="80" w:type="dxa"/>
              <w:bottom w:w="80" w:type="dxa"/>
              <w:right w:w="80" w:type="dxa"/>
            </w:tcMar>
          </w:tcPr>
          <w:p>
            <w:r>
              <w:rPr>
                <w:sz w:val="19"/>
              </w:rPr>
              <w:t>Distribution</w:t>
            </w:r>
          </w:p>
        </w:tc>
        <w:tc>
          <w:tcPr>
            <w:tcW w:type="dxa" w:w="4464"/>
            <w:tcMar>
              <w:top w:w="80" w:type="dxa"/>
              <w:left w:w="80" w:type="dxa"/>
              <w:bottom w:w="80" w:type="dxa"/>
              <w:right w:w="80" w:type="dxa"/>
            </w:tcMar>
          </w:tcPr>
          <w:p>
            <w:r>
              <w:rPr>
                <w:sz w:val="19"/>
              </w:rPr>
              <w:t>GraalVM-based, deeper JIT awareness of vectorization patterns — accelerated path, never required (§3, §9.4)</w:t>
            </w:r>
          </w:p>
        </w:tc>
      </w:tr>
    </w:tbl>
    <w:p>
      <w:pPr>
        <w:spacing w:after="160"/>
      </w:pPr>
      <w:r>
        <w:rPr>
          <w:b w:val="0"/>
          <w:i w:val="0"/>
        </w:rPr>
        <w:t>Recommendation: build javaic directly on javac's own parser and Compiler Tree API via the sanctioned Plugin SPI, following Manifold's proven model, rather than an independent ANTLR grammar. This guarantees byte-for-byte agreement with whatever javac itself accepts, which is what makes the strict-superset claim credible rather than aspirational. Reserve ANTLR, or a hand-written recursive-descent extension, for genuinely new syntax the Plugin SPI can't express — for instance, a literal graph-collection literal syntax — should that prove necessary later.</w:t>
      </w:r>
    </w:p>
    <w:p>
      <w:pPr>
        <w:spacing w:after="160"/>
      </w:pPr>
      <w:r>
        <w:rPr>
          <w:b w:val="0"/>
          <w:i w:val="0"/>
        </w:rPr>
        <w:t>What “below application-programmer concern” means concretely: the developer writes an ordinary setter, never the version that actually ships.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i/>
                <w:color w:val="6A9955"/>
                <w:sz w:val="19"/>
              </w:rPr>
              <w:t>// What the developer writes -- and all they ever see: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CDCAA"/>
                <w:sz w:val="19"/>
              </w:rPr>
              <w:t>setBody</w:t>
            </w:r>
            <w:r>
              <w:rPr>
                <w:rFonts w:ascii="Consolas" w:hAnsi="Consolas"/>
                <w:color w:val="D4D4D4"/>
                <w:sz w:val="19"/>
              </w:rPr>
              <w:t>(</w:t>
            </w:r>
            <w:r>
              <w:rPr>
                <w:rFonts w:ascii="Consolas" w:hAnsi="Consolas"/>
                <w:color w:val="4EC9C0"/>
                <w:sz w:val="19"/>
              </w:rPr>
              <w:t>String</w:t>
            </w:r>
            <w:r>
              <w:rPr>
                <w:rFonts w:ascii="Consolas" w:hAnsi="Consolas"/>
                <w:color w:val="D4D4D4"/>
                <w:sz w:val="19"/>
              </w:rPr>
              <w:t xml:space="preserve"> body) {</w:t>
            </w:r>
          </w:p>
          <w:p>
            <w:pPr>
              <w:spacing w:before="0" w:after="0" w:line="240" w:lineRule="auto"/>
            </w:pP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.body = body;</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What javai-enhance (or javaic, from Phase 1 on) actually weaves in.</w:t>
            </w:r>
          </w:p>
          <w:p>
            <w:pPr>
              <w:spacing w:before="0" w:after="0" w:line="240" w:lineRule="auto"/>
            </w:pPr>
            <w:r>
              <w:rPr>
                <w:rFonts w:ascii="Consolas" w:hAnsi="Consolas"/>
                <w:i/>
                <w:color w:val="6A9955"/>
                <w:sz w:val="19"/>
              </w:rPr>
              <w:t>// Never written, never seen, not part of any area's public surface: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CDCAA"/>
                <w:sz w:val="19"/>
              </w:rPr>
              <w:t>setBody</w:t>
            </w:r>
            <w:r>
              <w:rPr>
                <w:rFonts w:ascii="Consolas" w:hAnsi="Consolas"/>
                <w:color w:val="D4D4D4"/>
                <w:sz w:val="19"/>
              </w:rPr>
              <w:t>(</w:t>
            </w:r>
            <w:r>
              <w:rPr>
                <w:rFonts w:ascii="Consolas" w:hAnsi="Consolas"/>
                <w:color w:val="4EC9C0"/>
                <w:sz w:val="19"/>
              </w:rPr>
              <w:t>String</w:t>
            </w:r>
            <w:r>
              <w:rPr>
                <w:rFonts w:ascii="Consolas" w:hAnsi="Consolas"/>
                <w:color w:val="D4D4D4"/>
                <w:sz w:val="19"/>
              </w:rPr>
              <w:t xml:space="preserve"> body) {</w:t>
            </w:r>
          </w:p>
          <w:p>
            <w:pPr>
              <w:spacing w:before="0" w:after="0" w:line="240" w:lineRule="auto"/>
            </w:pP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.body = body;</w:t>
            </w:r>
          </w:p>
          <w:p>
            <w:pPr>
              <w:spacing w:before="0" w:after="0" w:line="240" w:lineRule="auto"/>
            </w:pP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CDCAA"/>
                <w:sz w:val="19"/>
              </w:rPr>
              <w:t>markDirty</w:t>
            </w:r>
            <w:r>
              <w:rPr>
                <w:rFonts w:ascii="Consolas" w:hAnsi="Consolas"/>
                <w:color w:val="D4D4D4"/>
                <w:sz w:val="19"/>
              </w:rPr>
              <w:t xml:space="preserve">();                       </w:t>
            </w:r>
            <w:r>
              <w:rPr>
                <w:rFonts w:ascii="Consolas" w:hAnsi="Consolas"/>
                <w:i/>
                <w:color w:val="6A9955"/>
                <w:sz w:val="19"/>
              </w:rPr>
              <w:t>// §5.1's internal hook</w:t>
            </w:r>
          </w:p>
          <w:p>
            <w:pPr>
              <w:spacing w:before="0" w:after="0" w:line="240" w:lineRule="auto"/>
            </w:pPr>
            <w:r>
              <w:rPr>
                <w:rFonts w:ascii="Consolas" w:hAnsi="Consolas"/>
                <w:color w:val="D4D4D4"/>
                <w:sz w:val="19"/>
              </w:rPr>
              <w:t xml:space="preserve">    </w:t>
            </w:r>
            <w:r>
              <w:rPr>
                <w:rFonts w:ascii="Consolas" w:hAnsi="Consolas"/>
                <w:color w:val="4EC9C0"/>
                <w:sz w:val="19"/>
              </w:rPr>
              <w:t>JavAIRuntime</w:t>
            </w:r>
            <w:r>
              <w:rPr>
                <w:rFonts w:ascii="Consolas" w:hAnsi="Consolas"/>
                <w:color w:val="D4D4D4"/>
                <w:sz w:val="19"/>
              </w:rPr>
              <w:t>.</w:t>
            </w:r>
            <w:r>
              <w:rPr>
                <w:rFonts w:ascii="Consolas" w:hAnsi="Consolas"/>
                <w:color w:val="DCDCAA"/>
                <w:sz w:val="19"/>
              </w:rPr>
              <w:t>propagateDirty</w:t>
            </w:r>
            <w:r>
              <w:rPr>
                <w:rFonts w:ascii="Consolas" w:hAnsi="Consolas"/>
                <w:color w:val="D4D4D4"/>
                <w:sz w:val="19"/>
              </w:rPr>
              <w:t>(</w:t>
            </w:r>
            <w:r>
              <w:rPr>
                <w:rFonts w:ascii="Consolas" w:hAnsi="Consolas"/>
                <w:color w:val="569CD6"/>
                <w:sz w:val="19"/>
              </w:rPr>
              <w:t>this</w:t>
            </w:r>
            <w:r>
              <w:rPr>
                <w:rFonts w:ascii="Consolas" w:hAnsi="Consolas"/>
                <w:color w:val="D4D4D4"/>
                <w:sz w:val="19"/>
              </w:rPr>
              <w:t xml:space="preserve">);       </w:t>
            </w:r>
            <w:r>
              <w:rPr>
                <w:rFonts w:ascii="Consolas" w:hAnsi="Consolas"/>
                <w:i/>
                <w:color w:val="6A9955"/>
                <w:sz w:val="19"/>
              </w:rPr>
              <w:t>// back-edge walk, §4.3</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Choosing an accelerated backend is a config change, not a code change --</w:t>
            </w:r>
          </w:p>
          <w:p>
            <w:pPr>
              <w:spacing w:before="0" w:after="0" w:line="240" w:lineRule="auto"/>
            </w:pPr>
            <w:r>
              <w:rPr>
                <w:rFonts w:ascii="Consolas" w:hAnsi="Consolas"/>
                <w:i/>
                <w:color w:val="6A9955"/>
                <w:sz w:val="19"/>
              </w:rPr>
              <w:t>// the call site above is untouched whether this resolves to CPU or GPU:</w:t>
            </w:r>
          </w:p>
          <w:p>
            <w:pPr>
              <w:spacing w:before="0" w:after="0" w:line="240" w:lineRule="auto"/>
            </w:pPr>
            <w:r>
              <w:rPr>
                <w:rFonts w:ascii="Consolas" w:hAnsi="Consolas"/>
                <w:i/>
                <w:color w:val="6A9955"/>
                <w:sz w:val="19"/>
              </w:rPr>
              <w:t>//   javai.similarity.backend=cpu     (default, Phase 0)</w:t>
            </w:r>
          </w:p>
          <w:p>
            <w:pPr>
              <w:spacing w:before="0" w:after="0" w:line="240" w:lineRule="auto"/>
            </w:pPr>
            <w:r>
              <w:rPr>
                <w:rFonts w:ascii="Consolas" w:hAnsi="Consolas"/>
                <w:i/>
                <w:color w:val="6A9955"/>
                <w:sz w:val="19"/>
              </w:rPr>
              <w:t>//   javai.similarity.backend=cuda    (Phase 2+, same invokedynamic call site)</w:t>
            </w:r>
          </w:p>
        </w:tc>
      </w:tr>
    </w:tbl>
    <w:p>
      <w:pPr>
        <w:spacing w:before="80"/>
        <w:jc w:val="center"/>
      </w:pPr>
      <w:r>
        <w:rPr>
          <w:i/>
          <w:color w:val="555555"/>
          <w:sz w:val="19"/>
        </w:rPr>
        <w:t>Example 27. The setter a developer writes vs. what the Acceleration Substrate actually ships — the gap this area exists to hide.</w:t>
      </w:r>
    </w:p>
    <w:p>
      <w:pPr>
        <w:pStyle w:val="Heading2"/>
      </w:pPr>
      <w:r>
        <w:t>5.7 Agentic Supervision — AoP Interception with Sync and Async Listeners</w:t>
      </w:r>
    </w:p>
    <w:p>
      <w:pPr>
        <w:spacing w:after="160"/>
      </w:pPr>
      <w:r>
        <w:rPr>
          <w:b w:val="0"/>
          <w:i w:val="0"/>
        </w:rPr>
        <w:t>A classical stack machine is a program, a stack, and a heap the stack points into. Vector Core and Vector Collections (§5.1, §5.4) already turn the heap into a vectorized, queryable object graph; AoP-style interception already means something happens when a stack frame is pushed or popped — a call, a return, a throw. Agentic Supervision wires those two things together at the join point: a method or constructor, once annotated, can be observed and optionally intervened on by a registered listener — including one whose decision is made by an LLM grounded in RAG over the object graph. Nothing about that needs a new kind of primitive; it is a fourth architectural component, alongside program/stack/heap, wired from two things this document already specifies.</w:t>
      </w:r>
    </w:p>
    <w:p>
      <w:pPr>
        <w:spacing w:after="160"/>
      </w:pPr>
      <w:r>
        <w:rPr>
          <w:b w:val="0"/>
          <w:i w:val="0"/>
        </w:rPr>
        <w:t>Prior art: the mechanism is a from-scratch reimplementation, on ByteBuddy, of an ASM-based AoP framework from an earlier project — six pointcuts (CONSTRUCTOR_PRE/POST/EXCEPTION, METHOD_PRE/POST/EXCEPTION), a pub/sub Advisor/PointcutEventHandler model, class-level opt-in with a per-method opt-out. This area keeps the pub/sub model and real read-write access at each join point, but collapses six pointcuts to three — a constructor is just another java.lang.reflect.Executable, which one fired is already recoverable from the event itself — and adds an axis the original never had: every pointcut can be woven for synchronous delivery (blocking, read-write) or asynchronous delivery (fire-and-forget, observation-only), independently, on the same method.</w:t>
      </w:r>
    </w:p>
    <w:tbl>
      <w:tblPr>
        <w:tblW w:type="auto" w:w="0"/>
        <w:jc w:val="center"/>
        <w:tblLayout w:type="fixed"/>
        <w:tblLook w:firstColumn="1" w:firstRow="1" w:lastColumn="0" w:lastRow="0" w:noHBand="0" w:noVBand="1" w:val="04A0"/>
      </w:tblPr>
      <w:tblGrid>
        <w:gridCol w:w="2800"/>
        <w:gridCol w:w="2200"/>
        <w:gridCol w:w="4360"/>
      </w:tblGrid>
      <w:tr>
        <w:tc>
          <w:tcPr>
            <w:tcW w:type="dxa" w:w="2800"/>
            <w:shd w:val="clear" w:color="auto" w:fill="2E5C8A"/>
            <w:tcMar>
              <w:top w:w="80" w:type="dxa"/>
              <w:left w:w="80" w:type="dxa"/>
              <w:bottom w:w="80" w:type="dxa"/>
              <w:right w:w="80" w:type="dxa"/>
            </w:tcMar>
          </w:tcPr>
          <w:p>
            <w:r/>
            <w:r>
              <w:rPr>
                <w:b/>
                <w:color w:val="FFFFFF"/>
                <w:sz w:val="20"/>
              </w:rPr>
              <w:t>Element</w:t>
            </w:r>
          </w:p>
        </w:tc>
        <w:tc>
          <w:tcPr>
            <w:tcW w:type="dxa" w:w="2200"/>
            <w:shd w:val="clear" w:color="auto" w:fill="2E5C8A"/>
            <w:tcMar>
              <w:top w:w="80" w:type="dxa"/>
              <w:left w:w="80" w:type="dxa"/>
              <w:bottom w:w="80" w:type="dxa"/>
              <w:right w:w="80" w:type="dxa"/>
            </w:tcMar>
          </w:tcPr>
          <w:p>
            <w:r/>
            <w:r>
              <w:rPr>
                <w:b/>
                <w:color w:val="FFFFFF"/>
                <w:sz w:val="20"/>
              </w:rPr>
              <w:t>Kind</w:t>
            </w:r>
          </w:p>
        </w:tc>
        <w:tc>
          <w:tcPr>
            <w:tcW w:type="dxa" w:w="4360"/>
            <w:shd w:val="clear" w:color="auto" w:fill="2E5C8A"/>
            <w:tcMar>
              <w:top w:w="80" w:type="dxa"/>
              <w:left w:w="80" w:type="dxa"/>
              <w:bottom w:w="80" w:type="dxa"/>
              <w:right w:w="80" w:type="dxa"/>
            </w:tcMar>
          </w:tcPr>
          <w:p>
            <w:r/>
            <w:r>
              <w:rPr>
                <w:b/>
                <w:color w:val="FFFFFF"/>
                <w:sz w:val="20"/>
              </w:rPr>
              <w:t>Purpose</w:t>
            </w:r>
          </w:p>
        </w:tc>
      </w:tr>
      <w:tr>
        <w:tc>
          <w:tcPr>
            <w:tcW w:type="dxa" w:w="2800"/>
            <w:tcMar>
              <w:top w:w="80" w:type="dxa"/>
              <w:left w:w="80" w:type="dxa"/>
              <w:bottom w:w="80" w:type="dxa"/>
              <w:right w:w="80" w:type="dxa"/>
            </w:tcMar>
          </w:tcPr>
          <w:p>
            <w:r>
              <w:rPr>
                <w:sz w:val="19"/>
              </w:rPr>
              <w:t>SupervisionPointcut</w:t>
            </w:r>
          </w:p>
        </w:tc>
        <w:tc>
          <w:tcPr>
            <w:tcW w:type="dxa" w:w="2200"/>
            <w:tcMar>
              <w:top w:w="80" w:type="dxa"/>
              <w:left w:w="80" w:type="dxa"/>
              <w:bottom w:w="80" w:type="dxa"/>
              <w:right w:w="80" w:type="dxa"/>
            </w:tcMar>
          </w:tcPr>
          <w:p>
            <w:r>
              <w:rPr>
                <w:sz w:val="19"/>
              </w:rPr>
              <w:t>Enum</w:t>
            </w:r>
          </w:p>
        </w:tc>
        <w:tc>
          <w:tcPr>
            <w:tcW w:type="dxa" w:w="4360"/>
            <w:tcMar>
              <w:top w:w="80" w:type="dxa"/>
              <w:left w:w="80" w:type="dxa"/>
              <w:bottom w:w="80" w:type="dxa"/>
              <w:right w:w="80" w:type="dxa"/>
            </w:tcMar>
          </w:tcPr>
          <w:p>
            <w:r>
              <w:rPr>
                <w:sz w:val="19"/>
              </w:rPr>
              <w:t>PRE / POST / EXCEPTION</w:t>
            </w:r>
          </w:p>
        </w:tc>
      </w:tr>
      <w:tr>
        <w:tc>
          <w:tcPr>
            <w:tcW w:type="dxa" w:w="2800"/>
            <w:tcMar>
              <w:top w:w="80" w:type="dxa"/>
              <w:left w:w="80" w:type="dxa"/>
              <w:bottom w:w="80" w:type="dxa"/>
              <w:right w:w="80" w:type="dxa"/>
            </w:tcMar>
          </w:tcPr>
          <w:p>
            <w:r>
              <w:rPr>
                <w:sz w:val="19"/>
              </w:rPr>
              <w:t>@SyncSupervision(...)</w:t>
            </w:r>
          </w:p>
        </w:tc>
        <w:tc>
          <w:tcPr>
            <w:tcW w:type="dxa" w:w="2200"/>
            <w:tcMar>
              <w:top w:w="80" w:type="dxa"/>
              <w:left w:w="80" w:type="dxa"/>
              <w:bottom w:w="80" w:type="dxa"/>
              <w:right w:w="80" w:type="dxa"/>
            </w:tcMar>
          </w:tcPr>
          <w:p>
            <w:r>
              <w:rPr>
                <w:sz w:val="19"/>
              </w:rPr>
              <w:t>Annotation, method/constructor</w:t>
            </w:r>
          </w:p>
        </w:tc>
        <w:tc>
          <w:tcPr>
            <w:tcW w:type="dxa" w:w="4360"/>
            <w:tcMar>
              <w:top w:w="80" w:type="dxa"/>
              <w:left w:w="80" w:type="dxa"/>
              <w:bottom w:w="80" w:type="dxa"/>
              <w:right w:w="80" w:type="dxa"/>
            </w:tcMar>
          </w:tcPr>
          <w:p>
            <w:r>
              <w:rPr>
                <w:sz w:val="19"/>
              </w:rPr>
              <w:t>Weaves blocking, read-write dispatch at the given pointcuts</w:t>
            </w:r>
          </w:p>
        </w:tc>
      </w:tr>
      <w:tr>
        <w:tc>
          <w:tcPr>
            <w:tcW w:type="dxa" w:w="2800"/>
            <w:tcMar>
              <w:top w:w="80" w:type="dxa"/>
              <w:left w:w="80" w:type="dxa"/>
              <w:bottom w:w="80" w:type="dxa"/>
              <w:right w:w="80" w:type="dxa"/>
            </w:tcMar>
          </w:tcPr>
          <w:p>
            <w:r>
              <w:rPr>
                <w:sz w:val="19"/>
              </w:rPr>
              <w:t>@AsyncSupervision(...)</w:t>
            </w:r>
          </w:p>
        </w:tc>
        <w:tc>
          <w:tcPr>
            <w:tcW w:type="dxa" w:w="2200"/>
            <w:tcMar>
              <w:top w:w="80" w:type="dxa"/>
              <w:left w:w="80" w:type="dxa"/>
              <w:bottom w:w="80" w:type="dxa"/>
              <w:right w:w="80" w:type="dxa"/>
            </w:tcMar>
          </w:tcPr>
          <w:p>
            <w:r>
              <w:rPr>
                <w:sz w:val="19"/>
              </w:rPr>
              <w:t>Annotation, method/constructor</w:t>
            </w:r>
          </w:p>
        </w:tc>
        <w:tc>
          <w:tcPr>
            <w:tcW w:type="dxa" w:w="4360"/>
            <w:tcMar>
              <w:top w:w="80" w:type="dxa"/>
              <w:left w:w="80" w:type="dxa"/>
              <w:bottom w:w="80" w:type="dxa"/>
              <w:right w:w="80" w:type="dxa"/>
            </w:tcMar>
          </w:tcPr>
          <w:p>
            <w:r>
              <w:rPr>
                <w:sz w:val="19"/>
              </w:rPr>
              <w:t>Weaves fire-and-forget, observation-only dispatch</w:t>
            </w:r>
          </w:p>
        </w:tc>
      </w:tr>
      <w:tr>
        <w:tc>
          <w:tcPr>
            <w:tcW w:type="dxa" w:w="2800"/>
            <w:tcMar>
              <w:top w:w="80" w:type="dxa"/>
              <w:left w:w="80" w:type="dxa"/>
              <w:bottom w:w="80" w:type="dxa"/>
              <w:right w:w="80" w:type="dxa"/>
            </w:tcMar>
          </w:tcPr>
          <w:p>
            <w:r>
              <w:rPr>
                <w:sz w:val="19"/>
              </w:rPr>
              <w:t>SupervisionEvent</w:t>
            </w:r>
          </w:p>
        </w:tc>
        <w:tc>
          <w:tcPr>
            <w:tcW w:type="dxa" w:w="2200"/>
            <w:tcMar>
              <w:top w:w="80" w:type="dxa"/>
              <w:left w:w="80" w:type="dxa"/>
              <w:bottom w:w="80" w:type="dxa"/>
              <w:right w:w="80" w:type="dxa"/>
            </w:tcMar>
          </w:tcPr>
          <w:p>
            <w:r>
              <w:rPr>
                <w:sz w:val="19"/>
              </w:rPr>
              <w:t>Value type</w:t>
            </w:r>
          </w:p>
        </w:tc>
        <w:tc>
          <w:tcPr>
            <w:tcW w:type="dxa" w:w="4360"/>
            <w:tcMar>
              <w:top w:w="80" w:type="dxa"/>
              <w:left w:w="80" w:type="dxa"/>
              <w:bottom w:w="80" w:type="dxa"/>
              <w:right w:w="80" w:type="dxa"/>
            </w:tcMar>
          </w:tcPr>
          <w:p>
            <w:r>
              <w:rPr>
                <w:sz w:val="19"/>
              </w:rPr>
              <w:t>Pointcut, instance, Executable, mutable arguments/returnValue/thrown</w:t>
            </w:r>
          </w:p>
        </w:tc>
      </w:tr>
      <w:tr>
        <w:tc>
          <w:tcPr>
            <w:tcW w:type="dxa" w:w="2800"/>
            <w:tcMar>
              <w:top w:w="80" w:type="dxa"/>
              <w:left w:w="80" w:type="dxa"/>
              <w:bottom w:w="80" w:type="dxa"/>
              <w:right w:w="80" w:type="dxa"/>
            </w:tcMar>
          </w:tcPr>
          <w:p>
            <w:r>
              <w:rPr>
                <w:sz w:val="19"/>
              </w:rPr>
              <w:t>SyncSupervisionListener</w:t>
            </w:r>
          </w:p>
        </w:tc>
        <w:tc>
          <w:tcPr>
            <w:tcW w:type="dxa" w:w="2200"/>
            <w:tcMar>
              <w:top w:w="80" w:type="dxa"/>
              <w:left w:w="80" w:type="dxa"/>
              <w:bottom w:w="80" w:type="dxa"/>
              <w:right w:w="80" w:type="dxa"/>
            </w:tcMar>
          </w:tcPr>
          <w:p>
            <w:r>
              <w:rPr>
                <w:sz w:val="19"/>
              </w:rPr>
              <w:t>Interface</w:t>
            </w:r>
          </w:p>
        </w:tc>
        <w:tc>
          <w:tcPr>
            <w:tcW w:type="dxa" w:w="4360"/>
            <w:tcMar>
              <w:top w:w="80" w:type="dxa"/>
              <w:left w:w="80" w:type="dxa"/>
              <w:bottom w:w="80" w:type="dxa"/>
              <w:right w:w="80" w:type="dxa"/>
            </w:tcMar>
          </w:tcPr>
          <w:p>
            <w:r>
              <w:rPr>
                <w:sz w:val="19"/>
              </w:rPr>
              <w:t>onPre/onPost/onException, real mutation rights, default no-ops</w:t>
            </w:r>
          </w:p>
        </w:tc>
      </w:tr>
      <w:tr>
        <w:tc>
          <w:tcPr>
            <w:tcW w:type="dxa" w:w="2800"/>
            <w:tcMar>
              <w:top w:w="80" w:type="dxa"/>
              <w:left w:w="80" w:type="dxa"/>
              <w:bottom w:w="80" w:type="dxa"/>
              <w:right w:w="80" w:type="dxa"/>
            </w:tcMar>
          </w:tcPr>
          <w:p>
            <w:r>
              <w:rPr>
                <w:sz w:val="19"/>
              </w:rPr>
              <w:t>AsyncSupervisionListener</w:t>
            </w:r>
          </w:p>
        </w:tc>
        <w:tc>
          <w:tcPr>
            <w:tcW w:type="dxa" w:w="2200"/>
            <w:tcMar>
              <w:top w:w="80" w:type="dxa"/>
              <w:left w:w="80" w:type="dxa"/>
              <w:bottom w:w="80" w:type="dxa"/>
              <w:right w:w="80" w:type="dxa"/>
            </w:tcMar>
          </w:tcPr>
          <w:p>
            <w:r>
              <w:rPr>
                <w:sz w:val="19"/>
              </w:rPr>
              <w:t>Interface</w:t>
            </w:r>
          </w:p>
        </w:tc>
        <w:tc>
          <w:tcPr>
            <w:tcW w:type="dxa" w:w="4360"/>
            <w:tcMar>
              <w:top w:w="80" w:type="dxa"/>
              <w:left w:w="80" w:type="dxa"/>
              <w:bottom w:w="80" w:type="dxa"/>
              <w:right w:w="80" w:type="dxa"/>
            </w:tcMar>
          </w:tcPr>
          <w:p>
            <w:r>
              <w:rPr>
                <w:sz w:val="19"/>
              </w:rPr>
              <w:t>Same three methods, observation-only, mutations discarded</w:t>
            </w:r>
          </w:p>
        </w:tc>
      </w:tr>
      <w:tr>
        <w:tc>
          <w:tcPr>
            <w:tcW w:type="dxa" w:w="2800"/>
            <w:tcMar>
              <w:top w:w="80" w:type="dxa"/>
              <w:left w:w="80" w:type="dxa"/>
              <w:bottom w:w="80" w:type="dxa"/>
              <w:right w:w="80" w:type="dxa"/>
            </w:tcMar>
          </w:tcPr>
          <w:p>
            <w:r>
              <w:rPr>
                <w:sz w:val="19"/>
              </w:rPr>
              <w:t>JavAISupervisionRuntime</w:t>
            </w:r>
          </w:p>
        </w:tc>
        <w:tc>
          <w:tcPr>
            <w:tcW w:type="dxa" w:w="2200"/>
            <w:tcMar>
              <w:top w:w="80" w:type="dxa"/>
              <w:left w:w="80" w:type="dxa"/>
              <w:bottom w:w="80" w:type="dxa"/>
              <w:right w:w="80" w:type="dxa"/>
            </w:tcMar>
          </w:tcPr>
          <w:p>
            <w:r>
              <w:rPr>
                <w:sz w:val="19"/>
              </w:rPr>
              <w:t>Static facade</w:t>
            </w:r>
          </w:p>
        </w:tc>
        <w:tc>
          <w:tcPr>
            <w:tcW w:type="dxa" w:w="4360"/>
            <w:tcMar>
              <w:top w:w="80" w:type="dxa"/>
              <w:left w:w="80" w:type="dxa"/>
              <w:bottom w:w="80" w:type="dxa"/>
              <w:right w:w="80" w:type="dxa"/>
            </w:tcMar>
          </w:tcPr>
          <w:p>
            <w:r>
              <w:rPr>
                <w:sz w:val="19"/>
              </w:rPr>
              <w:t>Listener registration + the dispatch logic Advice calls into</w:t>
            </w:r>
          </w:p>
        </w:tc>
      </w:tr>
    </w:tbl>
    <w:p>
      <w:pPr>
        <w:spacing w:after="160"/>
      </w:pPr>
      <w:r>
        <w:rPr>
          <w:b w:val="0"/>
          <w:i w:val="0"/>
        </w:rPr>
        <w:t>Opt-in and sparse by design, deliberately unlike Vector Core's blanket, class-level weaving: an LLM round trip is, at minimum, on the order of 100ms (§5.3); a method call can happen millions of times a second. Every @SyncSupervision/@AsyncSupervision is a specific annotation on a specific method or constructor, chosen because that particular join point is worth the cost of being observable or interruptible — there is no class-level form, and weaving a call site doesn't guarantee a listener actually responds to it. Weaving and listener registration are independent, the same separation the AoP lineage above already had between a class opting in and an Advisor actually being registered.</w:t>
      </w:r>
    </w:p>
    <w:p>
      <w:pPr>
        <w:spacing w:after="160"/>
      </w:pPr>
      <w:r>
        <w:rPr>
          <w:b w:val="0"/>
          <w:i w:val="0"/>
        </w:rPr>
        <w:t>At a given pointcut on a given call, every registered SyncSupervisionListener scoped to the call runs first, on the calling thread, in registration order, each free to further mutate whatever the previous one left behind. Once that tier resolves, the event — now reflecting whatever it committed to — is handed to every registered AsyncSupervisionListener scoped to the call, dispatched onto a virtual-thread-per-task executor, fire-and-forget; the calling thread never waits on it, no matter how long a listener takes. This directly answers the risk this design surfaces on its own: an AoP join point can trigger arbitrarily long-running work — an LLM agent loop, potentially with its own tool calls, could genuinely take a long time. Blocking unconditionally on that would make the mechanism unusable for anything but the rarest, most deliberate interception point; splitting delivery into a blocking tier with real control and a non-blocking tier with none means a method can demand a synchronous veto or rewrite exactly where that's load-bearing, and fan out slower, more open-ended reactions everywhere else, on the same mechanism. “Trigger other work in response to this call” belongs to the async tier: it can never reach back and change the call that triggered it, but nothing stops it from having arbitrary side effects elsewhere.</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D4D4D4"/>
                <w:sz w:val="19"/>
              </w:rPr>
              <w:t>class Article {</w:t>
            </w:r>
          </w:p>
          <w:p>
            <w:pPr>
              <w:spacing w:before="0" w:after="0" w:line="240" w:lineRule="auto"/>
            </w:pPr>
          </w:p>
          <w:p>
            <w:pPr>
              <w:spacing w:before="0" w:after="0" w:line="240" w:lineRule="auto"/>
            </w:pPr>
            <w:r>
              <w:rPr>
                <w:rFonts w:ascii="Consolas" w:hAnsi="Consolas"/>
                <w:color w:val="D4D4D4"/>
                <w:sz w:val="19"/>
              </w:rPr>
              <w:t xml:space="preserve">    @SyncSupervision(SupervisionPointcut.PRE)</w:t>
            </w:r>
          </w:p>
          <w:p>
            <w:pPr>
              <w:spacing w:before="0" w:after="0" w:line="240" w:lineRule="auto"/>
            </w:pPr>
            <w:r>
              <w:rPr>
                <w:rFonts w:ascii="Consolas" w:hAnsi="Consolas"/>
                <w:color w:val="D4D4D4"/>
                <w:sz w:val="19"/>
              </w:rPr>
              <w:t xml:space="preserve">    @AsyncSupervision(SupervisionPointcut.POST)</w:t>
            </w:r>
          </w:p>
          <w:p>
            <w:pPr>
              <w:spacing w:before="0" w:after="0" w:line="240" w:lineRule="auto"/>
            </w:pPr>
            <w:r>
              <w:rPr>
                <w:rFonts w:ascii="Consolas" w:hAnsi="Consolas"/>
                <w:color w:val="569CD6"/>
                <w:sz w:val="19"/>
              </w:rPr>
              <w:t xml:space="preserve">    public</w:t>
            </w:r>
            <w:r>
              <w:rPr>
                <w:rFonts w:ascii="Consolas" w:hAnsi="Consolas"/>
                <w:color w:val="D4D4D4"/>
                <w:sz w:val="19"/>
              </w:rPr>
              <w:t xml:space="preserve"> void publish() {</w:t>
            </w:r>
          </w:p>
          <w:p>
            <w:pPr>
              <w:spacing w:before="0" w:after="0" w:line="240" w:lineRule="auto"/>
            </w:pPr>
            <w:r>
              <w:rPr>
                <w:rFonts w:ascii="Consolas" w:hAnsi="Consolas"/>
                <w:color w:val="6A9955"/>
                <w:sz w:val="19"/>
              </w:rPr>
              <w:t xml:space="preserve">        // ...</w:t>
            </w:r>
          </w:p>
          <w:p>
            <w:pPr>
              <w:spacing w:before="0" w:after="0" w:line="240" w:lineRule="auto"/>
            </w:pPr>
            <w:r>
              <w:rPr>
                <w:rFonts w:ascii="Consolas" w:hAnsi="Consolas"/>
                <w:color w:val="D4D4D4"/>
                <w:sz w:val="19"/>
              </w:rPr>
              <w:t xml:space="preserve">    }</w:t>
            </w:r>
          </w:p>
          <w:p>
            <w:pPr>
              <w:spacing w:before="0" w:after="0" w:line="240" w:lineRule="auto"/>
            </w:pPr>
            <w:r>
              <w:rPr>
                <w:rFonts w:ascii="Consolas" w:hAnsi="Consolas"/>
                <w:color w:val="D4D4D4"/>
                <w:sz w:val="19"/>
              </w:rPr>
              <w:t>}</w:t>
            </w:r>
          </w:p>
          <w:p>
            <w:pPr>
              <w:spacing w:before="0" w:after="0" w:line="240" w:lineRule="auto"/>
            </w:pPr>
          </w:p>
          <w:p>
            <w:pPr>
              <w:spacing w:before="0" w:after="0" w:line="240" w:lineRule="auto"/>
            </w:pPr>
            <w:r>
              <w:rPr>
                <w:rFonts w:ascii="Consolas" w:hAnsi="Consolas"/>
                <w:color w:val="6A9955"/>
                <w:sz w:val="19"/>
              </w:rPr>
              <w:t>// Blocking veto power, exercised at PRE:</w:t>
            </w:r>
          </w:p>
          <w:p>
            <w:pPr>
              <w:spacing w:before="0" w:after="0" w:line="240" w:lineRule="auto"/>
            </w:pPr>
            <w:r>
              <w:rPr>
                <w:rFonts w:ascii="Consolas" w:hAnsi="Consolas"/>
                <w:color w:val="4EC9C0"/>
                <w:sz w:val="19"/>
              </w:rPr>
              <w:t>JavAISupervisionRuntime</w:t>
            </w:r>
            <w:r>
              <w:rPr>
                <w:rFonts w:ascii="Consolas" w:hAnsi="Consolas"/>
                <w:color w:val="D4D4D4"/>
                <w:sz w:val="19"/>
              </w:rPr>
              <w:t>.registerSyncListener(</w:t>
            </w:r>
            <w:r>
              <w:rPr>
                <w:rFonts w:ascii="Consolas" w:hAnsi="Consolas"/>
                <w:color w:val="569CD6"/>
                <w:sz w:val="19"/>
              </w:rPr>
              <w:t>new</w:t>
            </w:r>
            <w:r>
              <w:rPr>
                <w:rFonts w:ascii="Consolas" w:hAnsi="Consolas"/>
                <w:color w:val="D4D4D4"/>
                <w:sz w:val="19"/>
              </w:rPr>
              <w:t xml:space="preserve"> SyncSupervisionListener() {</w:t>
            </w:r>
          </w:p>
          <w:p>
            <w:pPr>
              <w:spacing w:before="0" w:after="0" w:line="240" w:lineRule="auto"/>
            </w:pPr>
            <w:r>
              <w:rPr>
                <w:rFonts w:ascii="Consolas" w:hAnsi="Consolas"/>
                <w:color w:val="D4D4D4"/>
                <w:sz w:val="19"/>
              </w:rPr>
              <w:t xml:space="preserve">    </w:t>
            </w:r>
            <w:r>
              <w:rPr>
                <w:rFonts w:ascii="Consolas" w:hAnsi="Consolas"/>
                <w:color w:val="4EC9C0"/>
                <w:sz w:val="19"/>
              </w:rPr>
              <w:t>@Override</w:t>
            </w:r>
          </w:p>
          <w:p>
            <w:pPr>
              <w:spacing w:before="0" w:after="0" w:line="240" w:lineRule="auto"/>
            </w:pPr>
            <w:r>
              <w:rPr>
                <w:rFonts w:ascii="Consolas" w:hAnsi="Consolas"/>
                <w:color w:val="569CD6"/>
                <w:sz w:val="19"/>
              </w:rPr>
              <w:t xml:space="preserve">    public</w:t>
            </w:r>
            <w:r>
              <w:rPr>
                <w:rFonts w:ascii="Consolas" w:hAnsi="Consolas"/>
                <w:color w:val="D4D4D4"/>
                <w:sz w:val="19"/>
              </w:rPr>
              <w:t xml:space="preserve"> void onPre(SupervisionEvent event) {</w:t>
            </w:r>
          </w:p>
          <w:p>
            <w:pPr>
              <w:spacing w:before="0" w:after="0" w:line="240" w:lineRule="auto"/>
            </w:pPr>
            <w:r>
              <w:rPr>
                <w:rFonts w:ascii="Consolas" w:hAnsi="Consolas"/>
                <w:color w:val="569CD6"/>
                <w:sz w:val="19"/>
              </w:rPr>
              <w:t xml:space="preserve">        if</w:t>
            </w:r>
            <w:r>
              <w:rPr>
                <w:rFonts w:ascii="Consolas" w:hAnsi="Consolas"/>
                <w:color w:val="D4D4D4"/>
                <w:sz w:val="19"/>
              </w:rPr>
              <w:t xml:space="preserve"> (!moderationPolicy.allows(event.instance())) {</w:t>
            </w:r>
          </w:p>
          <w:p>
            <w:pPr>
              <w:spacing w:before="0" w:after="0" w:line="240" w:lineRule="auto"/>
            </w:pPr>
            <w:r>
              <w:rPr>
                <w:rFonts w:ascii="Consolas" w:hAnsi="Consolas"/>
                <w:color w:val="569CD6"/>
                <w:sz w:val="19"/>
              </w:rPr>
              <w:t xml:space="preserve">            throw new</w:t>
            </w:r>
            <w:r>
              <w:rPr>
                <w:rFonts w:ascii="Consolas" w:hAnsi="Consolas"/>
                <w:color w:val="D4D4D4"/>
                <w:sz w:val="19"/>
              </w:rPr>
              <w:t xml:space="preserve"> IllegalStateException(</w:t>
            </w:r>
            <w:r>
              <w:rPr>
                <w:rFonts w:ascii="Consolas" w:hAnsi="Consolas"/>
                <w:color w:val="CE9178"/>
                <w:sz w:val="19"/>
              </w:rPr>
              <w:t>"blocked by moderation policy"</w:t>
            </w:r>
            <w:r>
              <w:rPr>
                <w:rFonts w:ascii="Consolas" w:hAnsi="Consolas"/>
                <w:color w:val="D4D4D4"/>
                <w:sz w:val="19"/>
              </w:rPr>
              <w:t>);</w:t>
            </w:r>
          </w:p>
          <w:p>
            <w:pPr>
              <w:spacing w:before="0" w:after="0" w:line="240" w:lineRule="auto"/>
            </w:pPr>
            <w:r>
              <w:rPr>
                <w:rFonts w:ascii="Consolas" w:hAnsi="Consolas"/>
                <w:color w:val="D4D4D4"/>
                <w:sz w:val="19"/>
              </w:rPr>
              <w:t xml:space="preserve">        }</w:t>
            </w:r>
          </w:p>
          <w:p>
            <w:pPr>
              <w:spacing w:before="0" w:after="0" w:line="240" w:lineRule="auto"/>
            </w:pPr>
            <w:r>
              <w:rPr>
                <w:rFonts w:ascii="Consolas" w:hAnsi="Consolas"/>
                <w:color w:val="D4D4D4"/>
                <w:sz w:val="19"/>
              </w:rPr>
              <w:t xml:space="preserve">    }</w:t>
            </w:r>
          </w:p>
          <w:p>
            <w:pPr>
              <w:spacing w:before="0" w:after="0" w:line="240" w:lineRule="auto"/>
            </w:pPr>
            <w:r>
              <w:rPr>
                <w:rFonts w:ascii="Consolas" w:hAnsi="Consolas"/>
                <w:color w:val="D4D4D4"/>
                <w:sz w:val="19"/>
              </w:rPr>
              <w:t>});</w:t>
            </w:r>
          </w:p>
          <w:p>
            <w:pPr>
              <w:spacing w:before="0" w:after="0" w:line="240" w:lineRule="auto"/>
            </w:pPr>
          </w:p>
          <w:p>
            <w:pPr>
              <w:spacing w:before="0" w:after="0" w:line="240" w:lineRule="auto"/>
            </w:pPr>
            <w:r>
              <w:rPr>
                <w:rFonts w:ascii="Consolas" w:hAnsi="Consolas"/>
                <w:color w:val="6A9955"/>
                <w:sz w:val="19"/>
              </w:rPr>
              <w:t>// Fire-and-forget reaction, exercised at POST, doesn't hold up publish():</w:t>
            </w:r>
          </w:p>
          <w:p>
            <w:pPr>
              <w:spacing w:before="0" w:after="0" w:line="240" w:lineRule="auto"/>
            </w:pPr>
            <w:r>
              <w:rPr>
                <w:rFonts w:ascii="Consolas" w:hAnsi="Consolas"/>
                <w:color w:val="4EC9C0"/>
                <w:sz w:val="19"/>
              </w:rPr>
              <w:t>JavAISupervisionRuntime</w:t>
            </w:r>
            <w:r>
              <w:rPr>
                <w:rFonts w:ascii="Consolas" w:hAnsi="Consolas"/>
                <w:color w:val="D4D4D4"/>
                <w:sz w:val="19"/>
              </w:rPr>
              <w:t>.registerAsyncListener(</w:t>
            </w:r>
            <w:r>
              <w:rPr>
                <w:rFonts w:ascii="Consolas" w:hAnsi="Consolas"/>
                <w:color w:val="569CD6"/>
                <w:sz w:val="19"/>
              </w:rPr>
              <w:t>new</w:t>
            </w:r>
            <w:r>
              <w:rPr>
                <w:rFonts w:ascii="Consolas" w:hAnsi="Consolas"/>
                <w:color w:val="D4D4D4"/>
                <w:sz w:val="19"/>
              </w:rPr>
              <w:t xml:space="preserve"> AsyncSupervisionListener() {</w:t>
            </w:r>
          </w:p>
          <w:p>
            <w:pPr>
              <w:spacing w:before="0" w:after="0" w:line="240" w:lineRule="auto"/>
            </w:pPr>
            <w:r>
              <w:rPr>
                <w:rFonts w:ascii="Consolas" w:hAnsi="Consolas"/>
                <w:color w:val="D4D4D4"/>
                <w:sz w:val="19"/>
              </w:rPr>
              <w:t xml:space="preserve">    </w:t>
            </w:r>
            <w:r>
              <w:rPr>
                <w:rFonts w:ascii="Consolas" w:hAnsi="Consolas"/>
                <w:color w:val="4EC9C0"/>
                <w:sz w:val="19"/>
              </w:rPr>
              <w:t>@Override</w:t>
            </w:r>
          </w:p>
          <w:p>
            <w:pPr>
              <w:spacing w:before="0" w:after="0" w:line="240" w:lineRule="auto"/>
            </w:pPr>
            <w:r>
              <w:rPr>
                <w:rFonts w:ascii="Consolas" w:hAnsi="Consolas"/>
                <w:color w:val="569CD6"/>
                <w:sz w:val="19"/>
              </w:rPr>
              <w:t xml:space="preserve">    public</w:t>
            </w:r>
            <w:r>
              <w:rPr>
                <w:rFonts w:ascii="Consolas" w:hAnsi="Consolas"/>
                <w:color w:val="D4D4D4"/>
                <w:sz w:val="19"/>
              </w:rPr>
              <w:t xml:space="preserve"> void onPost(SupervisionEvent event) {</w:t>
            </w:r>
          </w:p>
          <w:p>
            <w:pPr>
              <w:spacing w:before="0" w:after="0" w:line="240" w:lineRule="auto"/>
            </w:pPr>
            <w:r>
              <w:rPr>
                <w:rFonts w:ascii="Consolas" w:hAnsi="Consolas"/>
                <w:color w:val="D4D4D4"/>
                <w:sz w:val="19"/>
              </w:rPr>
              <w:t xml:space="preserve">        agenticListener.reviewAndMaybeFlag(event.instance());</w:t>
            </w:r>
          </w:p>
          <w:p>
            <w:pPr>
              <w:spacing w:before="0" w:after="0" w:line="240" w:lineRule="auto"/>
            </w:pPr>
            <w:r>
              <w:rPr>
                <w:rFonts w:ascii="Consolas" w:hAnsi="Consolas"/>
                <w:color w:val="D4D4D4"/>
                <w:sz w:val="19"/>
              </w:rPr>
              <w:t xml:space="preserve">    }</w:t>
            </w:r>
          </w:p>
          <w:p>
            <w:pPr>
              <w:spacing w:before="0" w:after="0" w:line="240" w:lineRule="auto"/>
            </w:pPr>
            <w:r>
              <w:rPr>
                <w:rFonts w:ascii="Consolas" w:hAnsi="Consolas"/>
                <w:color w:val="D4D4D4"/>
                <w:sz w:val="19"/>
              </w:rPr>
              <w:t>});</w:t>
            </w:r>
          </w:p>
        </w:tc>
      </w:tr>
    </w:tbl>
    <w:p>
      <w:pPr>
        <w:spacing w:before="80"/>
        <w:jc w:val="center"/>
      </w:pPr>
      <w:r>
        <w:rPr>
          <w:i/>
          <w:color w:val="555555"/>
          <w:sz w:val="19"/>
        </w:rPr>
        <w:t>Example 31. Sync and async Agentic Supervision on the same method — one blocking with real veto power, one fire-and-forget.</w:t>
      </w:r>
    </w:p>
    <w:p>
      <w:pPr>
        <w:spacing w:after="160"/>
      </w:pPr>
      <w:r>
        <w:rPr>
          <w:b w:val="0"/>
          <w:i w:val="0"/>
        </w:rPr>
        <w:t>Hard rule: this area's own supervision-runtime classes must never carry @SyncSupervision/@AsyncSupervision. Weaving selection is opt-in and method-scoped, so this can only happen if someone explicitly annotates the runtime's own code — the AoP lineage above had to solve the analogous problem with a classloader-level package denylist, because its weaving was blanket rather than opt-in; that denylist has no equivalent here, because opt-in selection means there's nothing to forget to exclude. Advice on advice is an infinite loop, not a subtle bug.</w:t>
      </w:r>
    </w:p>
    <w:p>
      <w:pPr>
        <w:spacing w:after="160"/>
      </w:pPr>
      <w:r>
        <w:rPr>
          <w:b w:val="0"/>
          <w:i w:val="0"/>
        </w:rPr>
        <w:t>Relationship to the rest of this document: Agentic Supervision is not implemented via Acceleration Substrate (§5.6). That module is deliberately the first thing Phase 0 proves, and if this area's weaving lived there instead of in its own component, an Agentic Listener implementation eventually wanting Completion Fabric (to call an LLM) or Vector Collections/Vector Core (to ground its decision) would drag Acceleration Substrate downstream of the entire rest of the reactor. It is instead a second, independent, equally early risk spike — its own weaver, no dependency on Acceleration Substrate and none the other direction either. It is also a different axis from Codegen Guidance (§5.5), despite surface similarity: @AgentWritable/@Frozen/@HumanOnly govern what an agent may edit, at design time; @SyncSupervision/@AsyncSupervision govern what an agent may observe or intervene on, at run time. A supervised method's behavior is not fully determined by its own body — a registered listener can change control flow, arguments, or results — which is precisely what @Nondeterministic and @Costly already exist to flag, so a supervised method should carry those too, as an explicit, visible statement in source rather than something the weaver silently implies.</w:t>
      </w:r>
    </w:p>
    <w:p>
      <w:pPr>
        <w:pStyle w:val="Heading2"/>
      </w:pPr>
      <w:r>
        <w:t>5.8 Existing Projects: Depend On, Don't Fork</w:t>
      </w:r>
    </w:p>
    <w:p>
      <w:pPr>
        <w:spacing w:after="160"/>
      </w:pPr>
      <w:r>
        <w:rPr>
          <w:b w:val="0"/>
          <w:i w:val="0"/>
        </w:rPr>
        <w:t>A posture that cuts across all seven areas above, not one of them individually — Agentic Supervision (§5.7) follows it too, via ByteBuddy as an ordinary library dependency, its own independent installer rather than a fork of anything: consistent with the preference to avoid forking, none of the following are proposed for forking. Each is an ordinary library/build dependency:</w:t>
      </w:r>
    </w:p>
    <w:tbl>
      <w:tblPr>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2E5C8A"/>
            <w:tcMar>
              <w:top w:w="80" w:type="dxa"/>
              <w:left w:w="80" w:type="dxa"/>
              <w:bottom w:w="80" w:type="dxa"/>
              <w:right w:w="80" w:type="dxa"/>
            </w:tcMar>
          </w:tcPr>
          <w:p>
            <w:r/>
            <w:r>
              <w:rPr>
                <w:b/>
                <w:color w:val="FFFFFF"/>
                <w:sz w:val="20"/>
              </w:rPr>
              <w:t>Project</w:t>
            </w:r>
          </w:p>
        </w:tc>
        <w:tc>
          <w:tcPr>
            <w:tcW w:type="dxa" w:w="2304"/>
            <w:shd w:val="clear" w:color="auto" w:fill="2E5C8A"/>
            <w:tcMar>
              <w:top w:w="80" w:type="dxa"/>
              <w:left w:w="80" w:type="dxa"/>
              <w:bottom w:w="80" w:type="dxa"/>
              <w:right w:w="80" w:type="dxa"/>
            </w:tcMar>
          </w:tcPr>
          <w:p>
            <w:r/>
            <w:r>
              <w:rPr>
                <w:b/>
                <w:color w:val="FFFFFF"/>
                <w:sz w:val="20"/>
              </w:rPr>
              <w:t>Relationship</w:t>
            </w:r>
          </w:p>
        </w:tc>
        <w:tc>
          <w:tcPr>
            <w:tcW w:type="dxa" w:w="4176"/>
            <w:shd w:val="clear" w:color="auto" w:fill="2E5C8A"/>
            <w:tcMar>
              <w:top w:w="80" w:type="dxa"/>
              <w:left w:w="80" w:type="dxa"/>
              <w:bottom w:w="80" w:type="dxa"/>
              <w:right w:w="80" w:type="dxa"/>
            </w:tcMar>
          </w:tcPr>
          <w:p>
            <w:r/>
            <w:r>
              <w:rPr>
                <w:b/>
                <w:color w:val="FFFFFF"/>
                <w:sz w:val="20"/>
              </w:rPr>
              <w:t>Role</w:t>
            </w:r>
          </w:p>
        </w:tc>
      </w:tr>
      <w:tr>
        <w:tc>
          <w:tcPr>
            <w:tcW w:type="dxa" w:w="3744"/>
            <w:tcMar>
              <w:top w:w="80" w:type="dxa"/>
              <w:left w:w="80" w:type="dxa"/>
              <w:bottom w:w="80" w:type="dxa"/>
              <w:right w:w="80" w:type="dxa"/>
            </w:tcMar>
          </w:tcPr>
          <w:p>
            <w:r>
              <w:rPr>
                <w:sz w:val="19"/>
              </w:rPr>
              <w:t>Hibernate + ByteBuddy</w:t>
            </w:r>
          </w:p>
        </w:tc>
        <w:tc>
          <w:tcPr>
            <w:tcW w:type="dxa" w:w="2304"/>
            <w:tcMar>
              <w:top w:w="80" w:type="dxa"/>
              <w:left w:w="80" w:type="dxa"/>
              <w:bottom w:w="80" w:type="dxa"/>
              <w:right w:w="80" w:type="dxa"/>
            </w:tcMar>
          </w:tcPr>
          <w:p>
            <w:r>
              <w:rPr>
                <w:sz w:val="19"/>
              </w:rPr>
              <w:t>Library dependency</w:t>
            </w:r>
          </w:p>
        </w:tc>
        <w:tc>
          <w:tcPr>
            <w:tcW w:type="dxa" w:w="4176"/>
            <w:tcMar>
              <w:top w:w="80" w:type="dxa"/>
              <w:left w:w="80" w:type="dxa"/>
              <w:bottom w:w="80" w:type="dxa"/>
              <w:right w:w="80" w:type="dxa"/>
            </w:tcMar>
          </w:tcPr>
          <w:p>
            <w:r>
              <w:rPr>
                <w:sz w:val="19"/>
              </w:rPr>
              <w:t>Bytecode-enhancement mechanism (setter hooks) and the EnhancementContext SPI pattern</w:t>
            </w:r>
          </w:p>
        </w:tc>
      </w:tr>
      <w:tr>
        <w:tc>
          <w:tcPr>
            <w:tcW w:type="dxa" w:w="3744"/>
            <w:tcMar>
              <w:top w:w="80" w:type="dxa"/>
              <w:left w:w="80" w:type="dxa"/>
              <w:bottom w:w="80" w:type="dxa"/>
              <w:right w:w="80" w:type="dxa"/>
            </w:tcMar>
          </w:tcPr>
          <w:p>
            <w:r>
              <w:rPr>
                <w:sz w:val="19"/>
              </w:rPr>
              <w:t>javac Plugin SPI (Manifold's model, possibly Manifold itself)</w:t>
            </w:r>
          </w:p>
        </w:tc>
        <w:tc>
          <w:tcPr>
            <w:tcW w:type="dxa" w:w="2304"/>
            <w:tcMar>
              <w:top w:w="80" w:type="dxa"/>
              <w:left w:w="80" w:type="dxa"/>
              <w:bottom w:w="80" w:type="dxa"/>
              <w:right w:w="80" w:type="dxa"/>
            </w:tcMar>
          </w:tcPr>
          <w:p>
            <w:r>
              <w:rPr>
                <w:sz w:val="19"/>
              </w:rPr>
              <w:t>Library / precedent</w:t>
            </w:r>
          </w:p>
        </w:tc>
        <w:tc>
          <w:tcPr>
            <w:tcW w:type="dxa" w:w="4176"/>
            <w:tcMar>
              <w:top w:w="80" w:type="dxa"/>
              <w:left w:w="80" w:type="dxa"/>
              <w:bottom w:w="80" w:type="dxa"/>
              <w:right w:w="80" w:type="dxa"/>
            </w:tcMar>
          </w:tcPr>
          <w:p>
            <w:r>
              <w:rPr>
                <w:sz w:val="19"/>
              </w:rPr>
              <w:t>Legitimate compiler extension point, avoiding Lombok's fragility</w:t>
            </w:r>
          </w:p>
        </w:tc>
      </w:tr>
      <w:tr>
        <w:tc>
          <w:tcPr>
            <w:tcW w:type="dxa" w:w="3744"/>
            <w:tcMar>
              <w:top w:w="80" w:type="dxa"/>
              <w:left w:w="80" w:type="dxa"/>
              <w:bottom w:w="80" w:type="dxa"/>
              <w:right w:w="80" w:type="dxa"/>
            </w:tcMar>
          </w:tcPr>
          <w:p>
            <w:r>
              <w:rPr>
                <w:sz w:val="19"/>
              </w:rPr>
              <w:t>NVIDIA cuVS / cuvs-java</w:t>
            </w:r>
          </w:p>
        </w:tc>
        <w:tc>
          <w:tcPr>
            <w:tcW w:type="dxa" w:w="2304"/>
            <w:tcMar>
              <w:top w:w="80" w:type="dxa"/>
              <w:left w:w="80" w:type="dxa"/>
              <w:bottom w:w="80" w:type="dxa"/>
              <w:right w:w="80" w:type="dxa"/>
            </w:tcMar>
          </w:tcPr>
          <w:p>
            <w:r>
              <w:rPr>
                <w:sz w:val="19"/>
              </w:rPr>
              <w:t>Library dependency</w:t>
            </w:r>
          </w:p>
        </w:tc>
        <w:tc>
          <w:tcPr>
            <w:tcW w:type="dxa" w:w="4176"/>
            <w:tcMar>
              <w:top w:w="80" w:type="dxa"/>
              <w:left w:w="80" w:type="dxa"/>
              <w:bottom w:w="80" w:type="dxa"/>
              <w:right w:w="80" w:type="dxa"/>
            </w:tcMar>
          </w:tcPr>
          <w:p>
            <w:r>
              <w:rPr>
                <w:sz w:val="19"/>
              </w:rPr>
              <w:t>GPU-accelerated similarity backend — already Panama-FFI-based and production-proven via Elasticsearch</w:t>
            </w:r>
          </w:p>
        </w:tc>
      </w:tr>
      <w:tr>
        <w:tc>
          <w:tcPr>
            <w:tcW w:type="dxa" w:w="3744"/>
            <w:tcMar>
              <w:top w:w="80" w:type="dxa"/>
              <w:left w:w="80" w:type="dxa"/>
              <w:bottom w:w="80" w:type="dxa"/>
              <w:right w:w="80" w:type="dxa"/>
            </w:tcMar>
          </w:tcPr>
          <w:p>
            <w:r>
              <w:rPr>
                <w:sz w:val="19"/>
              </w:rPr>
              <w:t>Hibernate hibernate-vector module</w:t>
            </w:r>
          </w:p>
        </w:tc>
        <w:tc>
          <w:tcPr>
            <w:tcW w:type="dxa" w:w="2304"/>
            <w:tcMar>
              <w:top w:w="80" w:type="dxa"/>
              <w:left w:w="80" w:type="dxa"/>
              <w:bottom w:w="80" w:type="dxa"/>
              <w:right w:w="80" w:type="dxa"/>
            </w:tcMar>
          </w:tcPr>
          <w:p>
            <w:r>
              <w:rPr>
                <w:sz w:val="19"/>
              </w:rPr>
              <w:t>Library dependency</w:t>
            </w:r>
          </w:p>
        </w:tc>
        <w:tc>
          <w:tcPr>
            <w:tcW w:type="dxa" w:w="4176"/>
            <w:tcMar>
              <w:top w:w="80" w:type="dxa"/>
              <w:left w:w="80" w:type="dxa"/>
              <w:bottom w:w="80" w:type="dxa"/>
              <w:right w:w="80" w:type="dxa"/>
            </w:tcMar>
          </w:tcPr>
          <w:p>
            <w:r>
              <w:rPr>
                <w:sz w:val="19"/>
              </w:rPr>
              <w:t>Native pgvector column mapping</w:t>
            </w:r>
          </w:p>
        </w:tc>
      </w:tr>
      <w:tr>
        <w:tc>
          <w:tcPr>
            <w:tcW w:type="dxa" w:w="3744"/>
            <w:tcMar>
              <w:top w:w="80" w:type="dxa"/>
              <w:left w:w="80" w:type="dxa"/>
              <w:bottom w:w="80" w:type="dxa"/>
              <w:right w:w="80" w:type="dxa"/>
            </w:tcMar>
          </w:tcPr>
          <w:p>
            <w:r>
              <w:rPr>
                <w:sz w:val="19"/>
              </w:rPr>
              <w:t>Neo4j (server) + driver</w:t>
            </w:r>
          </w:p>
        </w:tc>
        <w:tc>
          <w:tcPr>
            <w:tcW w:type="dxa" w:w="2304"/>
            <w:tcMar>
              <w:top w:w="80" w:type="dxa"/>
              <w:left w:w="80" w:type="dxa"/>
              <w:bottom w:w="80" w:type="dxa"/>
              <w:right w:w="80" w:type="dxa"/>
            </w:tcMar>
          </w:tcPr>
          <w:p>
            <w:r>
              <w:rPr>
                <w:sz w:val="19"/>
              </w:rPr>
              <w:t>External dependency</w:t>
            </w:r>
          </w:p>
        </w:tc>
        <w:tc>
          <w:tcPr>
            <w:tcW w:type="dxa" w:w="4176"/>
            <w:tcMar>
              <w:top w:w="80" w:type="dxa"/>
              <w:left w:w="80" w:type="dxa"/>
              <w:bottom w:w="80" w:type="dxa"/>
              <w:right w:w="80" w:type="dxa"/>
            </w:tcMar>
          </w:tcPr>
          <w:p>
            <w:r>
              <w:rPr>
                <w:sz w:val="19"/>
              </w:rPr>
              <w:t>Native vector index + Cypher traversal target for KnowledgeGraph persistence</w:t>
            </w:r>
          </w:p>
        </w:tc>
      </w:tr>
    </w:tbl>
    <w:p>
      <w:pPr>
        <w:pStyle w:val="Heading2"/>
      </w:pPr>
      <w:r>
        <w:t>5.9 Cross-Dependencies Between Extension Areas</w:t>
      </w:r>
    </w:p>
    <w:p>
      <w:pPr>
        <w:spacing w:after="160"/>
      </w:pPr>
      <w:r>
        <w:rPr>
          <w:b w:val="0"/>
          <w:i w:val="0"/>
        </w:rPr>
        <w:t>The first six areas above are not six independent bets — most of them only make sense because another area exists underneath them. Acceleration Substrate (§5.6) is the foundation: it's the compiler/weaver that actually implements Vector Core's interface and Vector Collections' graph types, and the mechanism that turns Codegen Guidance's annotations into enforced behavior rather than inert metadata. Vector Core (§5.1) is the next layer up: Vector Collections (§5.4) calls straight into its EmbeddingVector and similarityTo() primitives to implement cosine-distance sorting and graph-node similarity, and Persistence Bridge (§5.2) has nothing to persist without it. Vector Collections, in turn, is what Persistence Bridge actually maps onto a store (a KnowledgeGraph or JavAIList is the thing a repository query returns) and what Completion Fabric (§5.3) consumes directly through toContext() — which is why Completion Fabric depends on Vector Collections one hop before it depends on Vector Core at all. Codegen Guidance (§5.5) is the one area that mostly doesn't feed forward into the others: it's consumed by Acceleration Substrate's compiler/weaver, and — per §5.10 — is the most likely foundation for a future agent-orchestration extension distinct from §5.7 Agentic Supervision (that candidate is about exposing methods AS callable tools; §5.7 is about intercepting calls that already happen) — but nothing in §5.1–§5.4 depends on it.</w:t>
      </w:r>
    </w:p>
    <w:p>
      <w:pPr>
        <w:jc w:val="center"/>
      </w:pPr>
      <w:r>
        <w:drawing>
          <wp:inline xmlns:a="http://schemas.openxmlformats.org/drawingml/2006/main" xmlns:pic="http://schemas.openxmlformats.org/drawingml/2006/picture">
            <wp:extent cx="5760720" cy="3460515"/>
            <wp:docPr id="5" name="Picture 5"/>
            <wp:cNvGraphicFramePr>
              <a:graphicFrameLocks noChangeAspect="1"/>
            </wp:cNvGraphicFramePr>
            <a:graphic>
              <a:graphicData uri="http://schemas.openxmlformats.org/drawingml/2006/picture">
                <pic:pic>
                  <pic:nvPicPr>
                    <pic:cNvPr id="0" name="extension_deps.png"/>
                    <pic:cNvPicPr/>
                  </pic:nvPicPr>
                  <pic:blipFill>
                    <a:blip r:embed="rId14"/>
                    <a:stretch>
                      <a:fillRect/>
                    </a:stretch>
                  </pic:blipFill>
                  <pic:spPr>
                    <a:xfrm>
                      <a:off x="0" y="0"/>
                      <a:ext cx="5760720" cy="3460515"/>
                    </a:xfrm>
                    <a:prstGeom prst="rect"/>
                  </pic:spPr>
                </pic:pic>
              </a:graphicData>
            </a:graphic>
          </wp:inline>
        </w:drawing>
      </w:r>
    </w:p>
    <w:p>
      <w:pPr>
        <w:jc w:val="center"/>
      </w:pPr>
      <w:r>
        <w:rPr>
          <w:i/>
          <w:color w:val="555555"/>
          <w:sz w:val="19"/>
        </w:rPr>
        <w:t>Figure 5. Layered dependency structure across the first six extension areas — arrows read as “required by.” Agentic Supervision (§5.7, added after this figure was drawn) is deliberately not pictured here: it depends only on §5.5's annotation vocabulary via javai-annotations, not on Acceleration Substrate's weaver, and nothing above depends on it. See SPEC.md's text-form dependency diagram for the current, seven-area picture.</w:t>
      </w:r>
    </w:p>
    <w:p>
      <w:pPr>
        <w:spacing w:after="160"/>
      </w:pPr>
      <w:r>
        <w:rPr>
          <w:b w:val="0"/>
          <w:i w:val="0"/>
        </w:rPr>
        <w:t>The practical implication for sequencing: Acceleration Substrate and Vector Core are the areas where a design mistake is most expensive to unwind, since three or four other areas build on them; Persistence Bridge and Completion Fabric are the safest place to experiment, since nothing else in this document depends on their internals.</w:t>
      </w:r>
    </w:p>
    <w:p>
      <w:pPr>
        <w:pStyle w:val="Heading2"/>
      </w:pPr>
      <w:r>
        <w:t>5.10 Additional Possible Future Extension Areas</w:t>
      </w:r>
    </w:p>
    <w:p>
      <w:pPr>
        <w:spacing w:after="160"/>
      </w:pPr>
      <w:r>
        <w:rPr>
          <w:b w:val="0"/>
          <w:i w:val="0"/>
        </w:rPr>
        <w:t>Speculative — not scoped into the Phase 0–3 roadmap in §9, and not costed in the Go/No-Go analysis in §10. Included because each follows naturally from the areas above, and a future pass through this whitepaper may want to promote one to a scoped area of its own — as §5.7 Agentic Supervision itself was, promoted from a one-line pitch in this table to a full area.</w:t>
      </w:r>
    </w:p>
    <w:tbl>
      <w:tblPr>
        <w:tblW w:type="auto" w:w="0"/>
        <w:jc w:val="center"/>
        <w:tblLayout w:type="fixed"/>
        <w:tblLook w:firstColumn="1" w:firstRow="1" w:lastColumn="0" w:lastRow="0" w:noHBand="0" w:noVBand="1" w:val="04A0"/>
      </w:tblPr>
      <w:tblGrid>
        <w:gridCol w:w="3120"/>
        <w:gridCol w:w="3120"/>
        <w:gridCol w:w="3120"/>
      </w:tblGrid>
      <w:tr>
        <w:tc>
          <w:tcPr>
            <w:tcW w:type="dxa" w:w="2736"/>
            <w:shd w:val="clear" w:color="auto" w:fill="2E5C8A"/>
            <w:tcMar>
              <w:top w:w="80" w:type="dxa"/>
              <w:left w:w="80" w:type="dxa"/>
              <w:bottom w:w="80" w:type="dxa"/>
              <w:right w:w="80" w:type="dxa"/>
            </w:tcMar>
          </w:tcPr>
          <w:p>
            <w:r/>
            <w:r>
              <w:rPr>
                <w:b/>
                <w:color w:val="FFFFFF"/>
                <w:sz w:val="20"/>
              </w:rPr>
              <w:t>Candidate Area</w:t>
            </w:r>
          </w:p>
        </w:tc>
        <w:tc>
          <w:tcPr>
            <w:tcW w:type="dxa" w:w="2592"/>
            <w:shd w:val="clear" w:color="auto" w:fill="2E5C8A"/>
            <w:tcMar>
              <w:top w:w="80" w:type="dxa"/>
              <w:left w:w="80" w:type="dxa"/>
              <w:bottom w:w="80" w:type="dxa"/>
              <w:right w:w="80" w:type="dxa"/>
            </w:tcMar>
          </w:tcPr>
          <w:p>
            <w:r/>
            <w:r>
              <w:rPr>
                <w:b/>
                <w:color w:val="FFFFFF"/>
                <w:sz w:val="20"/>
              </w:rPr>
              <w:t>Builds On</w:t>
            </w:r>
          </w:p>
        </w:tc>
        <w:tc>
          <w:tcPr>
            <w:tcW w:type="dxa" w:w="4896"/>
            <w:shd w:val="clear" w:color="auto" w:fill="2E5C8A"/>
            <w:tcMar>
              <w:top w:w="80" w:type="dxa"/>
              <w:left w:w="80" w:type="dxa"/>
              <w:bottom w:w="80" w:type="dxa"/>
              <w:right w:w="80" w:type="dxa"/>
            </w:tcMar>
          </w:tcPr>
          <w:p>
            <w:r/>
            <w:r>
              <w:rPr>
                <w:b/>
                <w:color w:val="FFFFFF"/>
                <w:sz w:val="20"/>
              </w:rPr>
              <w:t>Pitch</w:t>
            </w:r>
          </w:p>
        </w:tc>
      </w:tr>
      <w:tr>
        <w:tc>
          <w:tcPr>
            <w:tcW w:type="dxa" w:w="2736"/>
            <w:tcMar>
              <w:top w:w="80" w:type="dxa"/>
              <w:left w:w="80" w:type="dxa"/>
              <w:bottom w:w="80" w:type="dxa"/>
              <w:right w:w="80" w:type="dxa"/>
            </w:tcMar>
          </w:tcPr>
          <w:p>
            <w:r>
              <w:rPr>
                <w:sz w:val="19"/>
              </w:rPr>
              <w:t>Observability &amp; Provenance Telemetry</w:t>
            </w:r>
          </w:p>
        </w:tc>
        <w:tc>
          <w:tcPr>
            <w:tcW w:type="dxa" w:w="2592"/>
            <w:tcMar>
              <w:top w:w="80" w:type="dxa"/>
              <w:left w:w="80" w:type="dxa"/>
              <w:bottom w:w="80" w:type="dxa"/>
              <w:right w:w="80" w:type="dxa"/>
            </w:tcMar>
          </w:tcPr>
          <w:p>
            <w:r>
              <w:rPr>
                <w:sz w:val="19"/>
              </w:rPr>
              <w:t>§5.5 Codegen Guidance, §5.1 Vector Core</w:t>
            </w:r>
          </w:p>
        </w:tc>
        <w:tc>
          <w:tcPr>
            <w:tcW w:type="dxa" w:w="4896"/>
            <w:tcMar>
              <w:top w:w="80" w:type="dxa"/>
              <w:left w:w="80" w:type="dxa"/>
              <w:bottom w:w="80" w:type="dxa"/>
              <w:right w:w="80" w:type="dxa"/>
            </w:tcMar>
          </w:tcPr>
          <w:p>
            <w:r>
              <w:rPr>
                <w:sz w:val="19"/>
              </w:rPr>
              <w:t>Structured tracing/metrics for every embed() and complete() call — cost, latency, and model-version dashboards, built on the existing @Provenance/@Nondeterministic/@Costly tags rather than a new annotation vocabulary</w:t>
            </w:r>
          </w:p>
        </w:tc>
      </w:tr>
      <w:tr>
        <w:tc>
          <w:tcPr>
            <w:tcW w:type="dxa" w:w="2736"/>
            <w:tcMar>
              <w:top w:w="80" w:type="dxa"/>
              <w:left w:w="80" w:type="dxa"/>
              <w:bottom w:w="80" w:type="dxa"/>
              <w:right w:w="80" w:type="dxa"/>
            </w:tcMar>
          </w:tcPr>
          <w:p>
            <w:r>
              <w:rPr>
                <w:sz w:val="19"/>
              </w:rPr>
              <w:t>Multi-Modal Embedding</w:t>
            </w:r>
          </w:p>
        </w:tc>
        <w:tc>
          <w:tcPr>
            <w:tcW w:type="dxa" w:w="2592"/>
            <w:tcMar>
              <w:top w:w="80" w:type="dxa"/>
              <w:left w:w="80" w:type="dxa"/>
              <w:bottom w:w="80" w:type="dxa"/>
              <w:right w:w="80" w:type="dxa"/>
            </w:tcMar>
          </w:tcPr>
          <w:p>
            <w:r>
              <w:rPr>
                <w:sz w:val="19"/>
              </w:rPr>
              <w:t>§5.1 Vector Core</w:t>
            </w:r>
          </w:p>
        </w:tc>
        <w:tc>
          <w:tcPr>
            <w:tcW w:type="dxa" w:w="4896"/>
            <w:tcMar>
              <w:top w:w="80" w:type="dxa"/>
              <w:left w:w="80" w:type="dxa"/>
              <w:bottom w:w="80" w:type="dxa"/>
              <w:right w:w="80" w:type="dxa"/>
            </w:tcMar>
          </w:tcPr>
          <w:p>
            <w:r>
              <w:rPr>
                <w:sz w:val="19"/>
              </w:rPr>
              <w:t>Extend @Vectorize to image/audio/binary fields, with a per-modality embedding provider, so similarity search spans modalities within one object graph</w:t>
            </w:r>
          </w:p>
        </w:tc>
      </w:tr>
      <w:tr>
        <w:tc>
          <w:tcPr>
            <w:tcW w:type="dxa" w:w="2736"/>
            <w:tcMar>
              <w:top w:w="80" w:type="dxa"/>
              <w:left w:w="80" w:type="dxa"/>
              <w:bottom w:w="80" w:type="dxa"/>
              <w:right w:w="80" w:type="dxa"/>
            </w:tcMar>
          </w:tcPr>
          <w:p>
            <w:r>
              <w:rPr>
                <w:sz w:val="19"/>
              </w:rPr>
              <w:t>Agent Tool-Use / Orchestration</w:t>
            </w:r>
          </w:p>
        </w:tc>
        <w:tc>
          <w:tcPr>
            <w:tcW w:type="dxa" w:w="2592"/>
            <w:tcMar>
              <w:top w:w="80" w:type="dxa"/>
              <w:left w:w="80" w:type="dxa"/>
              <w:bottom w:w="80" w:type="dxa"/>
              <w:right w:w="80" w:type="dxa"/>
            </w:tcMar>
          </w:tcPr>
          <w:p>
            <w:r>
              <w:rPr>
                <w:sz w:val="19"/>
              </w:rPr>
              <w:t>§5.5 Codegen Guidance, §5.3 Completion Fabric</w:t>
            </w:r>
          </w:p>
        </w:tc>
        <w:tc>
          <w:tcPr>
            <w:tcW w:type="dxa" w:w="4896"/>
            <w:tcMar>
              <w:top w:w="80" w:type="dxa"/>
              <w:left w:w="80" w:type="dxa"/>
              <w:bottom w:w="80" w:type="dxa"/>
              <w:right w:w="80" w:type="dxa"/>
            </w:tcMar>
          </w:tcPr>
          <w:p>
            <w:r>
              <w:rPr>
                <w:sz w:val="19"/>
              </w:rPr>
              <w:t>Expose JavAIVectorizable methods and completions as declarative tools an autonomous agent can call, using @Intent/@AgentWritable as the tool manifest and @Requires/@Ensures as an automatic safety gate</w:t>
            </w:r>
          </w:p>
        </w:tc>
      </w:tr>
      <w:tr>
        <w:tc>
          <w:tcPr>
            <w:tcW w:type="dxa" w:w="2736"/>
            <w:tcMar>
              <w:top w:w="80" w:type="dxa"/>
              <w:left w:w="80" w:type="dxa"/>
              <w:bottom w:w="80" w:type="dxa"/>
              <w:right w:w="80" w:type="dxa"/>
            </w:tcMar>
          </w:tcPr>
          <w:p>
            <w:r>
              <w:rPr>
                <w:sz w:val="19"/>
              </w:rPr>
              <w:t>Access-Control / Governance</w:t>
            </w:r>
          </w:p>
        </w:tc>
        <w:tc>
          <w:tcPr>
            <w:tcW w:type="dxa" w:w="2592"/>
            <w:tcMar>
              <w:top w:w="80" w:type="dxa"/>
              <w:left w:w="80" w:type="dxa"/>
              <w:bottom w:w="80" w:type="dxa"/>
              <w:right w:w="80" w:type="dxa"/>
            </w:tcMar>
          </w:tcPr>
          <w:p>
            <w:r>
              <w:rPr>
                <w:sz w:val="19"/>
              </w:rPr>
              <w:t>§5.1 Vector Core</w:t>
            </w:r>
          </w:p>
        </w:tc>
        <w:tc>
          <w:tcPr>
            <w:tcW w:type="dxa" w:w="4896"/>
            <w:tcMar>
              <w:top w:w="80" w:type="dxa"/>
              <w:left w:w="80" w:type="dxa"/>
              <w:bottom w:w="80" w:type="dxa"/>
              <w:right w:w="80" w:type="dxa"/>
            </w:tcMar>
          </w:tcPr>
          <w:p>
            <w:r>
              <w:rPr>
                <w:sz w:val="19"/>
              </w:rPr>
              <w:t>Enforce @SearchVisibility as an actual runtime security boundary (not just semantic scoping), with an audit trail for who retrieved which subgraph</w:t>
            </w:r>
          </w:p>
        </w:tc>
      </w:tr>
      <w:tr>
        <w:tc>
          <w:tcPr>
            <w:tcW w:type="dxa" w:w="2736"/>
            <w:tcMar>
              <w:top w:w="80" w:type="dxa"/>
              <w:left w:w="80" w:type="dxa"/>
              <w:bottom w:w="80" w:type="dxa"/>
              <w:right w:w="80" w:type="dxa"/>
            </w:tcMar>
          </w:tcPr>
          <w:p>
            <w:r>
              <w:rPr>
                <w:sz w:val="19"/>
              </w:rPr>
              <w:t>Testing &amp; Simulation Fixtures</w:t>
            </w:r>
          </w:p>
        </w:tc>
        <w:tc>
          <w:tcPr>
            <w:tcW w:type="dxa" w:w="2592"/>
            <w:tcMar>
              <w:top w:w="80" w:type="dxa"/>
              <w:left w:w="80" w:type="dxa"/>
              <w:bottom w:w="80" w:type="dxa"/>
              <w:right w:w="80" w:type="dxa"/>
            </w:tcMar>
          </w:tcPr>
          <w:p>
            <w:r>
              <w:rPr>
                <w:sz w:val="19"/>
              </w:rPr>
              <w:t>§5.1 Vector Core, §5.3 Completion Fabric</w:t>
            </w:r>
          </w:p>
        </w:tc>
        <w:tc>
          <w:tcPr>
            <w:tcW w:type="dxa" w:w="4896"/>
            <w:tcMar>
              <w:top w:w="80" w:type="dxa"/>
              <w:left w:w="80" w:type="dxa"/>
              <w:bottom w:w="80" w:type="dxa"/>
              <w:right w:w="80" w:type="dxa"/>
            </w:tcMar>
          </w:tcPr>
          <w:p>
            <w:r>
              <w:rPr>
                <w:sz w:val="19"/>
              </w:rPr>
              <w:t>Deterministic test doubles for JavAIEmbeddingProvider/JavAICompletionProvider — golden-vector fixtures and recorded completions, so unit tests don't require live model calls</w:t>
            </w:r>
          </w:p>
        </w:tc>
      </w:tr>
      <w:tr>
        <w:tc>
          <w:tcPr>
            <w:tcW w:type="dxa" w:w="2736"/>
            <w:tcMar>
              <w:top w:w="80" w:type="dxa"/>
              <w:left w:w="80" w:type="dxa"/>
              <w:bottom w:w="80" w:type="dxa"/>
              <w:right w:w="80" w:type="dxa"/>
            </w:tcMar>
          </w:tcPr>
          <w:p>
            <w:r>
              <w:rPr>
                <w:sz w:val="19"/>
              </w:rPr>
              <w:t>Automated Migration Tooling</w:t>
            </w:r>
          </w:p>
        </w:tc>
        <w:tc>
          <w:tcPr>
            <w:tcW w:type="dxa" w:w="2592"/>
            <w:tcMar>
              <w:top w:w="80" w:type="dxa"/>
              <w:left w:w="80" w:type="dxa"/>
              <w:bottom w:w="80" w:type="dxa"/>
              <w:right w:w="80" w:type="dxa"/>
            </w:tcMar>
          </w:tcPr>
          <w:p>
            <w:r>
              <w:rPr>
                <w:sz w:val="19"/>
              </w:rPr>
              <w:t>§5.2 Persistence Bridge</w:t>
            </w:r>
          </w:p>
        </w:tc>
        <w:tc>
          <w:tcPr>
            <w:tcW w:type="dxa" w:w="4896"/>
            <w:tcMar>
              <w:top w:w="80" w:type="dxa"/>
              <w:left w:w="80" w:type="dxa"/>
              <w:bottom w:w="80" w:type="dxa"/>
              <w:right w:w="80" w:type="dxa"/>
            </w:tcMar>
          </w:tcPr>
          <w:p>
            <w:r>
              <w:rPr>
                <w:sz w:val="19"/>
              </w:rPr>
              <w:t>CLI/build-plugin automation for the expand-contract embedding migration pattern in §4.5.4, rather than leaving it a manual DBA task</w:t>
            </w:r>
          </w:p>
        </w:tc>
      </w:tr>
    </w:tbl>
    <w:p>
      <w:r>
        <w:br w:type="page"/>
      </w:r>
    </w:p>
    <w:p>
      <w:pPr>
        <w:pStyle w:val="Heading1"/>
      </w:pPr>
      <w:r>
        <w:t>6. Object Graph Querying API</w:t>
      </w:r>
    </w:p>
    <w:p>
      <w:pPr>
        <w:spacing w:after="160"/>
      </w:pPr>
      <w:r>
        <w:rPr>
          <w:b w:val="0"/>
          <w:i/>
          <w:color w:val="555555"/>
          <w:sz w:val="19"/>
        </w:rPr>
        <w:t>The worked-example deep dive for Vector Core and Vector Collections (§5.1, §5.4) — this section shows those primitives in use rather than cataloging them again.</w:t>
      </w:r>
    </w:p>
    <w:p>
      <w:pPr>
        <w:spacing w:after="160"/>
      </w:pPr>
      <w:r>
        <w:rPr>
          <w:b w:val="0"/>
          <w:i w:val="0"/>
        </w:rPr>
        <w:t>Everything in this section runs through one running example: a security-research blog. An Article titled “Zero-day disclosed in widely used TLS library” is followed two days later by a second Article, “Vendor patch released within 48 hours,” which cites the first. Readers leave Comments on both. The two classes: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C586C0"/>
                <w:sz w:val="19"/>
              </w:rPr>
              <w:t>@JavAIVectorizable</w:t>
            </w:r>
          </w:p>
          <w:p>
            <w:pPr>
              <w:spacing w:before="0" w:after="0" w:line="240" w:lineRule="auto"/>
            </w:pPr>
            <w:r>
              <w:rPr>
                <w:rFonts w:ascii="Consolas" w:hAnsi="Consolas"/>
                <w:color w:val="C586C0"/>
                <w:sz w:val="19"/>
              </w:rPr>
              <w:t>@JavAIGraphNode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@Vectorize</w:t>
            </w:r>
            <w:r>
              <w:rPr>
                <w:rFonts w:ascii="Consolas" w:hAnsi="Consolas"/>
                <w:color w:val="D4D4D4"/>
                <w:sz w:val="19"/>
              </w:rPr>
              <w:t xml:space="preserve"> </w:t>
            </w:r>
            <w:r>
              <w:rPr>
                <w:rFonts w:ascii="Consolas" w:hAnsi="Consolas"/>
                <w:color w:val="C586C0"/>
                <w:sz w:val="19"/>
              </w:rPr>
              <w:t>@SearchVisibility</w:t>
            </w:r>
            <w:r>
              <w:rPr>
                <w:rFonts w:ascii="Consolas" w:hAnsi="Consolas"/>
                <w:color w:val="D4D4D4"/>
                <w:sz w:val="19"/>
              </w:rPr>
              <w:t>(</w:t>
            </w:r>
            <w:r>
              <w:rPr>
                <w:rFonts w:ascii="Consolas" w:hAnsi="Consolas"/>
                <w:color w:val="4EC9C0"/>
                <w:sz w:val="19"/>
              </w:rPr>
              <w:t>PUBLIC</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title;</w:t>
            </w:r>
          </w:p>
          <w:p>
            <w:pPr>
              <w:spacing w:before="0" w:after="0" w:line="240" w:lineRule="auto"/>
            </w:pPr>
            <w:r>
              <w:rPr>
                <w:rFonts w:ascii="Consolas" w:hAnsi="Consolas"/>
                <w:color w:val="D4D4D4"/>
                <w:sz w:val="19"/>
              </w:rPr>
              <w:t xml:space="preserve">    </w:t>
            </w:r>
            <w:r>
              <w:rPr>
                <w:rFonts w:ascii="Consolas" w:hAnsi="Consolas"/>
                <w:color w:val="C586C0"/>
                <w:sz w:val="19"/>
              </w:rPr>
              <w:t>@Vectorize</w:t>
            </w:r>
            <w:r>
              <w:rPr>
                <w:rFonts w:ascii="Consolas" w:hAnsi="Consolas"/>
                <w:color w:val="D4D4D4"/>
                <w:sz w:val="19"/>
              </w:rPr>
              <w:t xml:space="preserve"> </w:t>
            </w:r>
            <w:r>
              <w:rPr>
                <w:rFonts w:ascii="Consolas" w:hAnsi="Consolas"/>
                <w:color w:val="C586C0"/>
                <w:sz w:val="19"/>
              </w:rPr>
              <w:t>@SearchVisibility</w:t>
            </w:r>
            <w:r>
              <w:rPr>
                <w:rFonts w:ascii="Consolas" w:hAnsi="Consolas"/>
                <w:color w:val="D4D4D4"/>
                <w:sz w:val="19"/>
              </w:rPr>
              <w:t>(</w:t>
            </w:r>
            <w:r>
              <w:rPr>
                <w:rFonts w:ascii="Consolas" w:hAnsi="Consolas"/>
                <w:color w:val="4EC9C0"/>
                <w:sz w:val="19"/>
              </w:rPr>
              <w:t>PROTECTED</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body;</w:t>
            </w:r>
          </w:p>
          <w:p>
            <w:pPr>
              <w:spacing w:before="0" w:after="0" w:line="240" w:lineRule="auto"/>
            </w:pP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List</w:t>
            </w:r>
            <w:r>
              <w:rPr>
                <w:rFonts w:ascii="Consolas" w:hAnsi="Consolas"/>
                <w:color w:val="D4D4D4"/>
                <w:sz w:val="19"/>
              </w:rPr>
              <w:t>&lt;</w:t>
            </w:r>
            <w:r>
              <w:rPr>
                <w:rFonts w:ascii="Consolas" w:hAnsi="Consolas"/>
                <w:color w:val="4EC9C0"/>
                <w:sz w:val="19"/>
              </w:rPr>
              <w:t>Comment</w:t>
            </w:r>
            <w:r>
              <w:rPr>
                <w:rFonts w:ascii="Consolas" w:hAnsi="Consolas"/>
                <w:color w:val="D4D4D4"/>
                <w:sz w:val="19"/>
              </w:rPr>
              <w:t>&gt; comments;</w:t>
            </w:r>
          </w:p>
          <w:p>
            <w:pPr>
              <w:spacing w:before="0" w:after="0" w:line="240" w:lineRule="auto"/>
            </w:pPr>
            <w:r>
              <w:rPr>
                <w:rFonts w:ascii="Consolas" w:hAnsi="Consolas"/>
                <w:color w:val="D4D4D4"/>
                <w:sz w:val="19"/>
              </w:rPr>
              <w:t xml:space="preserve">    </w:t>
            </w:r>
            <w:r>
              <w:rPr>
                <w:rFonts w:ascii="Consolas" w:hAnsi="Consolas"/>
                <w:i/>
                <w:color w:val="6A9955"/>
                <w:sz w:val="19"/>
              </w:rPr>
              <w:t>// constructor, getters omitted</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C586C0"/>
                <w:sz w:val="19"/>
              </w:rPr>
              <w:t>@JavAIVectorizable</w:t>
            </w:r>
          </w:p>
          <w:p>
            <w:pPr>
              <w:spacing w:before="0" w:after="0" w:line="240" w:lineRule="auto"/>
            </w:pPr>
            <w:r>
              <w:rPr>
                <w:rFonts w:ascii="Consolas" w:hAnsi="Consolas"/>
                <w:color w:val="C586C0"/>
                <w:sz w:val="19"/>
              </w:rPr>
              <w:t>@JavAIGraphNode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C0"/>
                <w:sz w:val="19"/>
              </w:rPr>
              <w:t>Comment</w:t>
            </w:r>
            <w:r>
              <w:rPr>
                <w:rFonts w:ascii="Consolas" w:hAnsi="Consolas"/>
                <w:color w:val="D4D4D4"/>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@Vectorize</w:t>
            </w:r>
            <w:r>
              <w:rPr>
                <w:rFonts w:ascii="Consolas" w:hAnsi="Consolas"/>
                <w:color w:val="D4D4D4"/>
                <w:sz w:val="19"/>
              </w:rPr>
              <w:t xml:space="preserve"> </w:t>
            </w:r>
            <w:r>
              <w:rPr>
                <w:rFonts w:ascii="Consolas" w:hAnsi="Consolas"/>
                <w:color w:val="C586C0"/>
                <w:sz w:val="19"/>
              </w:rPr>
              <w:t>@SearchVisibility</w:t>
            </w:r>
            <w:r>
              <w:rPr>
                <w:rFonts w:ascii="Consolas" w:hAnsi="Consolas"/>
                <w:color w:val="D4D4D4"/>
                <w:sz w:val="19"/>
              </w:rPr>
              <w:t>(</w:t>
            </w:r>
            <w:r>
              <w:rPr>
                <w:rFonts w:ascii="Consolas" w:hAnsi="Consolas"/>
                <w:color w:val="4EC9C0"/>
                <w:sz w:val="19"/>
              </w:rPr>
              <w:t>PUBLIC</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body;</w:t>
            </w:r>
          </w:p>
          <w:p>
            <w:pPr>
              <w:spacing w:before="0" w:after="0" w:line="240" w:lineRule="auto"/>
            </w:pP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author;</w:t>
            </w:r>
          </w:p>
          <w:p>
            <w:pPr>
              <w:spacing w:before="0" w:after="0" w:line="240" w:lineRule="auto"/>
            </w:pPr>
            <w:r>
              <w:rPr>
                <w:rFonts w:ascii="Consolas" w:hAnsi="Consolas"/>
                <w:color w:val="D4D4D4"/>
                <w:sz w:val="19"/>
              </w:rPr>
              <w:t xml:space="preserve">    </w:t>
            </w:r>
            <w:r>
              <w:rPr>
                <w:rFonts w:ascii="Consolas" w:hAnsi="Consolas"/>
                <w:i/>
                <w:color w:val="6A9955"/>
                <w:sz w:val="19"/>
              </w:rPr>
              <w:t>// constructor, getters omitted</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C586C0"/>
                <w:sz w:val="19"/>
              </w:rPr>
              <w:t>@JavAIEdge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record</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w:t>
            </w:r>
            <w:r>
              <w:rPr>
                <w:rFonts w:ascii="Consolas" w:hAnsi="Consolas"/>
                <w:color w:val="4EC9C0"/>
                <w:sz w:val="19"/>
              </w:rPr>
              <w:t>String</w:t>
            </w:r>
            <w:r>
              <w:rPr>
                <w:rFonts w:ascii="Consolas" w:hAnsi="Consolas"/>
                <w:color w:val="D4D4D4"/>
                <w:sz w:val="19"/>
              </w:rPr>
              <w:t xml:space="preserve"> kind) {}</w:t>
            </w:r>
          </w:p>
        </w:tc>
      </w:tr>
    </w:tbl>
    <w:p>
      <w:pPr>
        <w:spacing w:before="80"/>
        <w:jc w:val="center"/>
      </w:pPr>
      <w:r>
        <w:rPr>
          <w:i/>
          <w:color w:val="555555"/>
          <w:sz w:val="19"/>
        </w:rPr>
        <w:t>The two @JavAIVectorizable classes and one edge type used throughout §6.</w:t>
      </w:r>
    </w:p>
    <w:p>
      <w:pPr>
        <w:pStyle w:val="Heading2"/>
      </w:pPr>
      <w:r>
        <w:t>6.1 Confirming the Contract</w:t>
      </w:r>
    </w:p>
    <w:p>
      <w:pPr>
        <w:spacing w:after="160"/>
      </w:pPr>
      <w:r>
        <w:rPr>
          <w:b w:val="0"/>
          <w:i w:val="0"/>
        </w:rPr>
        <w:t>To directly answer the design question this section grew out of: yes — javaic implements every method of JavAIVectorizable on any class annotated @JavAIVectorizable. The annotation is the whole instruction; you never write “implements JavAIVectorizable” by hand (§5.1 has the full interface definition and a public-API/internal split). The same pattern — annotation name equals the interface it causes to be implemented — is used for @JavAIGraphNode and @JavAIEdge above, so the convention generalizes rather than being a one-off for vectorization.</w:t>
      </w:r>
    </w:p>
    <w:p>
      <w:pPr>
        <w:pStyle w:val="Heading2"/>
      </w:pPr>
      <w:r>
        <w:t>6.2 Field Vectors and Embedding Versioning</w:t>
      </w:r>
    </w:p>
    <w:p>
      <w:pPr>
        <w:spacing w:after="160"/>
      </w:pPr>
      <w:r>
        <w:rPr>
          <w:b w:val="0"/>
          <w:i w:val="0"/>
        </w:rPr>
        <w:t>A bare float[] can't carry which model produced it or when, and embedding models get upgraded over time (§4.4) — so the value type returned everywhere in this API is EmbeddingVector, not a raw array:</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record</w:t>
            </w: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w:t>
            </w:r>
            <w:r>
              <w:rPr>
                <w:rFonts w:ascii="Consolas" w:hAnsi="Consolas"/>
                <w:color w:val="569CD6"/>
                <w:sz w:val="19"/>
              </w:rPr>
              <w:t>float</w:t>
            </w:r>
            <w:r>
              <w:rPr>
                <w:rFonts w:ascii="Consolas" w:hAnsi="Consolas"/>
                <w:color w:val="D4D4D4"/>
                <w:sz w:val="19"/>
              </w:rPr>
              <w:t xml:space="preserve">[] values, </w:t>
            </w:r>
            <w:r>
              <w:rPr>
                <w:rFonts w:ascii="Consolas" w:hAnsi="Consolas"/>
                <w:color w:val="4EC9C0"/>
                <w:sz w:val="19"/>
              </w:rPr>
              <w:t>String</w:t>
            </w:r>
            <w:r>
              <w:rPr>
                <w:rFonts w:ascii="Consolas" w:hAnsi="Consolas"/>
                <w:color w:val="D4D4D4"/>
                <w:sz w:val="19"/>
              </w:rPr>
              <w:t xml:space="preserve"> modelId, </w:t>
            </w:r>
            <w:r>
              <w:rPr>
                <w:rFonts w:ascii="Consolas" w:hAnsi="Consolas"/>
                <w:color w:val="569CD6"/>
                <w:sz w:val="19"/>
              </w:rPr>
              <w:t>int</w:t>
            </w:r>
            <w:r>
              <w:rPr>
                <w:rFonts w:ascii="Consolas" w:hAnsi="Consolas"/>
                <w:color w:val="D4D4D4"/>
                <w:sz w:val="19"/>
              </w:rPr>
              <w:t xml:space="preserve"> dims, </w:t>
            </w:r>
            <w:r>
              <w:rPr>
                <w:rFonts w:ascii="Consolas" w:hAnsi="Consolas"/>
                <w:color w:val="4EC9C0"/>
                <w:sz w:val="19"/>
              </w:rPr>
              <w:t>Instant</w:t>
            </w:r>
            <w:r>
              <w:rPr>
                <w:rFonts w:ascii="Consolas" w:hAnsi="Consolas"/>
                <w:color w:val="D4D4D4"/>
                <w:sz w:val="19"/>
              </w:rPr>
              <w:t xml:space="preserve"> computedAt) {</w:t>
            </w:r>
          </w:p>
          <w:p>
            <w:pPr>
              <w:spacing w:before="0" w:after="0" w:line="240" w:lineRule="auto"/>
            </w:pP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double</w:t>
            </w:r>
            <w:r>
              <w:rPr>
                <w:rFonts w:ascii="Consolas" w:hAnsi="Consolas"/>
                <w:color w:val="D4D4D4"/>
                <w:sz w:val="19"/>
              </w:rPr>
              <w:t xml:space="preserve"> </w:t>
            </w:r>
            <w:r>
              <w:rPr>
                <w:rFonts w:ascii="Consolas" w:hAnsi="Consolas"/>
                <w:color w:val="DCDCAA"/>
                <w:sz w:val="19"/>
              </w:rPr>
              <w:t>cosineSimilarity</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other) { /* ... */ </w:t>
            </w:r>
            <w:r>
              <w:rPr>
                <w:rFonts w:ascii="Consolas" w:hAnsi="Consolas"/>
                <w:color w:val="569CD6"/>
                <w:sz w:val="19"/>
              </w:rPr>
              <w:t>return</w:t>
            </w:r>
            <w:r>
              <w:rPr>
                <w:rFonts w:ascii="Consolas" w:hAnsi="Consolas"/>
                <w:color w:val="D4D4D4"/>
                <w:sz w:val="19"/>
              </w:rPr>
              <w:t xml:space="preserve"> </w:t>
            </w:r>
            <w:r>
              <w:rPr>
                <w:rFonts w:ascii="Consolas" w:hAnsi="Consolas"/>
                <w:color w:val="B5CEA8"/>
                <w:sz w:val="19"/>
              </w:rPr>
              <w:t>0</w:t>
            </w:r>
            <w:r>
              <w:rPr>
                <w:rFonts w:ascii="Consolas" w:hAnsi="Consolas"/>
                <w:color w:val="D4D4D4"/>
                <w:sz w:val="19"/>
              </w:rPr>
              <w:t>; }</w:t>
            </w:r>
          </w:p>
          <w:p>
            <w:pPr>
              <w:spacing w:before="0" w:after="0" w:line="240" w:lineRule="auto"/>
            </w:pPr>
            <w:r>
              <w:rPr>
                <w:rFonts w:ascii="Consolas" w:hAnsi="Consolas"/>
                <w:color w:val="D4D4D4"/>
                <w:sz w:val="19"/>
              </w:rPr>
              <w:t>}</w:t>
            </w:r>
          </w:p>
        </w:tc>
      </w:tr>
    </w:tbl>
    <w:p>
      <w:pPr>
        <w:spacing w:before="80"/>
        <w:jc w:val="center"/>
      </w:pPr>
      <w:r>
        <w:rPr>
          <w:i/>
          <w:color w:val="555555"/>
          <w:sz w:val="19"/>
        </w:rPr>
        <w:t>EmbeddingVector — a versioned vector, not a bare float[].</w:t>
      </w:r>
    </w:p>
    <w:p>
      <w:pPr>
        <w:spacing w:after="160"/>
      </w:pPr>
      <w:r>
        <w:rPr>
          <w:b w:val="0"/>
          <w:i w:val="0"/>
        </w:rPr>
        <w:t>Every @Vectorize field gets its own synthesized accessor, named after the field: a field called body gets bodyVector(), a field called title gets titleVector(). This is deliberately type-safe and IDE-discoverable rather than a string-keyed lookup — but a dynamic fallback exists too, for tooling that doesn't know field names at compile time:</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Article</w:t>
            </w:r>
            <w:r>
              <w:rPr>
                <w:rFonts w:ascii="Consolas" w:hAnsi="Consolas"/>
                <w:color w:val="D4D4D4"/>
                <w:sz w:val="19"/>
              </w:rPr>
              <w:t xml:space="preserve"> zeroDay = ...;</w:t>
            </w:r>
          </w:p>
          <w:p>
            <w:pPr>
              <w:spacing w:before="0" w:after="0" w:line="240" w:lineRule="auto"/>
            </w:pPr>
            <w:r>
              <w:rPr>
                <w:sz w:val="19"/>
              </w:rPr>
              <w:t xml:space="preserve"> </w:t>
            </w:r>
          </w:p>
          <w:p>
            <w:pPr>
              <w:spacing w:before="0" w:after="0" w:line="240" w:lineRule="auto"/>
            </w:pPr>
            <w:r>
              <w:rPr>
                <w:rFonts w:ascii="Consolas" w:hAnsi="Consolas"/>
                <w:color w:val="4EC9C0"/>
                <w:sz w:val="19"/>
              </w:rPr>
              <w:t>EmbeddingVector</w:t>
            </w:r>
            <w:r>
              <w:rPr>
                <w:rFonts w:ascii="Consolas" w:hAnsi="Consolas"/>
                <w:color w:val="D4D4D4"/>
                <w:sz w:val="19"/>
              </w:rPr>
              <w:t xml:space="preserve"> t  = zeroDay.</w:t>
            </w:r>
            <w:r>
              <w:rPr>
                <w:rFonts w:ascii="Consolas" w:hAnsi="Consolas"/>
                <w:color w:val="DCDCAA"/>
                <w:sz w:val="19"/>
              </w:rPr>
              <w:t>titleVector</w:t>
            </w:r>
            <w:r>
              <w:rPr>
                <w:rFonts w:ascii="Consolas" w:hAnsi="Consolas"/>
                <w:color w:val="D4D4D4"/>
                <w:sz w:val="19"/>
              </w:rPr>
              <w:t xml:space="preserve">();                 </w:t>
            </w:r>
            <w:r>
              <w:rPr>
                <w:rFonts w:ascii="Consolas" w:hAnsi="Consolas"/>
                <w:i/>
                <w:color w:val="6A9955"/>
                <w:sz w:val="19"/>
              </w:rPr>
              <w:t>// current/default model</w:t>
            </w:r>
          </w:p>
          <w:p>
            <w:pPr>
              <w:spacing w:before="0" w:after="0" w:line="240" w:lineRule="auto"/>
            </w:pPr>
            <w:r>
              <w:rPr>
                <w:rFonts w:ascii="Consolas" w:hAnsi="Consolas"/>
                <w:color w:val="4EC9C0"/>
                <w:sz w:val="19"/>
              </w:rPr>
              <w:t>EmbeddingVector</w:t>
            </w:r>
            <w:r>
              <w:rPr>
                <w:rFonts w:ascii="Consolas" w:hAnsi="Consolas"/>
                <w:color w:val="D4D4D4"/>
                <w:sz w:val="19"/>
              </w:rPr>
              <w:t xml:space="preserve"> t2 = zeroDay.</w:t>
            </w:r>
            <w:r>
              <w:rPr>
                <w:rFonts w:ascii="Consolas" w:hAnsi="Consolas"/>
                <w:color w:val="DCDCAA"/>
                <w:sz w:val="19"/>
              </w:rPr>
              <w:t>titleVector</w:t>
            </w:r>
            <w:r>
              <w:rPr>
                <w:rFonts w:ascii="Consolas" w:hAnsi="Consolas"/>
                <w:color w:val="D4D4D4"/>
                <w:sz w:val="19"/>
              </w:rPr>
              <w:t>(</w:t>
            </w:r>
            <w:r>
              <w:rPr>
                <w:rFonts w:ascii="Consolas" w:hAnsi="Consolas"/>
                <w:color w:val="CE9178"/>
                <w:sz w:val="19"/>
              </w:rPr>
              <w:t>"e5-large-v3"</w:t>
            </w:r>
            <w:r>
              <w:rPr>
                <w:rFonts w:ascii="Consolas" w:hAnsi="Consolas"/>
                <w:color w:val="D4D4D4"/>
                <w:sz w:val="19"/>
              </w:rPr>
              <w:t xml:space="preserve">);     </w:t>
            </w:r>
            <w:r>
              <w:rPr>
                <w:rFonts w:ascii="Consolas" w:hAnsi="Consolas"/>
                <w:i/>
                <w:color w:val="6A9955"/>
                <w:sz w:val="19"/>
              </w:rPr>
              <w:t>// an explicit, possibly older, model version</w:t>
            </w:r>
          </w:p>
          <w:p>
            <w:pPr>
              <w:spacing w:before="0" w:after="0" w:line="240" w:lineRule="auto"/>
            </w:pPr>
            <w:r>
              <w:rPr>
                <w:rFonts w:ascii="Consolas" w:hAnsi="Consolas"/>
                <w:color w:val="4EC9C0"/>
                <w:sz w:val="19"/>
              </w:rPr>
              <w:t>EmbeddingVector</w:t>
            </w:r>
            <w:r>
              <w:rPr>
                <w:rFonts w:ascii="Consolas" w:hAnsi="Consolas"/>
                <w:color w:val="D4D4D4"/>
                <w:sz w:val="19"/>
              </w:rPr>
              <w:t xml:space="preserve"> t3 = zeroDay.</w:t>
            </w:r>
            <w:r>
              <w:rPr>
                <w:rFonts w:ascii="Consolas" w:hAnsi="Consolas"/>
                <w:color w:val="DCDCAA"/>
                <w:sz w:val="19"/>
              </w:rPr>
              <w:t>fieldVector</w:t>
            </w:r>
            <w:r>
              <w:rPr>
                <w:rFonts w:ascii="Consolas" w:hAnsi="Consolas"/>
                <w:color w:val="D4D4D4"/>
                <w:sz w:val="19"/>
              </w:rPr>
              <w:t>(</w:t>
            </w:r>
            <w:r>
              <w:rPr>
                <w:rFonts w:ascii="Consolas" w:hAnsi="Consolas"/>
                <w:color w:val="CE9178"/>
                <w:sz w:val="19"/>
              </w:rPr>
              <w:t>"title"</w:t>
            </w:r>
            <w:r>
              <w:rPr>
                <w:rFonts w:ascii="Consolas" w:hAnsi="Consolas"/>
                <w:color w:val="D4D4D4"/>
                <w:sz w:val="19"/>
              </w:rPr>
              <w:t xml:space="preserve">);           </w:t>
            </w:r>
            <w:r>
              <w:rPr>
                <w:rFonts w:ascii="Consolas" w:hAnsi="Consolas"/>
                <w:i/>
                <w:color w:val="6A9955"/>
                <w:sz w:val="19"/>
              </w:rPr>
              <w:t>// dynamic fallback — same result as titleVector()</w:t>
            </w:r>
          </w:p>
        </w:tc>
      </w:tr>
    </w:tbl>
    <w:p>
      <w:pPr>
        <w:spacing w:before="80"/>
        <w:jc w:val="center"/>
      </w:pPr>
      <w:r>
        <w:rPr>
          <w:i/>
          <w:color w:val="555555"/>
          <w:sz w:val="19"/>
        </w:rPr>
        <w:t>Example 8. Per-field vector accessors — type-safe by default, dynamic when you need it.</w:t>
      </w:r>
    </w:p>
    <w:p>
      <w:pPr>
        <w:spacing w:after="160"/>
      </w:pPr>
      <w:r>
        <w:rPr>
          <w:b w:val="0"/>
          <w:i w:val="0"/>
        </w:rPr>
        <w:t>The no-argument form always resolves to whichever model is currently configured (javai.embedding.model=...); the explicit-model overload lets code — including the background re-indexing job from §4.4 — address a specific historical version directly while old and new vectors briefly coexist during a migration.</w:t>
      </w:r>
    </w:p>
    <w:p>
      <w:pPr>
        <w:pStyle w:val="Heading2"/>
      </w:pPr>
      <w:r>
        <w:t>6.3 Object Vector vs. Summary Vector vs. Field Vector</w:t>
      </w:r>
    </w:p>
    <w:p>
      <w:pPr>
        <w:spacing w:after="160"/>
      </w:pPr>
      <w:r>
        <w:rPr>
          <w:b w:val="0"/>
          <w:i w:val="0"/>
        </w:rPr>
        <w:t>A single Article carries several different vectors, and picking the right one changes what a query actually finds: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Article</w:t>
            </w:r>
            <w:r>
              <w:rPr>
                <w:rFonts w:ascii="Consolas" w:hAnsi="Consolas"/>
                <w:color w:val="D4D4D4"/>
                <w:sz w:val="19"/>
              </w:rPr>
              <w:t xml:space="preserve"> zeroDay = repo.</w:t>
            </w:r>
            <w:r>
              <w:rPr>
                <w:rFonts w:ascii="Consolas" w:hAnsi="Consolas"/>
                <w:color w:val="DCDCAA"/>
                <w:sz w:val="19"/>
              </w:rPr>
              <w:t>findByTitle</w:t>
            </w:r>
            <w:r>
              <w:rPr>
                <w:rFonts w:ascii="Consolas" w:hAnsi="Consolas"/>
                <w:color w:val="D4D4D4"/>
                <w:sz w:val="19"/>
              </w:rPr>
              <w:t>(</w:t>
            </w:r>
            <w:r>
              <w:rPr>
                <w:rFonts w:ascii="Consolas" w:hAnsi="Consolas"/>
                <w:color w:val="CE9178"/>
                <w:sz w:val="19"/>
              </w:rPr>
              <w:t>"Zero-day disclosed in widely used TLS library"</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EmbeddingVector</w:t>
            </w:r>
            <w:r>
              <w:rPr>
                <w:rFonts w:ascii="Consolas" w:hAnsi="Consolas"/>
                <w:color w:val="D4D4D4"/>
                <w:sz w:val="19"/>
              </w:rPr>
              <w:t xml:space="preserve"> byHeadline   = zeroDay.</w:t>
            </w:r>
            <w:r>
              <w:rPr>
                <w:rFonts w:ascii="Consolas" w:hAnsi="Consolas"/>
                <w:color w:val="DCDCAA"/>
                <w:sz w:val="19"/>
              </w:rPr>
              <w:t>titleVector</w:t>
            </w:r>
            <w:r>
              <w:rPr>
                <w:rFonts w:ascii="Consolas" w:hAnsi="Consolas"/>
                <w:color w:val="D4D4D4"/>
                <w:sz w:val="19"/>
              </w:rPr>
              <w:t xml:space="preserve">();    </w:t>
            </w:r>
            <w:r>
              <w:rPr>
                <w:rFonts w:ascii="Consolas" w:hAnsi="Consolas"/>
                <w:i/>
                <w:color w:val="6A9955"/>
                <w:sz w:val="19"/>
              </w:rPr>
              <w:t>// just the headline text</w:t>
            </w:r>
          </w:p>
          <w:p>
            <w:pPr>
              <w:spacing w:before="0" w:after="0" w:line="240" w:lineRule="auto"/>
            </w:pPr>
            <w:r>
              <w:rPr>
                <w:rFonts w:ascii="Consolas" w:hAnsi="Consolas"/>
                <w:color w:val="4EC9C0"/>
                <w:sz w:val="19"/>
              </w:rPr>
              <w:t>EmbeddingVector</w:t>
            </w:r>
            <w:r>
              <w:rPr>
                <w:rFonts w:ascii="Consolas" w:hAnsi="Consolas"/>
                <w:color w:val="D4D4D4"/>
                <w:sz w:val="19"/>
              </w:rPr>
              <w:t xml:space="preserve"> byWriteup    = zeroDay.</w:t>
            </w:r>
            <w:r>
              <w:rPr>
                <w:rFonts w:ascii="Consolas" w:hAnsi="Consolas"/>
                <w:color w:val="DCDCAA"/>
                <w:sz w:val="19"/>
              </w:rPr>
              <w:t>bodyVector</w:t>
            </w:r>
            <w:r>
              <w:rPr>
                <w:rFonts w:ascii="Consolas" w:hAnsi="Consolas"/>
                <w:color w:val="D4D4D4"/>
                <w:sz w:val="19"/>
              </w:rPr>
              <w:t xml:space="preserve">();     </w:t>
            </w:r>
            <w:r>
              <w:rPr>
                <w:rFonts w:ascii="Consolas" w:hAnsi="Consolas"/>
                <w:i/>
                <w:color w:val="6A9955"/>
                <w:sz w:val="19"/>
              </w:rPr>
              <w:t>// just the write-up text</w:t>
            </w:r>
          </w:p>
          <w:p>
            <w:pPr>
              <w:spacing w:before="0" w:after="0" w:line="240" w:lineRule="auto"/>
            </w:pPr>
            <w:r>
              <w:rPr>
                <w:rFonts w:ascii="Consolas" w:hAnsi="Consolas"/>
                <w:color w:val="4EC9C0"/>
                <w:sz w:val="19"/>
              </w:rPr>
              <w:t>EmbeddingVector</w:t>
            </w:r>
            <w:r>
              <w:rPr>
                <w:rFonts w:ascii="Consolas" w:hAnsi="Consolas"/>
                <w:color w:val="D4D4D4"/>
                <w:sz w:val="19"/>
              </w:rPr>
              <w:t xml:space="preserve"> byArticle    = zeroDay.</w:t>
            </w:r>
            <w:r>
              <w:rPr>
                <w:rFonts w:ascii="Consolas" w:hAnsi="Consolas"/>
                <w:color w:val="DCDCAA"/>
                <w:sz w:val="19"/>
              </w:rPr>
              <w:t>vector</w:t>
            </w:r>
            <w:r>
              <w:rPr>
                <w:rFonts w:ascii="Consolas" w:hAnsi="Consolas"/>
                <w:color w:val="D4D4D4"/>
                <w:sz w:val="19"/>
              </w:rPr>
              <w:t xml:space="preserve">();          </w:t>
            </w:r>
            <w:r>
              <w:rPr>
                <w:rFonts w:ascii="Consolas" w:hAnsi="Consolas"/>
                <w:i/>
                <w:color w:val="6A9955"/>
                <w:sz w:val="19"/>
              </w:rPr>
              <w:t>// canonical whole-object embedding (title + body)</w:t>
            </w:r>
          </w:p>
          <w:p>
            <w:pPr>
              <w:spacing w:before="0" w:after="0" w:line="240" w:lineRule="auto"/>
            </w:pPr>
            <w:r>
              <w:rPr>
                <w:rFonts w:ascii="Consolas" w:hAnsi="Consolas"/>
                <w:color w:val="4EC9C0"/>
                <w:sz w:val="19"/>
              </w:rPr>
              <w:t>EmbeddingVector</w:t>
            </w:r>
            <w:r>
              <w:rPr>
                <w:rFonts w:ascii="Consolas" w:hAnsi="Consolas"/>
                <w:color w:val="D4D4D4"/>
                <w:sz w:val="19"/>
              </w:rPr>
              <w:t xml:space="preserve"> byDiscussion = zeroDay.</w:t>
            </w:r>
            <w:r>
              <w:rPr>
                <w:rFonts w:ascii="Consolas" w:hAnsi="Consolas"/>
                <w:color w:val="DCDCAA"/>
                <w:sz w:val="19"/>
              </w:rPr>
              <w:t>summaryVector</w:t>
            </w:r>
            <w:r>
              <w:rPr>
                <w:rFonts w:ascii="Consolas" w:hAnsi="Consolas"/>
                <w:color w:val="D4D4D4"/>
                <w:sz w:val="19"/>
              </w:rPr>
              <w:t xml:space="preserve">();   </w:t>
            </w:r>
            <w:r>
              <w:rPr>
                <w:rFonts w:ascii="Consolas" w:hAnsi="Consolas"/>
                <w:i/>
                <w:color w:val="6A9955"/>
                <w:sz w:val="19"/>
              </w:rPr>
              <w:t>// rollup over the article AND everything it</w:t>
            </w:r>
          </w:p>
          <w:p>
            <w:pPr>
              <w:spacing w:before="0" w:after="0" w:line="240" w:lineRule="auto"/>
            </w:pPr>
            <w:r>
              <w:rPr>
                <w:rFonts w:ascii="Consolas" w:hAnsi="Consolas"/>
                <w:color w:val="D4D4D4"/>
                <w:sz w:val="19"/>
              </w:rPr>
              <w:t xml:space="preserve">                                                           </w:t>
            </w:r>
            <w:r>
              <w:rPr>
                <w:rFonts w:ascii="Consolas" w:hAnsi="Consolas"/>
                <w:i/>
                <w:color w:val="6A9955"/>
                <w:sz w:val="19"/>
              </w:rPr>
              <w:t>// reaches: its Comments, articles it cites...</w:t>
            </w:r>
          </w:p>
          <w:p>
            <w:pPr>
              <w:spacing w:before="0" w:after="0" w:line="240" w:lineRule="auto"/>
            </w:pPr>
            <w:r>
              <w:rPr>
                <w:sz w:val="19"/>
              </w:rPr>
              <w:t xml:space="preserve"> </w:t>
            </w:r>
          </w:p>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Article</w:t>
            </w:r>
            <w:r>
              <w:rPr>
                <w:rFonts w:ascii="Consolas" w:hAnsi="Consolas"/>
                <w:color w:val="D4D4D4"/>
                <w:sz w:val="19"/>
              </w:rPr>
              <w:t>&gt; similarHeadlines   = library.</w:t>
            </w:r>
            <w:r>
              <w:rPr>
                <w:rFonts w:ascii="Consolas" w:hAnsi="Consolas"/>
                <w:color w:val="DCDCAA"/>
                <w:sz w:val="19"/>
              </w:rPr>
              <w:t>query</w:t>
            </w:r>
            <w:r>
              <w:rPr>
                <w:rFonts w:ascii="Consolas" w:hAnsi="Consolas"/>
                <w:color w:val="D4D4D4"/>
                <w:sz w:val="19"/>
              </w:rPr>
              <w:t xml:space="preserve">(byHeadline,   </w:t>
            </w:r>
            <w:r>
              <w:rPr>
                <w:rFonts w:ascii="Consolas" w:hAnsi="Consolas"/>
                <w:color w:val="4EC9C0"/>
                <w:sz w:val="19"/>
              </w:rPr>
              <w:t>Article</w:t>
            </w:r>
            <w:r>
              <w:rPr>
                <w:rFonts w:ascii="Consolas" w:hAnsi="Consolas"/>
                <w:color w:val="D4D4D4"/>
                <w:sz w:val="19"/>
              </w:rPr>
              <w:t>.</w:t>
            </w:r>
            <w:r>
              <w:rPr>
                <w:rFonts w:ascii="Consolas" w:hAnsi="Consolas"/>
                <w:color w:val="569CD6"/>
                <w:sz w:val="19"/>
              </w:rPr>
              <w:t>class</w:t>
            </w:r>
            <w:r>
              <w:rPr>
                <w:rFonts w:ascii="Consolas" w:hAnsi="Consolas"/>
                <w:color w:val="D4D4D4"/>
                <w:sz w:val="19"/>
              </w:rPr>
              <w:t>);</w:t>
            </w:r>
          </w:p>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Article</w:t>
            </w:r>
            <w:r>
              <w:rPr>
                <w:rFonts w:ascii="Consolas" w:hAnsi="Consolas"/>
                <w:color w:val="D4D4D4"/>
                <w:sz w:val="19"/>
              </w:rPr>
              <w:t>&gt; similarWriteups    = library.</w:t>
            </w:r>
            <w:r>
              <w:rPr>
                <w:rFonts w:ascii="Consolas" w:hAnsi="Consolas"/>
                <w:color w:val="DCDCAA"/>
                <w:sz w:val="19"/>
              </w:rPr>
              <w:t>query</w:t>
            </w:r>
            <w:r>
              <w:rPr>
                <w:rFonts w:ascii="Consolas" w:hAnsi="Consolas"/>
                <w:color w:val="D4D4D4"/>
                <w:sz w:val="19"/>
              </w:rPr>
              <w:t xml:space="preserve">(byWriteup,    </w:t>
            </w:r>
            <w:r>
              <w:rPr>
                <w:rFonts w:ascii="Consolas" w:hAnsi="Consolas"/>
                <w:color w:val="4EC9C0"/>
                <w:sz w:val="19"/>
              </w:rPr>
              <w:t>Article</w:t>
            </w:r>
            <w:r>
              <w:rPr>
                <w:rFonts w:ascii="Consolas" w:hAnsi="Consolas"/>
                <w:color w:val="D4D4D4"/>
                <w:sz w:val="19"/>
              </w:rPr>
              <w:t>.</w:t>
            </w:r>
            <w:r>
              <w:rPr>
                <w:rFonts w:ascii="Consolas" w:hAnsi="Consolas"/>
                <w:color w:val="569CD6"/>
                <w:sz w:val="19"/>
              </w:rPr>
              <w:t>class</w:t>
            </w:r>
            <w:r>
              <w:rPr>
                <w:rFonts w:ascii="Consolas" w:hAnsi="Consolas"/>
                <w:color w:val="D4D4D4"/>
                <w:sz w:val="19"/>
              </w:rPr>
              <w:t>);</w:t>
            </w:r>
          </w:p>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Article</w:t>
            </w:r>
            <w:r>
              <w:rPr>
                <w:rFonts w:ascii="Consolas" w:hAnsi="Consolas"/>
                <w:color w:val="D4D4D4"/>
                <w:sz w:val="19"/>
              </w:rPr>
              <w:t>&gt; similarDiscussions = library.</w:t>
            </w:r>
            <w:r>
              <w:rPr>
                <w:rFonts w:ascii="Consolas" w:hAnsi="Consolas"/>
                <w:color w:val="DCDCAA"/>
                <w:sz w:val="19"/>
              </w:rPr>
              <w:t>query</w:t>
            </w:r>
            <w:r>
              <w:rPr>
                <w:rFonts w:ascii="Consolas" w:hAnsi="Consolas"/>
                <w:color w:val="D4D4D4"/>
                <w:sz w:val="19"/>
              </w:rPr>
              <w:t xml:space="preserve">(byDiscussion, </w:t>
            </w:r>
            <w:r>
              <w:rPr>
                <w:rFonts w:ascii="Consolas" w:hAnsi="Consolas"/>
                <w:color w:val="4EC9C0"/>
                <w:sz w:val="19"/>
              </w:rPr>
              <w:t>Article</w:t>
            </w:r>
            <w:r>
              <w:rPr>
                <w:rFonts w:ascii="Consolas" w:hAnsi="Consolas"/>
                <w:color w:val="D4D4D4"/>
                <w:sz w:val="19"/>
              </w:rPr>
              <w:t>.</w:t>
            </w:r>
            <w:r>
              <w:rPr>
                <w:rFonts w:ascii="Consolas" w:hAnsi="Consolas"/>
                <w:color w:val="569CD6"/>
                <w:sz w:val="19"/>
              </w:rPr>
              <w:t>class</w:t>
            </w:r>
            <w:r>
              <w:rPr>
                <w:rFonts w:ascii="Consolas" w:hAnsi="Consolas"/>
                <w:color w:val="D4D4D4"/>
                <w:sz w:val="19"/>
              </w:rPr>
              <w:t>);</w:t>
            </w:r>
          </w:p>
        </w:tc>
      </w:tr>
    </w:tbl>
    <w:p>
      <w:pPr>
        <w:spacing w:before="80"/>
        <w:jc w:val="center"/>
      </w:pPr>
      <w:r>
        <w:rPr>
          <w:i/>
          <w:color w:val="555555"/>
          <w:sz w:val="19"/>
        </w:rPr>
        <w:t>Example 9. Same object, four vectors, four different result sets.</w:t>
      </w:r>
    </w:p>
    <w:p>
      <w:pPr>
        <w:spacing w:after="160"/>
      </w:pPr>
      <w:r>
        <w:rPr>
          <w:b w:val="0"/>
          <w:i w:val="0"/>
        </w:rPr>
        <w:t>An article whose write-up is dry and technical but whose comment section is a heated argument about vendor accountability will not surface under byWriteup for a query about “vendor trust” — its own words never use that language. It will surface under byDiscussion, because summaryVector() rolls up everything reachable, comments included. Neither answer is “more correct”; they answer different questions, and having both available as ordinary method calls is the point.</w:t>
      </w:r>
    </w:p>
    <w:p>
      <w:pPr>
        <w:pStyle w:val="Heading3"/>
      </w:pPr>
      <w:r>
        <w:t>6.3.1 Formal Summary-Vector Semantics</w:t>
      </w:r>
    </w:p>
    <w:p>
      <w:pPr>
        <w:spacing w:after="160"/>
      </w:pPr>
      <w:r>
        <w:rPr>
          <w:b w:val="0"/>
          <w:i w:val="0"/>
        </w:rPr>
        <w:t>“Everything reachable” is not yet a semantic definition — it's a graph-traversal one, and it leaves the actual question unanswered: how much should a grandchild ten hops away actually count? This section answers that precisely, rather than leaving it to implementation-time judgment.</w:t>
      </w:r>
    </w:p>
    <w:p>
      <w:pPr>
        <w:spacing w:after="160"/>
      </w:pPr>
      <w:r>
        <w:rPr>
          <w:b w:val="0"/>
          <w:i w:val="0"/>
        </w:rPr>
        <w:t>summaryVector() is a weighted average, with weight decaying exponentially by traversal depth:</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DCDCAA"/>
                <w:sz w:val="19"/>
              </w:rPr>
              <w:t>summaryVector</w:t>
            </w:r>
            <w:r>
              <w:rPr>
                <w:rFonts w:ascii="Consolas" w:hAnsi="Consolas"/>
                <w:color w:val="D4D4D4"/>
                <w:sz w:val="19"/>
              </w:rPr>
              <w:t xml:space="preserve">(obj) = </w:t>
            </w:r>
            <w:r>
              <w:rPr>
                <w:rFonts w:ascii="Consolas" w:hAnsi="Consolas"/>
                <w:color w:val="DCDCAA"/>
                <w:sz w:val="19"/>
              </w:rPr>
              <w:t>normalize</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B5CEA8"/>
                <w:sz w:val="19"/>
              </w:rPr>
              <w:t>1.0</w:t>
            </w:r>
            <w:r>
              <w:rPr>
                <w:rFonts w:ascii="Consolas" w:hAnsi="Consolas"/>
                <w:color w:val="D4D4D4"/>
                <w:sz w:val="19"/>
              </w:rPr>
              <w:t xml:space="preserve"> * </w:t>
            </w:r>
            <w:r>
              <w:rPr>
                <w:rFonts w:ascii="Consolas" w:hAnsi="Consolas"/>
                <w:color w:val="DCDCAA"/>
                <w:sz w:val="19"/>
              </w:rPr>
              <w:t>vector</w:t>
            </w:r>
            <w:r>
              <w:rPr>
                <w:rFonts w:ascii="Consolas" w:hAnsi="Consolas"/>
                <w:color w:val="D4D4D4"/>
                <w:sz w:val="19"/>
              </w:rPr>
              <w:t>(obj)</w:t>
            </w:r>
          </w:p>
          <w:p>
            <w:pPr>
              <w:spacing w:before="0" w:after="0" w:line="240" w:lineRule="auto"/>
            </w:pPr>
            <w:r>
              <w:rPr>
                <w:rFonts w:ascii="Consolas" w:hAnsi="Consolas"/>
                <w:color w:val="D4D4D4"/>
                <w:sz w:val="19"/>
              </w:rPr>
              <w:t xml:space="preserve">    + decay * </w:t>
            </w:r>
            <w:r>
              <w:rPr>
                <w:rFonts w:ascii="Consolas" w:hAnsi="Consolas"/>
                <w:color w:val="4EC9C0"/>
                <w:sz w:val="19"/>
              </w:rPr>
              <w:t>Sum</w:t>
            </w:r>
            <w:r>
              <w:rPr>
                <w:rFonts w:ascii="Consolas" w:hAnsi="Consolas"/>
                <w:color w:val="D4D4D4"/>
                <w:sz w:val="19"/>
              </w:rPr>
              <w:t xml:space="preserve"> over each </w:t>
            </w:r>
            <w:r>
              <w:rPr>
                <w:rFonts w:ascii="Consolas" w:hAnsi="Consolas"/>
                <w:color w:val="C586C0"/>
                <w:sz w:val="19"/>
              </w:rPr>
              <w:t>@Summary</w:t>
            </w:r>
            <w:r>
              <w:rPr>
                <w:rFonts w:ascii="Consolas" w:hAnsi="Consolas"/>
                <w:color w:val="D4D4D4"/>
                <w:sz w:val="19"/>
              </w:rPr>
              <w:t xml:space="preserve">-marked child c of obj: </w:t>
            </w:r>
            <w:r>
              <w:rPr>
                <w:rFonts w:ascii="Consolas" w:hAnsi="Consolas"/>
                <w:color w:val="DCDCAA"/>
                <w:sz w:val="19"/>
              </w:rPr>
              <w:t>summaryVector</w:t>
            </w:r>
            <w:r>
              <w:rPr>
                <w:rFonts w:ascii="Consolas" w:hAnsi="Consolas"/>
                <w:color w:val="D4D4D4"/>
                <w:sz w:val="19"/>
              </w:rPr>
              <w:t>(c)</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Equivalently, flattened over every path from obj: each reachable node</w:t>
            </w:r>
          </w:p>
          <w:p>
            <w:pPr>
              <w:spacing w:before="0" w:after="0" w:line="240" w:lineRule="auto"/>
            </w:pPr>
            <w:r>
              <w:rPr>
                <w:rFonts w:ascii="Consolas" w:hAnsi="Consolas"/>
                <w:i/>
                <w:color w:val="6A9955"/>
                <w:sz w:val="19"/>
              </w:rPr>
              <w:t>// contributes decay^depth * its own vector(), and duplicate paths to the</w:t>
            </w:r>
          </w:p>
          <w:p>
            <w:pPr>
              <w:spacing w:before="0" w:after="0" w:line="240" w:lineRule="auto"/>
            </w:pPr>
            <w:r>
              <w:rPr>
                <w:rFonts w:ascii="Consolas" w:hAnsi="Consolas"/>
                <w:i/>
                <w:color w:val="6A9955"/>
                <w:sz w:val="19"/>
              </w:rPr>
              <w:t>// same node stack (add) rather than deduplicate. The recursive form above</w:t>
            </w:r>
          </w:p>
          <w:p>
            <w:pPr>
              <w:spacing w:before="0" w:after="0" w:line="240" w:lineRule="auto"/>
            </w:pPr>
            <w:r>
              <w:rPr>
                <w:rFonts w:ascii="Consolas" w:hAnsi="Consolas"/>
                <w:i/>
                <w:color w:val="6A9955"/>
                <w:sz w:val="19"/>
              </w:rPr>
              <w:t>// and the flattened form give the same result for any acyclic reachability</w:t>
            </w:r>
          </w:p>
          <w:p>
            <w:pPr>
              <w:spacing w:before="0" w:after="0" w:line="240" w:lineRule="auto"/>
            </w:pPr>
            <w:r>
              <w:rPr>
                <w:rFonts w:ascii="Consolas" w:hAnsi="Consolas"/>
                <w:i/>
                <w:color w:val="6A9955"/>
                <w:sz w:val="19"/>
              </w:rPr>
              <w:t>// graph -- the recursive form is what actually gets implemented, because</w:t>
            </w:r>
          </w:p>
          <w:p>
            <w:pPr>
              <w:spacing w:before="0" w:after="0" w:line="240" w:lineRule="auto"/>
            </w:pPr>
            <w:r>
              <w:rPr>
                <w:rFonts w:ascii="Consolas" w:hAnsi="Consolas"/>
                <w:i/>
                <w:color w:val="6A9955"/>
                <w:sz w:val="19"/>
              </w:rPr>
              <w:t>// it only needs each child's *already-cached* summaryVector(), which is</w:t>
            </w:r>
          </w:p>
          <w:p>
            <w:pPr>
              <w:spacing w:before="0" w:after="0" w:line="240" w:lineRule="auto"/>
            </w:pPr>
            <w:r>
              <w:rPr>
                <w:rFonts w:ascii="Consolas" w:hAnsi="Consolas"/>
                <w:i/>
                <w:color w:val="6A9955"/>
                <w:sz w:val="19"/>
              </w:rPr>
              <w:t>// exactly the lazy, one-hop-at-a-time recomputation §4.3.1 describes.</w:t>
            </w:r>
          </w:p>
        </w:tc>
      </w:tr>
    </w:tbl>
    <w:p>
      <w:pPr>
        <w:spacing w:before="80"/>
        <w:jc w:val="center"/>
      </w:pPr>
      <w:r>
        <w:rPr>
          <w:i/>
          <w:color w:val="555555"/>
          <w:sz w:val="19"/>
        </w:rPr>
        <w:t>Example 30. summaryVector() as a decay-weighted recursive average — implementable in one hop, not a whole-graph walk.</w:t>
      </w:r>
    </w:p>
    <w:p>
      <w:pPr>
        <w:spacing w:after="160"/>
      </w:pPr>
      <w:r>
        <w:rPr>
          <w:b w:val="0"/>
          <w:i w:val="0"/>
        </w:rPr>
        <w:t>Four design decisions follow from this, each deliberate rather than incidental:</w:t>
      </w:r>
    </w:p>
    <w:p>
      <w:pPr>
        <w:pStyle w:val="ListBullet"/>
      </w:pPr>
      <w:r>
        <w:t>Exponential decay, not linear. A linear falloff (weight = max(0, 1 - depth/D)) needs to know a node's absolute distance from whichever ancestor is being summarized, which is different for every ancestor — there's no way to compute it from a child's cached summaryVector() alone. Exponential decay is the only form that composes recursively one hop at a time, which is required by §4.3.1's lazy, local recomputation model. This is an architectural constraint, not a style preference.</w:t>
      </w:r>
    </w:p>
    <w:p>
      <w:pPr>
        <w:pStyle w:val="ListBullet"/>
      </w:pPr>
      <w:r>
        <w:t>Duplicate references stack, cycles stop. A node reached via two different paths from obj (e.g. two sibling children both referencing the same shared object) contributes once through each path — this falls out of the recursive formula for free, with no extra bookkeeping, and reflects a real signal: a node reachable more ways is arguably more central to obj's semantic neighborhood. A cycle — a path revisiting a node already on that same path, i.e. an ancestor of itself — is different and must stop; the back-edge walk's cycle-safety rule (§4.3) applies identically here, treating the repeated node as a leaf for that path rather than recursing forever.</w:t>
      </w:r>
    </w:p>
    <w:p>
      <w:pPr>
        <w:pStyle w:val="ListBullet"/>
      </w:pPr>
      <w:r>
        <w:t>Averaging vs. summing doesn't change retrieval results. Cosine similarity is scale-invariant, so a weighted sum and a weighted average produce identical similarity rankings — they differ only by a positive scalar. normalize() is still the right default, for numerical hygiene and in case a future index ever compares magnitudes directly, but don't expect it to change what a query returns.</w:t>
      </w:r>
    </w:p>
    <w:p>
      <w:pPr>
        <w:pStyle w:val="ListBullet"/>
      </w:pPr>
      <w:r>
        <w:t>@Summary still gates inclusion; decay only controls distance. A field excluded via @VectorizeIgnore or never marked @Summary contributes nothing regardless of depth — decay attenuates how much a structurally-distant, already-included node counts, it doesn't decide whether that node counts at all. The two mechanisms are independent and both necessary.</w:t>
      </w:r>
    </w:p>
    <w:p>
      <w:pPr>
        <w:spacing w:after="160"/>
      </w:pPr>
      <w:r>
        <w:rPr>
          <w:b w:val="0"/>
          <w:i w:val="0"/>
        </w:rPr>
        <w:t>One open risk worth naming rather than glossing over: a highly-shared node — a reference-data object pointed to by thousands of others, the “hub” case — can accumulate large aggregate weight purely from fan-in, diluting whatever actually distinguishes one object's summary from another's. This is the same failure mode TF-IDF exists to correct for in text search. It's flagged here as a known risk with a proposed mitigation below (fan-in dampening), not yet a settled resolution.</w:t>
      </w:r>
    </w:p>
    <w:p>
      <w:pPr>
        <w:spacing w:after="160"/>
      </w:pPr>
      <w:r>
        <w:rPr>
          <w:b w:val="0"/>
          <w:i w:val="0"/>
        </w:rPr>
        <w:t>The following annotation parameters formalize the knobs this section implies. They are proposed for the specification, not scoped for Phase 0 (§9.1) — they extend @Summary (§5.1) once real usage surfaces a concrete need for tuning beyond the fixed default decay rate:</w:t>
      </w:r>
    </w:p>
    <w:tbl>
      <w:tblPr>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2E5C8A"/>
            <w:tcMar>
              <w:top w:w="80" w:type="dxa"/>
              <w:left w:w="80" w:type="dxa"/>
              <w:bottom w:w="80" w:type="dxa"/>
              <w:right w:w="80" w:type="dxa"/>
            </w:tcMar>
          </w:tcPr>
          <w:p>
            <w:r/>
            <w:r>
              <w:rPr>
                <w:b/>
                <w:color w:val="FFFFFF"/>
                <w:sz w:val="20"/>
              </w:rPr>
              <w:t>Proposed Parameter</w:t>
            </w:r>
          </w:p>
        </w:tc>
        <w:tc>
          <w:tcPr>
            <w:tcW w:type="dxa" w:w="4896"/>
            <w:shd w:val="clear" w:color="auto" w:fill="2E5C8A"/>
            <w:tcMar>
              <w:top w:w="80" w:type="dxa"/>
              <w:left w:w="80" w:type="dxa"/>
              <w:bottom w:w="80" w:type="dxa"/>
              <w:right w:w="80" w:type="dxa"/>
            </w:tcMar>
          </w:tcPr>
          <w:p>
            <w:r/>
            <w:r>
              <w:rPr>
                <w:b/>
                <w:color w:val="FFFFFF"/>
                <w:sz w:val="20"/>
              </w:rPr>
              <w:t>Purpose</w:t>
            </w:r>
          </w:p>
        </w:tc>
        <w:tc>
          <w:tcPr>
            <w:tcW w:type="dxa" w:w="1872"/>
            <w:shd w:val="clear" w:color="auto" w:fill="2E5C8A"/>
            <w:tcMar>
              <w:top w:w="80" w:type="dxa"/>
              <w:left w:w="80" w:type="dxa"/>
              <w:bottom w:w="80" w:type="dxa"/>
              <w:right w:w="80" w:type="dxa"/>
            </w:tcMar>
          </w:tcPr>
          <w:p>
            <w:r/>
            <w:r>
              <w:rPr>
                <w:b/>
                <w:color w:val="FFFFFF"/>
                <w:sz w:val="20"/>
              </w:rPr>
              <w:t>Status</w:t>
            </w:r>
          </w:p>
        </w:tc>
      </w:tr>
      <w:tr>
        <w:tc>
          <w:tcPr>
            <w:tcW w:type="dxa" w:w="3744"/>
            <w:tcMar>
              <w:top w:w="80" w:type="dxa"/>
              <w:left w:w="80" w:type="dxa"/>
              <w:bottom w:w="80" w:type="dxa"/>
              <w:right w:w="80" w:type="dxa"/>
            </w:tcMar>
          </w:tcPr>
          <w:p>
            <w:r>
              <w:rPr>
                <w:sz w:val="19"/>
              </w:rPr>
              <w:t>@Summary(decay = 0.5)</w:t>
            </w:r>
          </w:p>
        </w:tc>
        <w:tc>
          <w:tcPr>
            <w:tcW w:type="dxa" w:w="4896"/>
            <w:tcMar>
              <w:top w:w="80" w:type="dxa"/>
              <w:left w:w="80" w:type="dxa"/>
              <w:bottom w:w="80" w:type="dxa"/>
              <w:right w:w="80" w:type="dxa"/>
            </w:tcMar>
          </w:tcPr>
          <w:p>
            <w:r>
              <w:rPr>
                <w:sz w:val="19"/>
              </w:rPr>
              <w:t>Per-field/edge-type override of the global default decay rate — a tight containment edge and a loose reference edge probably shouldn't decay identically</w:t>
            </w:r>
          </w:p>
        </w:tc>
        <w:tc>
          <w:tcPr>
            <w:tcW w:type="dxa" w:w="1872"/>
            <w:tcMar>
              <w:top w:w="80" w:type="dxa"/>
              <w:left w:w="80" w:type="dxa"/>
              <w:bottom w:w="80" w:type="dxa"/>
              <w:right w:w="80" w:type="dxa"/>
            </w:tcMar>
          </w:tcPr>
          <w:p>
            <w:r>
              <w:rPr>
                <w:sz w:val="19"/>
              </w:rPr>
              <w:t>ToDo — not Phase 0</w:t>
            </w:r>
          </w:p>
        </w:tc>
      </w:tr>
      <w:tr>
        <w:tc>
          <w:tcPr>
            <w:tcW w:type="dxa" w:w="3744"/>
            <w:tcMar>
              <w:top w:w="80" w:type="dxa"/>
              <w:left w:w="80" w:type="dxa"/>
              <w:bottom w:w="80" w:type="dxa"/>
              <w:right w:w="80" w:type="dxa"/>
            </w:tcMar>
          </w:tcPr>
          <w:p>
            <w:r>
              <w:rPr>
                <w:sz w:val="19"/>
              </w:rPr>
              <w:t>@Summary(maxStack = N) / @SummaryStacking(...)</w:t>
            </w:r>
          </w:p>
        </w:tc>
        <w:tc>
          <w:tcPr>
            <w:tcW w:type="dxa" w:w="4896"/>
            <w:tcMar>
              <w:top w:w="80" w:type="dxa"/>
              <w:left w:w="80" w:type="dxa"/>
              <w:bottom w:w="80" w:type="dxa"/>
              <w:right w:w="80" w:type="dxa"/>
            </w:tcMar>
          </w:tcPr>
          <w:p>
            <w:r>
              <w:rPr>
                <w:sz w:val="19"/>
              </w:rPr>
              <w:t>Caps how many occurrences of a repeatedly-referenced node stack at full weight before diminishing returns apply — the fan-in/hub dampening control named above</w:t>
            </w:r>
          </w:p>
        </w:tc>
        <w:tc>
          <w:tcPr>
            <w:tcW w:type="dxa" w:w="1872"/>
            <w:tcMar>
              <w:top w:w="80" w:type="dxa"/>
              <w:left w:w="80" w:type="dxa"/>
              <w:bottom w:w="80" w:type="dxa"/>
              <w:right w:w="80" w:type="dxa"/>
            </w:tcMar>
          </w:tcPr>
          <w:p>
            <w:r>
              <w:rPr>
                <w:sz w:val="19"/>
              </w:rPr>
              <w:t>ToDo — not Phase 0</w:t>
            </w:r>
          </w:p>
        </w:tc>
      </w:tr>
      <w:tr>
        <w:tc>
          <w:tcPr>
            <w:tcW w:type="dxa" w:w="3744"/>
            <w:tcMar>
              <w:top w:w="80" w:type="dxa"/>
              <w:left w:w="80" w:type="dxa"/>
              <w:bottom w:w="80" w:type="dxa"/>
              <w:right w:w="80" w:type="dxa"/>
            </w:tcMar>
          </w:tcPr>
          <w:p>
            <w:r>
              <w:rPr>
                <w:sz w:val="19"/>
              </w:rPr>
              <w:t>@Summary(maxDepth = N)</w:t>
            </w:r>
          </w:p>
        </w:tc>
        <w:tc>
          <w:tcPr>
            <w:tcW w:type="dxa" w:w="4896"/>
            <w:tcMar>
              <w:top w:w="80" w:type="dxa"/>
              <w:left w:w="80" w:type="dxa"/>
              <w:bottom w:w="80" w:type="dxa"/>
              <w:right w:w="80" w:type="dxa"/>
            </w:tcMar>
          </w:tcPr>
          <w:p>
            <w:r>
              <w:rPr>
                <w:sz w:val="19"/>
              </w:rPr>
              <w:t>Hard cutoff distinct from decay's asymptotic falloff — decay alone never truly reaches zero, this bounds traversal explicitly for large graphs where that matters for cost, not just semantics</w:t>
            </w:r>
          </w:p>
        </w:tc>
        <w:tc>
          <w:tcPr>
            <w:tcW w:type="dxa" w:w="1872"/>
            <w:tcMar>
              <w:top w:w="80" w:type="dxa"/>
              <w:left w:w="80" w:type="dxa"/>
              <w:bottom w:w="80" w:type="dxa"/>
              <w:right w:w="80" w:type="dxa"/>
            </w:tcMar>
          </w:tcPr>
          <w:p>
            <w:r>
              <w:rPr>
                <w:sz w:val="19"/>
              </w:rPr>
              <w:t>ToDo — not Phase 0</w:t>
            </w:r>
          </w:p>
        </w:tc>
      </w:tr>
      <w:tr>
        <w:tc>
          <w:tcPr>
            <w:tcW w:type="dxa" w:w="3744"/>
            <w:tcMar>
              <w:top w:w="80" w:type="dxa"/>
              <w:left w:w="80" w:type="dxa"/>
              <w:bottom w:w="80" w:type="dxa"/>
              <w:right w:w="80" w:type="dxa"/>
            </w:tcMar>
          </w:tcPr>
          <w:p>
            <w:r>
              <w:rPr>
                <w:sz w:val="19"/>
              </w:rPr>
              <w:t>@Summary(aggregation = MEAN | MAX | ATTENTION)</w:t>
            </w:r>
          </w:p>
        </w:tc>
        <w:tc>
          <w:tcPr>
            <w:tcW w:type="dxa" w:w="4896"/>
            <w:tcMar>
              <w:top w:w="80" w:type="dxa"/>
              <w:left w:w="80" w:type="dxa"/>
              <w:bottom w:w="80" w:type="dxa"/>
              <w:right w:w="80" w:type="dxa"/>
            </w:tcMar>
          </w:tcPr>
          <w:p>
            <w:r>
              <w:rPr>
                <w:sz w:val="19"/>
              </w:rPr>
              <w:t>Pluggable combination function beyond weighted-mean — e.g. MAX for a “worst-case contained risk” field where the average would wash out a single extreme signal</w:t>
            </w:r>
          </w:p>
        </w:tc>
        <w:tc>
          <w:tcPr>
            <w:tcW w:type="dxa" w:w="1872"/>
            <w:tcMar>
              <w:top w:w="80" w:type="dxa"/>
              <w:left w:w="80" w:type="dxa"/>
              <w:bottom w:w="80" w:type="dxa"/>
              <w:right w:w="80" w:type="dxa"/>
            </w:tcMar>
          </w:tcPr>
          <w:p>
            <w:r>
              <w:rPr>
                <w:sz w:val="19"/>
              </w:rPr>
              <w:t>ToDo — not Phase 0</w:t>
            </w:r>
          </w:p>
        </w:tc>
      </w:tr>
      <w:tr>
        <w:tc>
          <w:tcPr>
            <w:tcW w:type="dxa" w:w="3744"/>
            <w:tcMar>
              <w:top w:w="80" w:type="dxa"/>
              <w:left w:w="80" w:type="dxa"/>
              <w:bottom w:w="80" w:type="dxa"/>
              <w:right w:w="80" w:type="dxa"/>
            </w:tcMar>
          </w:tcPr>
          <w:p>
            <w:r>
              <w:rPr>
                <w:sz w:val="19"/>
              </w:rPr>
              <w:t>@Summary(edgeKind = OWNERSHIP | REFERENCE | AGGREGATION)</w:t>
            </w:r>
          </w:p>
        </w:tc>
        <w:tc>
          <w:tcPr>
            <w:tcW w:type="dxa" w:w="4896"/>
            <w:tcMar>
              <w:top w:w="80" w:type="dxa"/>
              <w:left w:w="80" w:type="dxa"/>
              <w:bottom w:w="80" w:type="dxa"/>
              <w:right w:w="80" w:type="dxa"/>
            </w:tcMar>
          </w:tcPr>
          <w:p>
            <w:r>
              <w:rPr>
                <w:sz w:val="19"/>
              </w:rPr>
              <w:t>Names the relationship semantically so a future decay-rate policy can be configured centrally per edge kind, instead of repeated ad hoc on every field</w:t>
            </w:r>
          </w:p>
        </w:tc>
        <w:tc>
          <w:tcPr>
            <w:tcW w:type="dxa" w:w="1872"/>
            <w:tcMar>
              <w:top w:w="80" w:type="dxa"/>
              <w:left w:w="80" w:type="dxa"/>
              <w:bottom w:w="80" w:type="dxa"/>
              <w:right w:w="80" w:type="dxa"/>
            </w:tcMar>
          </w:tcPr>
          <w:p>
            <w:r>
              <w:rPr>
                <w:sz w:val="19"/>
              </w:rPr>
              <w:t>ToDo — not Phase 0</w:t>
            </w:r>
          </w:p>
        </w:tc>
      </w:tr>
    </w:tbl>
    <w:p>
      <w:pPr>
        <w:spacing w:after="160"/>
      </w:pPr>
      <w:r>
        <w:rPr>
          <w:b w:val="0"/>
          <w:i w:val="0"/>
        </w:rPr>
        <w:t>None of these are required for the Golden Contract in §9.1 — the fixed global decay constant is sufficient for a first, functionally-complete Phase 0. They're recorded here because the reviewer's objection was correct: leaving them entirely unspecified would mean “reachable” still isn't a real answer. Naming them as proposed, not committing to them as scope, keeps that distinction honest.</w:t>
      </w:r>
    </w:p>
    <w:p>
      <w:pPr>
        <w:pStyle w:val="Heading2"/>
      </w:pPr>
      <w:r>
        <w:t>6.4 Querying an Object for Sub-Graphs</w:t>
      </w:r>
    </w:p>
    <w:p>
      <w:pPr>
        <w:spacing w:after="160"/>
      </w:pPr>
      <w:r>
        <w:rPr>
          <w:b w:val="0"/>
          <w:i w:val="0"/>
        </w:rPr>
        <w:t>query() searches the reachable graph from a JavAIVectorizable instance for objects of a given type, ranked by similarity to a reference vector. The depth parameter is optional; left unspecified, traversal descends until it hits a loop (already-visited node, using the same cycle-safe walk as the back-edge propagation in §4.3) or a leaf with nothing left to reach:</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Comment</w:t>
            </w:r>
            <w:r>
              <w:rPr>
                <w:rFonts w:ascii="Consolas" w:hAnsi="Consolas"/>
                <w:color w:val="D4D4D4"/>
                <w:sz w:val="19"/>
              </w:rPr>
              <w:t>&gt; allComments =</w:t>
            </w:r>
          </w:p>
          <w:p>
            <w:pPr>
              <w:spacing w:before="0" w:after="0" w:line="240" w:lineRule="auto"/>
            </w:pPr>
            <w:r>
              <w:rPr>
                <w:rFonts w:ascii="Consolas" w:hAnsi="Consolas"/>
                <w:color w:val="D4D4D4"/>
                <w:sz w:val="19"/>
              </w:rPr>
              <w:t xml:space="preserve">    zeroDay.</w:t>
            </w:r>
            <w:r>
              <w:rPr>
                <w:rFonts w:ascii="Consolas" w:hAnsi="Consolas"/>
                <w:color w:val="DCDCAA"/>
                <w:sz w:val="19"/>
              </w:rPr>
              <w:t>query</w:t>
            </w:r>
            <w:r>
              <w:rPr>
                <w:rFonts w:ascii="Consolas" w:hAnsi="Consolas"/>
                <w:color w:val="D4D4D4"/>
                <w:sz w:val="19"/>
              </w:rPr>
              <w:t>(zeroDay.</w:t>
            </w:r>
            <w:r>
              <w:rPr>
                <w:rFonts w:ascii="Consolas" w:hAnsi="Consolas"/>
                <w:color w:val="DCDCAA"/>
                <w:sz w:val="19"/>
              </w:rPr>
              <w:t>bodyVector</w:t>
            </w:r>
            <w:r>
              <w:rPr>
                <w:rFonts w:ascii="Consolas" w:hAnsi="Consolas"/>
                <w:color w:val="D4D4D4"/>
                <w:sz w:val="19"/>
              </w:rPr>
              <w:t xml:space="preserve">(), </w:t>
            </w:r>
            <w:r>
              <w:rPr>
                <w:rFonts w:ascii="Consolas" w:hAnsi="Consolas"/>
                <w:color w:val="4EC9C0"/>
                <w:sz w:val="19"/>
              </w:rPr>
              <w:t>Comment</w:t>
            </w:r>
            <w:r>
              <w:rPr>
                <w:rFonts w:ascii="Consolas" w:hAnsi="Consolas"/>
                <w:color w:val="D4D4D4"/>
                <w:sz w:val="19"/>
              </w:rPr>
              <w:t>.</w:t>
            </w:r>
            <w:r>
              <w:rPr>
                <w:rFonts w:ascii="Consolas" w:hAnsi="Consolas"/>
                <w:color w:val="569CD6"/>
                <w:sz w:val="19"/>
              </w:rPr>
              <w:t>class</w:t>
            </w:r>
            <w:r>
              <w:rPr>
                <w:rFonts w:ascii="Consolas" w:hAnsi="Consolas"/>
                <w:color w:val="D4D4D4"/>
                <w:sz w:val="19"/>
              </w:rPr>
              <w:t xml:space="preserve">);          </w:t>
            </w:r>
            <w:r>
              <w:rPr>
                <w:rFonts w:ascii="Consolas" w:hAnsi="Consolas"/>
                <w:i/>
                <w:color w:val="6A9955"/>
                <w:sz w:val="19"/>
              </w:rPr>
              <w:t>// default: descend until loop or leaf</w:t>
            </w:r>
          </w:p>
          <w:p>
            <w:pPr>
              <w:spacing w:before="0" w:after="0" w:line="240" w:lineRule="auto"/>
            </w:pPr>
            <w:r>
              <w:rPr>
                <w:sz w:val="19"/>
              </w:rPr>
              <w:t xml:space="preserve"> </w:t>
            </w:r>
          </w:p>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Comment</w:t>
            </w:r>
            <w:r>
              <w:rPr>
                <w:rFonts w:ascii="Consolas" w:hAnsi="Consolas"/>
                <w:color w:val="D4D4D4"/>
                <w:sz w:val="19"/>
              </w:rPr>
              <w:t>&gt; directComments =</w:t>
            </w:r>
          </w:p>
          <w:p>
            <w:pPr>
              <w:spacing w:before="0" w:after="0" w:line="240" w:lineRule="auto"/>
            </w:pPr>
            <w:r>
              <w:rPr>
                <w:rFonts w:ascii="Consolas" w:hAnsi="Consolas"/>
                <w:color w:val="D4D4D4"/>
                <w:sz w:val="19"/>
              </w:rPr>
              <w:t xml:space="preserve">    zeroDay.</w:t>
            </w:r>
            <w:r>
              <w:rPr>
                <w:rFonts w:ascii="Consolas" w:hAnsi="Consolas"/>
                <w:color w:val="DCDCAA"/>
                <w:sz w:val="19"/>
              </w:rPr>
              <w:t>query</w:t>
            </w:r>
            <w:r>
              <w:rPr>
                <w:rFonts w:ascii="Consolas" w:hAnsi="Consolas"/>
                <w:color w:val="D4D4D4"/>
                <w:sz w:val="19"/>
              </w:rPr>
              <w:t>(zeroDay.</w:t>
            </w:r>
            <w:r>
              <w:rPr>
                <w:rFonts w:ascii="Consolas" w:hAnsi="Consolas"/>
                <w:color w:val="DCDCAA"/>
                <w:sz w:val="19"/>
              </w:rPr>
              <w:t>bodyVector</w:t>
            </w:r>
            <w:r>
              <w:rPr>
                <w:rFonts w:ascii="Consolas" w:hAnsi="Consolas"/>
                <w:color w:val="D4D4D4"/>
                <w:sz w:val="19"/>
              </w:rPr>
              <w:t xml:space="preserve">(), </w:t>
            </w:r>
            <w:r>
              <w:rPr>
                <w:rFonts w:ascii="Consolas" w:hAnsi="Consolas"/>
                <w:color w:val="4EC9C0"/>
                <w:sz w:val="19"/>
              </w:rPr>
              <w:t>Comment</w:t>
            </w:r>
            <w:r>
              <w:rPr>
                <w:rFonts w:ascii="Consolas" w:hAnsi="Consolas"/>
                <w:color w:val="D4D4D4"/>
                <w:sz w:val="19"/>
              </w:rPr>
              <w:t>.</w:t>
            </w:r>
            <w:r>
              <w:rPr>
                <w:rFonts w:ascii="Consolas" w:hAnsi="Consolas"/>
                <w:color w:val="569CD6"/>
                <w:sz w:val="19"/>
              </w:rPr>
              <w:t>class</w:t>
            </w:r>
            <w:r>
              <w:rPr>
                <w:rFonts w:ascii="Consolas" w:hAnsi="Consolas"/>
                <w:color w:val="D4D4D4"/>
                <w:sz w:val="19"/>
              </w:rPr>
              <w:t xml:space="preserve">, </w:t>
            </w:r>
            <w:r>
              <w:rPr>
                <w:rFonts w:ascii="Consolas" w:hAnsi="Consolas"/>
                <w:color w:val="B5CEA8"/>
                <w:sz w:val="19"/>
              </w:rPr>
              <w:t>1</w:t>
            </w:r>
            <w:r>
              <w:rPr>
                <w:rFonts w:ascii="Consolas" w:hAnsi="Consolas"/>
                <w:color w:val="D4D4D4"/>
                <w:sz w:val="19"/>
              </w:rPr>
              <w:t xml:space="preserve">);       </w:t>
            </w:r>
            <w:r>
              <w:rPr>
                <w:rFonts w:ascii="Consolas" w:hAnsi="Consolas"/>
                <w:i/>
                <w:color w:val="6A9955"/>
                <w:sz w:val="19"/>
              </w:rPr>
              <w:t>// only comments attached directly to</w:t>
            </w:r>
          </w:p>
          <w:p>
            <w:pPr>
              <w:spacing w:before="0" w:after="0" w:line="240" w:lineRule="auto"/>
            </w:pPr>
            <w:r>
              <w:rPr>
                <w:rFonts w:ascii="Consolas" w:hAnsi="Consolas"/>
                <w:color w:val="D4D4D4"/>
                <w:sz w:val="19"/>
              </w:rPr>
              <w:t xml:space="preserve">                                                                   </w:t>
            </w:r>
            <w:r>
              <w:rPr>
                <w:rFonts w:ascii="Consolas" w:hAnsi="Consolas"/>
                <w:i/>
                <w:color w:val="6A9955"/>
                <w:sz w:val="19"/>
              </w:rPr>
              <w:t>// zeroDay, not comments on articles</w:t>
            </w:r>
          </w:p>
          <w:p>
            <w:pPr>
              <w:spacing w:before="0" w:after="0" w:line="240" w:lineRule="auto"/>
            </w:pPr>
            <w:r>
              <w:rPr>
                <w:rFonts w:ascii="Consolas" w:hAnsi="Consolas"/>
                <w:color w:val="D4D4D4"/>
                <w:sz w:val="19"/>
              </w:rPr>
              <w:t xml:space="preserve">                                                                   </w:t>
            </w:r>
            <w:r>
              <w:rPr>
                <w:rFonts w:ascii="Consolas" w:hAnsi="Consolas"/>
                <w:i/>
                <w:color w:val="6A9955"/>
                <w:sz w:val="19"/>
              </w:rPr>
              <w:t>// zeroDay cites</w:t>
            </w:r>
          </w:p>
        </w:tc>
      </w:tr>
    </w:tbl>
    <w:p>
      <w:pPr>
        <w:spacing w:before="80"/>
        <w:jc w:val="center"/>
      </w:pPr>
      <w:r>
        <w:rPr>
          <w:i/>
          <w:color w:val="555555"/>
          <w:sz w:val="19"/>
        </w:rPr>
        <w:t>Example 10. Type-filtered subgraph query, unbounded and depth-limited.</w:t>
      </w:r>
    </w:p>
    <w:p>
      <w:pPr>
        <w:spacing w:after="160"/>
      </w:pPr>
      <w:r>
        <w:rPr>
          <w:b w:val="0"/>
          <w:i w:val="0"/>
        </w:rPr>
        <w:t>Which field supplies the reference vector changes what “similar” means, the same way it did in §6.3 — this is a usage pattern, not a separate API:</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Comment</w:t>
            </w:r>
            <w:r>
              <w:rPr>
                <w:rFonts w:ascii="Consolas" w:hAnsi="Consolas"/>
                <w:color w:val="D4D4D4"/>
                <w:sz w:val="19"/>
              </w:rPr>
              <w:t>&gt; aboutTheWriteup  = zeroDay.</w:t>
            </w:r>
            <w:r>
              <w:rPr>
                <w:rFonts w:ascii="Consolas" w:hAnsi="Consolas"/>
                <w:color w:val="DCDCAA"/>
                <w:sz w:val="19"/>
              </w:rPr>
              <w:t>query</w:t>
            </w:r>
            <w:r>
              <w:rPr>
                <w:rFonts w:ascii="Consolas" w:hAnsi="Consolas"/>
                <w:color w:val="D4D4D4"/>
                <w:sz w:val="19"/>
              </w:rPr>
              <w:t>(zeroDay.</w:t>
            </w:r>
            <w:r>
              <w:rPr>
                <w:rFonts w:ascii="Consolas" w:hAnsi="Consolas"/>
                <w:color w:val="DCDCAA"/>
                <w:sz w:val="19"/>
              </w:rPr>
              <w:t>bodyVector</w:t>
            </w:r>
            <w:r>
              <w:rPr>
                <w:rFonts w:ascii="Consolas" w:hAnsi="Consolas"/>
                <w:color w:val="D4D4D4"/>
                <w:sz w:val="19"/>
              </w:rPr>
              <w:t xml:space="preserve">(),  </w:t>
            </w:r>
            <w:r>
              <w:rPr>
                <w:rFonts w:ascii="Consolas" w:hAnsi="Consolas"/>
                <w:color w:val="4EC9C0"/>
                <w:sz w:val="19"/>
              </w:rPr>
              <w:t>Comment</w:t>
            </w:r>
            <w:r>
              <w:rPr>
                <w:rFonts w:ascii="Consolas" w:hAnsi="Consolas"/>
                <w:color w:val="D4D4D4"/>
                <w:sz w:val="19"/>
              </w:rPr>
              <w:t>.</w:t>
            </w:r>
            <w:r>
              <w:rPr>
                <w:rFonts w:ascii="Consolas" w:hAnsi="Consolas"/>
                <w:color w:val="569CD6"/>
                <w:sz w:val="19"/>
              </w:rPr>
              <w:t>class</w:t>
            </w:r>
            <w:r>
              <w:rPr>
                <w:rFonts w:ascii="Consolas" w:hAnsi="Consolas"/>
                <w:color w:val="D4D4D4"/>
                <w:sz w:val="19"/>
              </w:rPr>
              <w:t xml:space="preserve">);  </w:t>
            </w:r>
            <w:r>
              <w:rPr>
                <w:rFonts w:ascii="Consolas" w:hAnsi="Consolas"/>
                <w:i/>
                <w:color w:val="6A9955"/>
                <w:sz w:val="19"/>
              </w:rPr>
              <w:t>// matches the</w:t>
            </w:r>
          </w:p>
          <w:p>
            <w:pPr>
              <w:spacing w:before="0" w:after="0" w:line="240" w:lineRule="auto"/>
            </w:pPr>
            <w:r>
              <w:rPr>
                <w:rFonts w:ascii="Consolas" w:hAnsi="Consolas"/>
                <w:color w:val="D4D4D4"/>
                <w:sz w:val="19"/>
              </w:rPr>
              <w:t xml:space="preserve">                                                                                             </w:t>
            </w:r>
            <w:r>
              <w:rPr>
                <w:rFonts w:ascii="Consolas" w:hAnsi="Consolas"/>
                <w:i/>
                <w:color w:val="6A9955"/>
                <w:sz w:val="19"/>
              </w:rPr>
              <w:t>// technical content</w:t>
            </w:r>
          </w:p>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Comment</w:t>
            </w:r>
            <w:r>
              <w:rPr>
                <w:rFonts w:ascii="Consolas" w:hAnsi="Consolas"/>
                <w:color w:val="D4D4D4"/>
                <w:sz w:val="19"/>
              </w:rPr>
              <w:t>&gt; aboutTheHeadline = zeroDay.</w:t>
            </w:r>
            <w:r>
              <w:rPr>
                <w:rFonts w:ascii="Consolas" w:hAnsi="Consolas"/>
                <w:color w:val="DCDCAA"/>
                <w:sz w:val="19"/>
              </w:rPr>
              <w:t>query</w:t>
            </w:r>
            <w:r>
              <w:rPr>
                <w:rFonts w:ascii="Consolas" w:hAnsi="Consolas"/>
                <w:color w:val="D4D4D4"/>
                <w:sz w:val="19"/>
              </w:rPr>
              <w:t>(zeroDay.</w:t>
            </w:r>
            <w:r>
              <w:rPr>
                <w:rFonts w:ascii="Consolas" w:hAnsi="Consolas"/>
                <w:color w:val="DCDCAA"/>
                <w:sz w:val="19"/>
              </w:rPr>
              <w:t>titleVector</w:t>
            </w:r>
            <w:r>
              <w:rPr>
                <w:rFonts w:ascii="Consolas" w:hAnsi="Consolas"/>
                <w:color w:val="D4D4D4"/>
                <w:sz w:val="19"/>
              </w:rPr>
              <w:t xml:space="preserve">(), </w:t>
            </w:r>
            <w:r>
              <w:rPr>
                <w:rFonts w:ascii="Consolas" w:hAnsi="Consolas"/>
                <w:color w:val="4EC9C0"/>
                <w:sz w:val="19"/>
              </w:rPr>
              <w:t>Comment</w:t>
            </w:r>
            <w:r>
              <w:rPr>
                <w:rFonts w:ascii="Consolas" w:hAnsi="Consolas"/>
                <w:color w:val="D4D4D4"/>
                <w:sz w:val="19"/>
              </w:rPr>
              <w:t>.</w:t>
            </w:r>
            <w:r>
              <w:rPr>
                <w:rFonts w:ascii="Consolas" w:hAnsi="Consolas"/>
                <w:color w:val="569CD6"/>
                <w:sz w:val="19"/>
              </w:rPr>
              <w:t>class</w:t>
            </w:r>
            <w:r>
              <w:rPr>
                <w:rFonts w:ascii="Consolas" w:hAnsi="Consolas"/>
                <w:color w:val="D4D4D4"/>
                <w:sz w:val="19"/>
              </w:rPr>
              <w:t xml:space="preserve">);  </w:t>
            </w:r>
            <w:r>
              <w:rPr>
                <w:rFonts w:ascii="Consolas" w:hAnsi="Consolas"/>
                <w:i/>
                <w:color w:val="6A9955"/>
                <w:sz w:val="19"/>
              </w:rPr>
              <w:t>// matches just</w:t>
            </w:r>
          </w:p>
          <w:p>
            <w:pPr>
              <w:spacing w:before="0" w:after="0" w:line="240" w:lineRule="auto"/>
            </w:pPr>
            <w:r>
              <w:rPr>
                <w:rFonts w:ascii="Consolas" w:hAnsi="Consolas"/>
                <w:color w:val="D4D4D4"/>
                <w:sz w:val="19"/>
              </w:rPr>
              <w:t xml:space="preserve">                                                                                             </w:t>
            </w:r>
            <w:r>
              <w:rPr>
                <w:rFonts w:ascii="Consolas" w:hAnsi="Consolas"/>
                <w:i/>
                <w:color w:val="6A9955"/>
                <w:sz w:val="19"/>
              </w:rPr>
              <w:t>// the framing</w:t>
            </w:r>
          </w:p>
        </w:tc>
      </w:tr>
    </w:tbl>
    <w:p>
      <w:pPr>
        <w:spacing w:before="80"/>
        <w:jc w:val="center"/>
      </w:pPr>
      <w:r>
        <w:rPr>
          <w:i/>
          <w:color w:val="555555"/>
          <w:sz w:val="19"/>
        </w:rPr>
        <w:t>Example 11. Field-based subgraph query — pass a field vector instead of vector() or summaryVector().</w:t>
      </w:r>
    </w:p>
    <w:p>
      <w:pPr>
        <w:pStyle w:val="Heading2"/>
      </w:pPr>
      <w:r>
        <w:t>6.5 KnowledgeGraph in Practice</w:t>
      </w:r>
    </w:p>
    <w:p>
      <w:pPr>
        <w:spacing w:after="160"/>
      </w:pPr>
      <w:r>
        <w:rPr>
          <w:b w:val="0"/>
          <w:i w:val="0"/>
        </w:rPr>
        <w:t>query() works on any JavAIVectorizable object without any collection at all — it just walks whatever references and containment already exist. KnowledgeGraph is for when the edges themselves carry meaning you want to query on (a “cites” relationship, in this case), and when you want multi-hop results that include the edges, not just the nodes at the far end:</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KnowledgeGraph</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 xml:space="preserve">&gt; library = </w:t>
            </w:r>
            <w:r>
              <w:rPr>
                <w:rFonts w:ascii="Consolas" w:hAnsi="Consolas"/>
                <w:color w:val="569CD6"/>
                <w:sz w:val="19"/>
              </w:rPr>
              <w:t>new</w:t>
            </w:r>
            <w:r>
              <w:rPr>
                <w:rFonts w:ascii="Consolas" w:hAnsi="Consolas"/>
                <w:color w:val="D4D4D4"/>
                <w:sz w:val="19"/>
              </w:rPr>
              <w:t xml:space="preserve"> </w:t>
            </w:r>
            <w:r>
              <w:rPr>
                <w:rFonts w:ascii="Consolas" w:hAnsi="Consolas"/>
                <w:color w:val="4EC9C0"/>
                <w:sz w:val="19"/>
              </w:rPr>
              <w:t>KnowledgeGraph</w:t>
            </w:r>
            <w:r>
              <w:rPr>
                <w:rFonts w:ascii="Consolas" w:hAnsi="Consolas"/>
                <w:color w:val="D4D4D4"/>
                <w:sz w:val="19"/>
              </w:rPr>
              <w:t>&lt;&gt;();</w:t>
            </w:r>
          </w:p>
          <w:p>
            <w:pPr>
              <w:spacing w:before="0" w:after="0" w:line="240" w:lineRule="auto"/>
            </w:pPr>
            <w:r>
              <w:rPr>
                <w:rFonts w:ascii="Consolas" w:hAnsi="Consolas"/>
                <w:color w:val="D4D4D4"/>
                <w:sz w:val="19"/>
              </w:rPr>
              <w:t>library.</w:t>
            </w:r>
            <w:r>
              <w:rPr>
                <w:rFonts w:ascii="Consolas" w:hAnsi="Consolas"/>
                <w:color w:val="DCDCAA"/>
                <w:sz w:val="19"/>
              </w:rPr>
              <w:t>addNode</w:t>
            </w:r>
            <w:r>
              <w:rPr>
                <w:rFonts w:ascii="Consolas" w:hAnsi="Consolas"/>
                <w:color w:val="D4D4D4"/>
                <w:sz w:val="19"/>
              </w:rPr>
              <w:t>(zeroDay);</w:t>
            </w:r>
          </w:p>
          <w:p>
            <w:pPr>
              <w:spacing w:before="0" w:after="0" w:line="240" w:lineRule="auto"/>
            </w:pPr>
            <w:r>
              <w:rPr>
                <w:rFonts w:ascii="Consolas" w:hAnsi="Consolas"/>
                <w:color w:val="D4D4D4"/>
                <w:sz w:val="19"/>
              </w:rPr>
              <w:t>library.</w:t>
            </w:r>
            <w:r>
              <w:rPr>
                <w:rFonts w:ascii="Consolas" w:hAnsi="Consolas"/>
                <w:color w:val="DCDCAA"/>
                <w:sz w:val="19"/>
              </w:rPr>
              <w:t>addNode</w:t>
            </w:r>
            <w:r>
              <w:rPr>
                <w:rFonts w:ascii="Consolas" w:hAnsi="Consolas"/>
                <w:color w:val="D4D4D4"/>
                <w:sz w:val="19"/>
              </w:rPr>
              <w:t>(vendorPatch);</w:t>
            </w:r>
          </w:p>
          <w:p>
            <w:pPr>
              <w:spacing w:before="0" w:after="0" w:line="240" w:lineRule="auto"/>
            </w:pPr>
            <w:r>
              <w:rPr>
                <w:rFonts w:ascii="Consolas" w:hAnsi="Consolas"/>
                <w:color w:val="D4D4D4"/>
                <w:sz w:val="19"/>
              </w:rPr>
              <w:t>library.</w:t>
            </w:r>
            <w:r>
              <w:rPr>
                <w:rFonts w:ascii="Consolas" w:hAnsi="Consolas"/>
                <w:color w:val="DCDCAA"/>
                <w:sz w:val="19"/>
              </w:rPr>
              <w:t>addEdge</w:t>
            </w:r>
            <w:r>
              <w:rPr>
                <w:rFonts w:ascii="Consolas" w:hAnsi="Consolas"/>
                <w:color w:val="D4D4D4"/>
                <w:sz w:val="19"/>
              </w:rPr>
              <w:t xml:space="preserve">(zeroDay, vendorPatch, </w:t>
            </w:r>
            <w:r>
              <w:rPr>
                <w:rFonts w:ascii="Consolas" w:hAnsi="Consolas"/>
                <w:color w:val="569CD6"/>
                <w:sz w:val="19"/>
              </w:rPr>
              <w:t>new</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w:t>
            </w:r>
            <w:r>
              <w:rPr>
                <w:rFonts w:ascii="Consolas" w:hAnsi="Consolas"/>
                <w:color w:val="CE9178"/>
                <w:sz w:val="19"/>
              </w:rPr>
              <w:t>"cites"</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SubgraphResult</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&gt; citationChain =</w:t>
            </w:r>
          </w:p>
          <w:p>
            <w:pPr>
              <w:spacing w:before="0" w:after="0" w:line="240" w:lineRule="auto"/>
            </w:pPr>
            <w:r>
              <w:rPr>
                <w:rFonts w:ascii="Consolas" w:hAnsi="Consolas"/>
                <w:color w:val="D4D4D4"/>
                <w:sz w:val="19"/>
              </w:rPr>
              <w:t xml:space="preserve">    library.</w:t>
            </w:r>
            <w:r>
              <w:rPr>
                <w:rFonts w:ascii="Consolas" w:hAnsi="Consolas"/>
                <w:color w:val="DCDCAA"/>
                <w:sz w:val="19"/>
              </w:rPr>
              <w:t>nearestSubgraph</w:t>
            </w:r>
            <w:r>
              <w:rPr>
                <w:rFonts w:ascii="Consolas" w:hAnsi="Consolas"/>
                <w:color w:val="D4D4D4"/>
                <w:sz w:val="19"/>
              </w:rPr>
              <w:t>(zeroDay.</w:t>
            </w:r>
            <w:r>
              <w:rPr>
                <w:rFonts w:ascii="Consolas" w:hAnsi="Consolas"/>
                <w:color w:val="DCDCAA"/>
                <w:sz w:val="19"/>
              </w:rPr>
              <w:t>vector</w:t>
            </w:r>
            <w:r>
              <w:rPr>
                <w:rFonts w:ascii="Consolas" w:hAnsi="Consolas"/>
                <w:color w:val="D4D4D4"/>
                <w:sz w:val="19"/>
              </w:rPr>
              <w:t xml:space="preserve">(), </w:t>
            </w:r>
            <w:r>
              <w:rPr>
                <w:rFonts w:ascii="Consolas" w:hAnsi="Consolas"/>
                <w:color w:val="B5CEA8"/>
                <w:sz w:val="19"/>
              </w:rPr>
              <w:t>10</w:t>
            </w:r>
            <w:r>
              <w:rPr>
                <w:rFonts w:ascii="Consolas" w:hAnsi="Consolas"/>
                <w:color w:val="D4D4D4"/>
                <w:sz w:val="19"/>
              </w:rPr>
              <w:t xml:space="preserve">, /* hops */ </w:t>
            </w:r>
            <w:r>
              <w:rPr>
                <w:rFonts w:ascii="Consolas" w:hAnsi="Consolas"/>
                <w:color w:val="B5CEA8"/>
                <w:sz w:val="19"/>
              </w:rPr>
              <w:t>2</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citationChain carries both the matching Articles AND the RelatesTo edges</w:t>
            </w:r>
          </w:p>
          <w:p>
            <w:pPr>
              <w:spacing w:before="0" w:after="0" w:line="240" w:lineRule="auto"/>
            </w:pPr>
            <w:r>
              <w:rPr>
                <w:rFonts w:ascii="Consolas" w:hAnsi="Consolas"/>
                <w:i/>
                <w:color w:val="6A9955"/>
                <w:sz w:val="19"/>
              </w:rPr>
              <w:t>// connecting them — query() above returns only the matching instances.</w:t>
            </w:r>
          </w:p>
        </w:tc>
      </w:tr>
    </w:tbl>
    <w:p>
      <w:pPr>
        <w:spacing w:before="80"/>
        <w:jc w:val="center"/>
      </w:pPr>
      <w:r>
        <w:rPr>
          <w:i/>
          <w:color w:val="555555"/>
          <w:sz w:val="19"/>
        </w:rPr>
        <w:t>Example 12. KnowledgeGraph.nearestSubgraph() — typed nodes and edges, not just bare instances.</w:t>
      </w:r>
    </w:p>
    <w:p>
      <w:pPr>
        <w:pStyle w:val="Heading2"/>
      </w:pPr>
      <w:r>
        <w:t>6.6 A JPA-Style Vector Query</w:t>
      </w:r>
    </w:p>
    <w:p>
      <w:pPr>
        <w:spacing w:after="160"/>
      </w:pPr>
      <w:r>
        <w:rPr>
          <w:b w:val="0"/>
          <w:i w:val="0"/>
        </w:rPr>
        <w:t>The in-memory examples above all query a live object graph. The same reference vectors work unchanged against a JavAIRepository, using the same derived-method-name convention Spring Data JPA developers already know, just with a vector parameter instead of a scalar one:</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CommentRepository</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JavAIRepository</w:t>
            </w:r>
            <w:r>
              <w:rPr>
                <w:rFonts w:ascii="Consolas" w:hAnsi="Consolas"/>
                <w:color w:val="D4D4D4"/>
                <w:sz w:val="19"/>
              </w:rPr>
              <w:t>&lt;</w:t>
            </w:r>
            <w:r>
              <w:rPr>
                <w:rFonts w:ascii="Consolas" w:hAnsi="Consolas"/>
                <w:color w:val="4EC9C0"/>
                <w:sz w:val="19"/>
              </w:rPr>
              <w:t>Comment</w:t>
            </w:r>
            <w:r>
              <w:rPr>
                <w:rFonts w:ascii="Consolas" w:hAnsi="Consolas"/>
                <w:color w:val="D4D4D4"/>
                <w:sz w:val="19"/>
              </w:rPr>
              <w:t>&gt; {</w:t>
            </w:r>
          </w:p>
          <w:p>
            <w:pPr>
              <w:spacing w:before="0" w:after="0" w:line="240" w:lineRule="auto"/>
            </w:pPr>
            <w:r>
              <w:rPr>
                <w:rFonts w:ascii="Consolas" w:hAnsi="Consolas"/>
                <w:color w:val="D4D4D4"/>
                <w:sz w:val="19"/>
              </w:rPr>
              <w:t xml:space="preserve">    </w:t>
            </w:r>
            <w:r>
              <w:rPr>
                <w:rFonts w:ascii="Consolas" w:hAnsi="Consolas"/>
                <w:color w:val="4EC9C0"/>
                <w:sz w:val="19"/>
              </w:rPr>
              <w:t>List</w:t>
            </w:r>
            <w:r>
              <w:rPr>
                <w:rFonts w:ascii="Consolas" w:hAnsi="Consolas"/>
                <w:color w:val="D4D4D4"/>
                <w:sz w:val="19"/>
              </w:rPr>
              <w:t>&lt;</w:t>
            </w:r>
            <w:r>
              <w:rPr>
                <w:rFonts w:ascii="Consolas" w:hAnsi="Consolas"/>
                <w:color w:val="4EC9C0"/>
                <w:sz w:val="19"/>
              </w:rPr>
              <w:t>Comment</w:t>
            </w:r>
            <w:r>
              <w:rPr>
                <w:rFonts w:ascii="Consolas" w:hAnsi="Consolas"/>
                <w:color w:val="D4D4D4"/>
                <w:sz w:val="19"/>
              </w:rPr>
              <w:t xml:space="preserve">&gt; </w:t>
            </w:r>
            <w:r>
              <w:rPr>
                <w:rFonts w:ascii="Consolas" w:hAnsi="Consolas"/>
                <w:color w:val="DCDCAA"/>
                <w:sz w:val="19"/>
              </w:rPr>
              <w:t>findNearestByBodyVector</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569CD6"/>
                <w:sz w:val="19"/>
              </w:rPr>
              <w:t>int</w:t>
            </w:r>
            <w:r>
              <w:rPr>
                <w:rFonts w:ascii="Consolas" w:hAnsi="Consolas"/>
                <w:color w:val="D4D4D4"/>
                <w:sz w:val="19"/>
              </w:rPr>
              <w:t xml:space="preserve"> limit);</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CommentRepository</w:t>
            </w:r>
            <w:r>
              <w:rPr>
                <w:rFonts w:ascii="Consolas" w:hAnsi="Consolas"/>
                <w:color w:val="D4D4D4"/>
                <w:sz w:val="19"/>
              </w:rPr>
              <w:t xml:space="preserve"> comments = </w:t>
            </w:r>
            <w:r>
              <w:rPr>
                <w:rFonts w:ascii="Consolas" w:hAnsi="Consolas"/>
                <w:color w:val="4EC9C0"/>
                <w:sz w:val="19"/>
              </w:rPr>
              <w:t>JavAIPI</w:t>
            </w:r>
            <w:r>
              <w:rPr>
                <w:rFonts w:ascii="Consolas" w:hAnsi="Consolas"/>
                <w:color w:val="D4D4D4"/>
                <w:sz w:val="19"/>
              </w:rPr>
              <w:t>.</w:t>
            </w:r>
            <w:r>
              <w:rPr>
                <w:rFonts w:ascii="Consolas" w:hAnsi="Consolas"/>
                <w:color w:val="DCDCAA"/>
                <w:sz w:val="19"/>
              </w:rPr>
              <w:t>repository</w:t>
            </w:r>
            <w:r>
              <w:rPr>
                <w:rFonts w:ascii="Consolas" w:hAnsi="Consolas"/>
                <w:color w:val="D4D4D4"/>
                <w:sz w:val="19"/>
              </w:rPr>
              <w:t>(</w:t>
            </w:r>
            <w:r>
              <w:rPr>
                <w:rFonts w:ascii="Consolas" w:hAnsi="Consolas"/>
                <w:color w:val="4EC9C0"/>
                <w:sz w:val="19"/>
              </w:rPr>
              <w:t>CommentRepository</w:t>
            </w:r>
            <w:r>
              <w:rPr>
                <w:rFonts w:ascii="Consolas" w:hAnsi="Consolas"/>
                <w:color w:val="D4D4D4"/>
                <w:sz w:val="19"/>
              </w:rPr>
              <w:t>.</w:t>
            </w:r>
            <w:r>
              <w:rPr>
                <w:rFonts w:ascii="Consolas" w:hAnsi="Consolas"/>
                <w:color w:val="569CD6"/>
                <w:sz w:val="19"/>
              </w:rPr>
              <w:t>class</w:t>
            </w:r>
            <w:r>
              <w:rPr>
                <w:rFonts w:ascii="Consolas" w:hAnsi="Consolas"/>
                <w:color w:val="D4D4D4"/>
                <w:sz w:val="19"/>
              </w:rPr>
              <w:t>);</w:t>
            </w:r>
          </w:p>
          <w:p>
            <w:pPr>
              <w:spacing w:before="0" w:after="0" w:line="240" w:lineRule="auto"/>
            </w:pPr>
            <w:r>
              <w:rPr>
                <w:rFonts w:ascii="Consolas" w:hAnsi="Consolas"/>
                <w:color w:val="4EC9C0"/>
                <w:sz w:val="19"/>
              </w:rPr>
              <w:t>List</w:t>
            </w:r>
            <w:r>
              <w:rPr>
                <w:rFonts w:ascii="Consolas" w:hAnsi="Consolas"/>
                <w:color w:val="D4D4D4"/>
                <w:sz w:val="19"/>
              </w:rPr>
              <w:t>&lt;</w:t>
            </w:r>
            <w:r>
              <w:rPr>
                <w:rFonts w:ascii="Consolas" w:hAnsi="Consolas"/>
                <w:color w:val="4EC9C0"/>
                <w:sz w:val="19"/>
              </w:rPr>
              <w:t>Comment</w:t>
            </w:r>
            <w:r>
              <w:rPr>
                <w:rFonts w:ascii="Consolas" w:hAnsi="Consolas"/>
                <w:color w:val="D4D4D4"/>
                <w:sz w:val="19"/>
              </w:rPr>
              <w:t>&gt; similar = comments.</w:t>
            </w:r>
            <w:r>
              <w:rPr>
                <w:rFonts w:ascii="Consolas" w:hAnsi="Consolas"/>
                <w:color w:val="DCDCAA"/>
                <w:sz w:val="19"/>
              </w:rPr>
              <w:t>findNearestByBodyVector</w:t>
            </w:r>
            <w:r>
              <w:rPr>
                <w:rFonts w:ascii="Consolas" w:hAnsi="Consolas"/>
                <w:color w:val="D4D4D4"/>
                <w:sz w:val="19"/>
              </w:rPr>
              <w:t>(zeroDay.</w:t>
            </w:r>
            <w:r>
              <w:rPr>
                <w:rFonts w:ascii="Consolas" w:hAnsi="Consolas"/>
                <w:color w:val="DCDCAA"/>
                <w:sz w:val="19"/>
              </w:rPr>
              <w:t>bodyVector</w:t>
            </w:r>
            <w:r>
              <w:rPr>
                <w:rFonts w:ascii="Consolas" w:hAnsi="Consolas"/>
                <w:color w:val="D4D4D4"/>
                <w:sz w:val="19"/>
              </w:rPr>
              <w:t xml:space="preserve">(), </w:t>
            </w:r>
            <w:r>
              <w:rPr>
                <w:rFonts w:ascii="Consolas" w:hAnsi="Consolas"/>
                <w:color w:val="B5CEA8"/>
                <w:sz w:val="19"/>
              </w:rPr>
              <w:t>25</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The Hibernate-based shim (§4.4) translates this to, e.g.:</w:t>
            </w:r>
          </w:p>
          <w:p>
            <w:pPr>
              <w:spacing w:before="0" w:after="0" w:line="240" w:lineRule="auto"/>
            </w:pPr>
            <w:r>
              <w:rPr>
                <w:rFonts w:ascii="Consolas" w:hAnsi="Consolas"/>
                <w:i/>
                <w:color w:val="6A9955"/>
                <w:sz w:val="19"/>
              </w:rPr>
              <w:t>//   SELECT * FROM comment ORDER BY body_vector &lt;=&gt; :ref LIMIT 25     -- pgvector</w:t>
            </w:r>
          </w:p>
          <w:p>
            <w:pPr>
              <w:spacing w:before="0" w:after="0" w:line="240" w:lineRule="auto"/>
            </w:pPr>
            <w:r>
              <w:rPr>
                <w:rFonts w:ascii="Consolas" w:hAnsi="Consolas"/>
                <w:i/>
                <w:color w:val="6A9955"/>
                <w:sz w:val="19"/>
              </w:rPr>
              <w:t>// or an equivalent Cypher vector-index query when javai.persistence.backend=neo4j.</w:t>
            </w:r>
          </w:p>
        </w:tc>
      </w:tr>
    </w:tbl>
    <w:p>
      <w:pPr>
        <w:spacing w:before="80"/>
        <w:jc w:val="center"/>
      </w:pPr>
      <w:r>
        <w:rPr>
          <w:i/>
          <w:color w:val="555555"/>
          <w:sz w:val="19"/>
        </w:rPr>
        <w:t>Example 13. JPA-style repository query, scoped to the whole persisted store, not one object's reachable graph.</w:t>
      </w:r>
    </w:p>
    <w:p>
      <w:pPr>
        <w:pStyle w:val="Heading2"/>
      </w:pPr>
      <w:r>
        <w:t>6.7 Which One Do I Reach For?</w:t>
      </w:r>
    </w:p>
    <w:tbl>
      <w:tblPr>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2E5C8A"/>
            <w:tcMar>
              <w:top w:w="80" w:type="dxa"/>
              <w:left w:w="80" w:type="dxa"/>
              <w:bottom w:w="80" w:type="dxa"/>
              <w:right w:w="80" w:type="dxa"/>
            </w:tcMar>
          </w:tcPr>
          <w:p>
            <w:r/>
            <w:r>
              <w:rPr>
                <w:b/>
                <w:color w:val="FFFFFF"/>
                <w:sz w:val="20"/>
              </w:rPr>
              <w:t>Tool</w:t>
            </w:r>
          </w:p>
        </w:tc>
        <w:tc>
          <w:tcPr>
            <w:tcW w:type="dxa" w:w="3456"/>
            <w:shd w:val="clear" w:color="auto" w:fill="2E5C8A"/>
            <w:tcMar>
              <w:top w:w="80" w:type="dxa"/>
              <w:left w:w="80" w:type="dxa"/>
              <w:bottom w:w="80" w:type="dxa"/>
              <w:right w:w="80" w:type="dxa"/>
            </w:tcMar>
          </w:tcPr>
          <w:p>
            <w:r/>
            <w:r>
              <w:rPr>
                <w:b/>
                <w:color w:val="FFFFFF"/>
                <w:sz w:val="20"/>
              </w:rPr>
              <w:t>Scope</w:t>
            </w:r>
          </w:p>
        </w:tc>
        <w:tc>
          <w:tcPr>
            <w:tcW w:type="dxa" w:w="4608"/>
            <w:shd w:val="clear" w:color="auto" w:fill="2E5C8A"/>
            <w:tcMar>
              <w:top w:w="80" w:type="dxa"/>
              <w:left w:w="80" w:type="dxa"/>
              <w:bottom w:w="80" w:type="dxa"/>
              <w:right w:w="80" w:type="dxa"/>
            </w:tcMar>
          </w:tcPr>
          <w:p>
            <w:r/>
            <w:r>
              <w:rPr>
                <w:b/>
                <w:color w:val="FFFFFF"/>
                <w:sz w:val="20"/>
              </w:rPr>
              <w:t>Returns</w:t>
            </w:r>
          </w:p>
        </w:tc>
      </w:tr>
      <w:tr>
        <w:tc>
          <w:tcPr>
            <w:tcW w:type="dxa" w:w="3744"/>
            <w:tcMar>
              <w:top w:w="80" w:type="dxa"/>
              <w:left w:w="80" w:type="dxa"/>
              <w:bottom w:w="80" w:type="dxa"/>
              <w:right w:w="80" w:type="dxa"/>
            </w:tcMar>
          </w:tcPr>
          <w:p>
            <w:r>
              <w:rPr>
                <w:sz w:val="19"/>
              </w:rPr>
              <w:t>instance.query(vector, Type)</w:t>
            </w:r>
          </w:p>
        </w:tc>
        <w:tc>
          <w:tcPr>
            <w:tcW w:type="dxa" w:w="3456"/>
            <w:tcMar>
              <w:top w:w="80" w:type="dxa"/>
              <w:left w:w="80" w:type="dxa"/>
              <w:bottom w:w="80" w:type="dxa"/>
              <w:right w:w="80" w:type="dxa"/>
            </w:tcMar>
          </w:tcPr>
          <w:p>
            <w:r>
              <w:rPr>
                <w:sz w:val="19"/>
              </w:rPr>
              <w:t>One object's reachable graph, in memory, right now</w:t>
            </w:r>
          </w:p>
        </w:tc>
        <w:tc>
          <w:tcPr>
            <w:tcW w:type="dxa" w:w="4608"/>
            <w:tcMar>
              <w:top w:w="80" w:type="dxa"/>
              <w:left w:w="80" w:type="dxa"/>
              <w:bottom w:w="80" w:type="dxa"/>
              <w:right w:w="80" w:type="dxa"/>
            </w:tcMar>
          </w:tcPr>
          <w:p>
            <w:r>
              <w:rPr>
                <w:sz w:val="19"/>
              </w:rPr>
              <w:t>Ranked instances of Type (JavAIList&lt;T&gt;)</w:t>
            </w:r>
          </w:p>
        </w:tc>
      </w:tr>
      <w:tr>
        <w:tc>
          <w:tcPr>
            <w:tcW w:type="dxa" w:w="3744"/>
            <w:tcMar>
              <w:top w:w="80" w:type="dxa"/>
              <w:left w:w="80" w:type="dxa"/>
              <w:bottom w:w="80" w:type="dxa"/>
              <w:right w:w="80" w:type="dxa"/>
            </w:tcMar>
          </w:tcPr>
          <w:p>
            <w:r>
              <w:rPr>
                <w:sz w:val="19"/>
              </w:rPr>
              <w:t>KnowledgeGraph.nearestSubgraph(...)</w:t>
            </w:r>
          </w:p>
        </w:tc>
        <w:tc>
          <w:tcPr>
            <w:tcW w:type="dxa" w:w="3456"/>
            <w:tcMar>
              <w:top w:w="80" w:type="dxa"/>
              <w:left w:w="80" w:type="dxa"/>
              <w:bottom w:w="80" w:type="dxa"/>
              <w:right w:w="80" w:type="dxa"/>
            </w:tcMar>
          </w:tcPr>
          <w:p>
            <w:r>
              <w:rPr>
                <w:sz w:val="19"/>
              </w:rPr>
              <w:t>An explicit graph with typed edges, in memory</w:t>
            </w:r>
          </w:p>
        </w:tc>
        <w:tc>
          <w:tcPr>
            <w:tcW w:type="dxa" w:w="4608"/>
            <w:tcMar>
              <w:top w:w="80" w:type="dxa"/>
              <w:left w:w="80" w:type="dxa"/>
              <w:bottom w:w="80" w:type="dxa"/>
              <w:right w:w="80" w:type="dxa"/>
            </w:tcMar>
          </w:tcPr>
          <w:p>
            <w:r>
              <w:rPr>
                <w:sz w:val="19"/>
              </w:rPr>
              <w:t>Ranked instances plus the edges connecting them (SubgraphResult&lt;N,E&gt;)</w:t>
            </w:r>
          </w:p>
        </w:tc>
      </w:tr>
      <w:tr>
        <w:tc>
          <w:tcPr>
            <w:tcW w:type="dxa" w:w="3744"/>
            <w:tcMar>
              <w:top w:w="80" w:type="dxa"/>
              <w:left w:w="80" w:type="dxa"/>
              <w:bottom w:w="80" w:type="dxa"/>
              <w:right w:w="80" w:type="dxa"/>
            </w:tcMar>
          </w:tcPr>
          <w:p>
            <w:r>
              <w:rPr>
                <w:sz w:val="19"/>
              </w:rPr>
              <w:t>JavAIRepository derived query</w:t>
            </w:r>
          </w:p>
        </w:tc>
        <w:tc>
          <w:tcPr>
            <w:tcW w:type="dxa" w:w="3456"/>
            <w:tcMar>
              <w:top w:w="80" w:type="dxa"/>
              <w:left w:w="80" w:type="dxa"/>
              <w:bottom w:w="80" w:type="dxa"/>
              <w:right w:w="80" w:type="dxa"/>
            </w:tcMar>
          </w:tcPr>
          <w:p>
            <w:r>
              <w:rPr>
                <w:sz w:val="19"/>
              </w:rPr>
              <w:t>The whole persisted store, not just what's loaded</w:t>
            </w:r>
          </w:p>
        </w:tc>
        <w:tc>
          <w:tcPr>
            <w:tcW w:type="dxa" w:w="4608"/>
            <w:tcMar>
              <w:top w:w="80" w:type="dxa"/>
              <w:left w:w="80" w:type="dxa"/>
              <w:bottom w:w="80" w:type="dxa"/>
              <w:right w:w="80" w:type="dxa"/>
            </w:tcMar>
          </w:tcPr>
          <w:p>
            <w:r>
              <w:rPr>
                <w:sz w:val="19"/>
              </w:rPr>
              <w:t>Ranked instances (List&lt;T&gt;), JPA-style</w:t>
            </w:r>
          </w:p>
        </w:tc>
      </w:tr>
    </w:tbl>
    <w:p>
      <w:r>
        <w:br w:type="page"/>
      </w:r>
    </w:p>
    <w:p>
      <w:pPr>
        <w:pStyle w:val="Heading1"/>
      </w:pPr>
      <w:r>
        <w:t>7. Completion &amp; RAG Integration</w:t>
      </w:r>
    </w:p>
    <w:p>
      <w:pPr>
        <w:spacing w:after="160"/>
      </w:pPr>
      <w:r>
        <w:rPr>
          <w:b w:val="0"/>
          <w:i/>
          <w:color w:val="555555"/>
          <w:sz w:val="19"/>
        </w:rPr>
        <w:t>The design-goals, prior-art, and worked-example deep dive for Completion Fabric (§5.3) — primitives are cataloged there, not repeated here.</w:t>
      </w:r>
    </w:p>
    <w:p>
      <w:pPr>
        <w:spacing w:after="160"/>
      </w:pPr>
      <w:r>
        <w:rPr>
          <w:b w:val="0"/>
          <w:i w:val="0"/>
        </w:rPr>
        <w:t>This section covers what happens after a similarity or hybrid graph+vector query returns a subgraph: how JavAI gets that result in front of an LLM as grounding for a completion, without coupling the language to any one provider, to locality (local model vs. hosted API), to sync-vs-async calling convention, or to a conversational/chat shape the use case doesn't call for.</w:t>
      </w:r>
    </w:p>
    <w:p>
      <w:pPr>
        <w:pStyle w:val="Heading2"/>
      </w:pPr>
      <w:r>
        <w:t>7.1 Design Goals</w:t>
      </w:r>
    </w:p>
    <w:p>
      <w:pPr>
        <w:pStyle w:val="ListBullet"/>
      </w:pPr>
      <w:r>
        <w:t>Prompt-and-context oriented, not conversation-oriented: a request is an instruction plus informing material, not a growing message history with system/user/assistant turns.</w:t>
      </w:r>
    </w:p>
    <w:p>
      <w:pPr>
        <w:pStyle w:val="ListBullet"/>
      </w:pPr>
      <w:r>
        <w:t>Provider-agnostic: the same call works against a hosted frontier model or a local model, without branching application code.</w:t>
      </w:r>
    </w:p>
    <w:p>
      <w:pPr>
        <w:pStyle w:val="ListBullet"/>
      </w:pPr>
      <w:r>
        <w:t>Locality- and concurrency-transparent: a local in-process model and a network round-trip to a hosted API should look identical to the caller.</w:t>
      </w:r>
    </w:p>
    <w:p>
      <w:pPr>
        <w:pStyle w:val="ListBullet"/>
      </w:pPr>
      <w:r>
        <w:t>Zero-effort context construction: a subgraph returned from a KnowledgeGraph query should be promptable with no manual serialization step.</w:t>
      </w:r>
    </w:p>
    <w:p>
      <w:pPr>
        <w:pStyle w:val="Heading2"/>
      </w:pPr>
      <w:r>
        <w:t>7.2 Prior Art Check</w:t>
      </w:r>
    </w:p>
    <w:p>
      <w:pPr>
        <w:spacing w:after="160"/>
      </w:pPr>
      <w:r>
        <w:rPr>
          <w:b w:val="0"/>
          <w:i w:val="0"/>
        </w:rPr>
        <w:t>This is not a greenfield problem, and the whitepaper should be precise about what's already solved. Spring AI's ChatClient/ChatModel abstraction (2.0-M1 as of late 2025, aligned with Spring Boot 4.0) already provides a mature, portable completion layer for Java: the same application code runs against OpenAI, Anthropic, Bedrock, Vertex AI, Ollama, or Mistral, swappable via configuration, with both a blocking .call() and a reactive .stream(). LangChain4j offers a comparable ChatModel/StreamingChatModel pair, though its streaming path is natively asynchronous and needs manual blocking to use imperatively. On the context-construction side, GraphRAG tooling (LangChain, LlamaIndex, Neo4j's own integrations) already establishes the pattern this section follows: retrieve a subgraph, convert it to text via a graph-to-context function, then prompt against that text.</w:t>
      </w:r>
    </w:p>
    <w:p>
      <w:pPr>
        <w:spacing w:after="160"/>
      </w:pPr>
      <w:r>
        <w:rPr>
          <w:b w:val="0"/>
          <w:i w:val="0"/>
        </w:rPr>
        <w:t>Provider API shape is genuinely in flux, which argues for JavAI presenting its own shape rather than adopting whichever provider convention is current. OpenAI is fully retiring its message-centered Chat Completions API (removal window in early 2026) in favor of the Responses API, which is item-centered rather than turn-centered — closer to a prompt-plus-context model than to chat. Anthropic's Messages API remains turn-based with no announced deprecation. Ollama exposes both a multi-turn /api/chat and a separate, single-turn /api/generate — including a raw mode that bypasses prompt templating entirely — confirming that non-chat completion is a first-class, currently supported mode even for local models.</w:t>
      </w:r>
    </w:p>
    <w:p>
      <w:pPr>
        <w:spacing w:after="160"/>
      </w:pPr>
      <w:r>
        <w:rPr>
          <w:b w:val="0"/>
          <w:i w:val="0"/>
        </w:rPr>
        <w:t>Conclusion: JavAI should not write its own provider clients. It should define a completion-and-context layer native to the object graph, and wrap existing ChatModel implementations (Spring AI's, most likely) underneath — the same “depend on, don't fork” posture used for persistence (§4.4) and GPU acceleration (§4.2).</w:t>
      </w:r>
    </w:p>
    <w:p>
      <w:pPr>
        <w:pStyle w:val="Heading2"/>
      </w:pPr>
      <w:r>
        <w:t>7.3 Worked Example</w:t>
      </w:r>
    </w:p>
    <w:p>
      <w:pPr>
        <w:spacing w:after="160"/>
      </w:pPr>
      <w:r>
        <w:rPr>
          <w:b w:val="0"/>
          <w:i w:val="0"/>
        </w:rPr>
        <w:t>The primitives themselves — PromptContext, CompletionRequest/Result, JavAICompletionProvider, toContext(), complete()/completeStreaming() — are cataloged with Completion Fabric's other primitives in §5.3, alongside Vector Core and Vector Collections rather than repeated here. What follows is those primitives in use.</w:t>
      </w:r>
    </w:p>
    <w:p>
      <w:pPr>
        <w:spacing w:after="160"/>
      </w:pPr>
      <w:r>
        <w:rPr>
          <w:b w:val="0"/>
          <w:i w:val="0"/>
        </w:rPr>
        <w:t>The object-level text used for prompting is not a new serialization system: producing an embedding already requires deriving text from an object (embedding models take text, not objects), so that cached text is reused directly as prompt material. Which fields surface into it is governed by the same @SearchVisibility / @Summary annotations from §5.1 — a field worth surfacing in similarity search is usually a field worth describing to a reader, human or model. For large subgraphs, the existing hierarchical summary vectors (§4.3) have a hierarchical summary-text counterpart: a subtree can be described at a rolled-up level, with drill-down to leaf detail reserved for the highest-scoring nodes, instead of a token-budget-blind dump of the whole result.</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SubgraphResult</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&gt; hits =</w:t>
            </w:r>
          </w:p>
          <w:p>
            <w:pPr>
              <w:spacing w:before="0" w:after="0" w:line="240" w:lineRule="auto"/>
            </w:pPr>
            <w:r>
              <w:rPr>
                <w:rFonts w:ascii="Consolas" w:hAnsi="Consolas"/>
                <w:color w:val="D4D4D4"/>
                <w:sz w:val="19"/>
              </w:rPr>
              <w:t xml:space="preserve">    knowledgeGraph.</w:t>
            </w:r>
            <w:r>
              <w:rPr>
                <w:rFonts w:ascii="Consolas" w:hAnsi="Consolas"/>
                <w:color w:val="DCDCAA"/>
                <w:sz w:val="19"/>
              </w:rPr>
              <w:t>nearestSubgraph</w:t>
            </w:r>
            <w:r>
              <w:rPr>
                <w:rFonts w:ascii="Consolas" w:hAnsi="Consolas"/>
                <w:color w:val="D4D4D4"/>
                <w:sz w:val="19"/>
              </w:rPr>
              <w:t xml:space="preserve">(queryVector, </w:t>
            </w:r>
            <w:r>
              <w:rPr>
                <w:rFonts w:ascii="Consolas" w:hAnsi="Consolas"/>
                <w:color w:val="B5CEA8"/>
                <w:sz w:val="19"/>
              </w:rPr>
              <w:t>12</w:t>
            </w:r>
            <w:r>
              <w:rPr>
                <w:rFonts w:ascii="Consolas" w:hAnsi="Consolas"/>
                <w:color w:val="D4D4D4"/>
                <w:sz w:val="19"/>
              </w:rPr>
              <w:t xml:space="preserve">, /* hops */ </w:t>
            </w:r>
            <w:r>
              <w:rPr>
                <w:rFonts w:ascii="Consolas" w:hAnsi="Consolas"/>
                <w:color w:val="B5CEA8"/>
                <w:sz w:val="19"/>
              </w:rPr>
              <w:t>2</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CompletionRequest</w:t>
            </w:r>
            <w:r>
              <w:rPr>
                <w:rFonts w:ascii="Consolas" w:hAnsi="Consolas"/>
                <w:color w:val="D4D4D4"/>
                <w:sz w:val="19"/>
              </w:rPr>
              <w:t xml:space="preserve"> req = </w:t>
            </w:r>
            <w:r>
              <w:rPr>
                <w:rFonts w:ascii="Consolas" w:hAnsi="Consolas"/>
                <w:color w:val="4EC9C0"/>
                <w:sz w:val="19"/>
              </w:rPr>
              <w:t>CompletionRequest</w:t>
            </w:r>
            <w:r>
              <w:rPr>
                <w:rFonts w:ascii="Consolas" w:hAnsi="Consolas"/>
                <w:color w:val="D4D4D4"/>
                <w:sz w:val="19"/>
              </w:rPr>
              <w:t>.</w:t>
            </w:r>
            <w:r>
              <w:rPr>
                <w:rFonts w:ascii="Consolas" w:hAnsi="Consolas"/>
                <w:color w:val="DCDCAA"/>
                <w:sz w:val="19"/>
              </w:rPr>
              <w:t>builder</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prompt</w:t>
            </w:r>
            <w:r>
              <w:rPr>
                <w:rFonts w:ascii="Consolas" w:hAnsi="Consolas"/>
                <w:color w:val="D4D4D4"/>
                <w:sz w:val="19"/>
              </w:rPr>
              <w:t>(</w:t>
            </w:r>
            <w:r>
              <w:rPr>
                <w:rFonts w:ascii="Consolas" w:hAnsi="Consolas"/>
                <w:color w:val="CE9178"/>
                <w:sz w:val="19"/>
              </w:rPr>
              <w:t>"Summarize the security implications of these findings for a non-expert reader."</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context</w:t>
            </w:r>
            <w:r>
              <w:rPr>
                <w:rFonts w:ascii="Consolas" w:hAnsi="Consolas"/>
                <w:color w:val="D4D4D4"/>
                <w:sz w:val="19"/>
              </w:rPr>
              <w:t>(hits.</w:t>
            </w:r>
            <w:r>
              <w:rPr>
                <w:rFonts w:ascii="Consolas" w:hAnsi="Consolas"/>
                <w:color w:val="DCDCAA"/>
                <w:sz w:val="19"/>
              </w:rPr>
              <w:t>toContext</w:t>
            </w:r>
            <w:r>
              <w:rPr>
                <w:rFonts w:ascii="Consolas" w:hAnsi="Consolas"/>
                <w:color w:val="D4D4D4"/>
                <w:sz w:val="19"/>
              </w:rPr>
              <w:t xml:space="preserve">())     </w:t>
            </w:r>
            <w:r>
              <w:rPr>
                <w:rFonts w:ascii="Consolas" w:hAnsi="Consolas"/>
                <w:i/>
                <w:color w:val="6A9955"/>
                <w:sz w:val="19"/>
              </w:rPr>
              <w:t>// auto text + relationship serialization, budget-aware</w:t>
            </w:r>
          </w:p>
          <w:p>
            <w:pPr>
              <w:spacing w:before="0" w:after="0" w:line="240" w:lineRule="auto"/>
            </w:pPr>
            <w:r>
              <w:rPr>
                <w:rFonts w:ascii="Consolas" w:hAnsi="Consolas"/>
                <w:color w:val="D4D4D4"/>
                <w:sz w:val="19"/>
              </w:rPr>
              <w:t xml:space="preserve">    .</w:t>
            </w:r>
            <w:r>
              <w:rPr>
                <w:rFonts w:ascii="Consolas" w:hAnsi="Consolas"/>
                <w:color w:val="DCDCAA"/>
                <w:sz w:val="19"/>
              </w:rPr>
              <w:t>maxTokens</w:t>
            </w:r>
            <w:r>
              <w:rPr>
                <w:rFonts w:ascii="Consolas" w:hAnsi="Consolas"/>
                <w:color w:val="D4D4D4"/>
                <w:sz w:val="19"/>
              </w:rPr>
              <w:t>(</w:t>
            </w:r>
            <w:r>
              <w:rPr>
                <w:rFonts w:ascii="Consolas" w:hAnsi="Consolas"/>
                <w:color w:val="B5CEA8"/>
                <w:sz w:val="19"/>
              </w:rPr>
              <w:t>800</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build</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CompletionResult</w:t>
            </w:r>
            <w:r>
              <w:rPr>
                <w:rFonts w:ascii="Consolas" w:hAnsi="Consolas"/>
                <w:color w:val="D4D4D4"/>
                <w:sz w:val="19"/>
              </w:rPr>
              <w:t xml:space="preserve"> result = completionProvider.</w:t>
            </w:r>
            <w:r>
              <w:rPr>
                <w:rFonts w:ascii="Consolas" w:hAnsi="Consolas"/>
                <w:color w:val="DCDCAA"/>
                <w:sz w:val="19"/>
              </w:rPr>
              <w:t>complete</w:t>
            </w:r>
            <w:r>
              <w:rPr>
                <w:rFonts w:ascii="Consolas" w:hAnsi="Consolas"/>
                <w:color w:val="D4D4D4"/>
                <w:sz w:val="19"/>
              </w:rPr>
              <w:t xml:space="preserve">(req);   </w:t>
            </w:r>
            <w:r>
              <w:rPr>
                <w:rFonts w:ascii="Consolas" w:hAnsi="Consolas"/>
                <w:i/>
                <w:color w:val="6A9955"/>
                <w:sz w:val="19"/>
              </w:rPr>
              <w:t>// blocking, virtual-thread-backed</w:t>
            </w:r>
          </w:p>
          <w:p>
            <w:pPr>
              <w:spacing w:before="0" w:after="0" w:line="240" w:lineRule="auto"/>
            </w:pPr>
            <w:r>
              <w:rPr>
                <w:sz w:val="19"/>
              </w:rPr>
              <w:t xml:space="preserve"> </w:t>
            </w:r>
          </w:p>
          <w:p>
            <w:pPr>
              <w:spacing w:before="0" w:after="0" w:line="240" w:lineRule="auto"/>
            </w:pPr>
            <w:r>
              <w:rPr>
                <w:rFonts w:ascii="Consolas" w:hAnsi="Consolas"/>
                <w:i/>
                <w:color w:val="6A9955"/>
                <w:sz w:val="19"/>
              </w:rPr>
              <w:t>// Streaming is opt-in, not the default calling convention:</w:t>
            </w:r>
          </w:p>
          <w:p>
            <w:pPr>
              <w:spacing w:before="0" w:after="0" w:line="240" w:lineRule="auto"/>
            </w:pPr>
            <w:r>
              <w:rPr>
                <w:rFonts w:ascii="Consolas" w:hAnsi="Consolas"/>
                <w:color w:val="D4D4D4"/>
                <w:sz w:val="19"/>
              </w:rPr>
              <w:t>completionProvider.</w:t>
            </w:r>
            <w:r>
              <w:rPr>
                <w:rFonts w:ascii="Consolas" w:hAnsi="Consolas"/>
                <w:color w:val="DCDCAA"/>
                <w:sz w:val="19"/>
              </w:rPr>
              <w:t>completeStreaming</w:t>
            </w:r>
            <w:r>
              <w:rPr>
                <w:rFonts w:ascii="Consolas" w:hAnsi="Consolas"/>
                <w:color w:val="D4D4D4"/>
                <w:sz w:val="19"/>
              </w:rPr>
              <w:t>(req, chunk -&gt; ui.</w:t>
            </w:r>
            <w:r>
              <w:rPr>
                <w:rFonts w:ascii="Consolas" w:hAnsi="Consolas"/>
                <w:color w:val="DCDCAA"/>
                <w:sz w:val="19"/>
              </w:rPr>
              <w:t>append</w:t>
            </w:r>
            <w:r>
              <w:rPr>
                <w:rFonts w:ascii="Consolas" w:hAnsi="Consolas"/>
                <w:color w:val="D4D4D4"/>
                <w:sz w:val="19"/>
              </w:rPr>
              <w:t>(chunk));</w:t>
            </w:r>
          </w:p>
        </w:tc>
      </w:tr>
    </w:tbl>
    <w:p>
      <w:pPr>
        <w:spacing w:before="80"/>
        <w:jc w:val="center"/>
      </w:pPr>
      <w:r>
        <w:rPr>
          <w:i/>
          <w:color w:val="555555"/>
          <w:sz w:val="19"/>
        </w:rPr>
        <w:t>Example 6. Subgraph to grounded completion — no manual context serialization.</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C586C0"/>
                <w:sz w:val="19"/>
              </w:rPr>
              <w:t>@JavAIEdge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record</w:t>
            </w:r>
            <w:r>
              <w:rPr>
                <w:rFonts w:ascii="Consolas" w:hAnsi="Consolas"/>
                <w:color w:val="D4D4D4"/>
                <w:sz w:val="19"/>
              </w:rPr>
              <w:t xml:space="preserve"> </w:t>
            </w:r>
            <w:r>
              <w:rPr>
                <w:rFonts w:ascii="Consolas" w:hAnsi="Consolas"/>
                <w:color w:val="4EC9C0"/>
                <w:sz w:val="19"/>
              </w:rPr>
              <w:t>RelatesTo</w:t>
            </w:r>
            <w:r>
              <w:rPr>
                <w:rFonts w:ascii="Consolas" w:hAnsi="Consolas"/>
                <w:color w:val="D4D4D4"/>
                <w:sz w:val="19"/>
              </w:rPr>
              <w:t>(</w:t>
            </w:r>
            <w:r>
              <w:rPr>
                <w:rFonts w:ascii="Consolas" w:hAnsi="Consolas"/>
                <w:color w:val="4EC9C0"/>
                <w:sz w:val="19"/>
              </w:rPr>
              <w:t>String</w:t>
            </w:r>
            <w:r>
              <w:rPr>
                <w:rFonts w:ascii="Consolas" w:hAnsi="Consolas"/>
                <w:color w:val="D4D4D4"/>
                <w:sz w:val="19"/>
              </w:rPr>
              <w:t xml:space="preserve"> kind) {}</w:t>
            </w:r>
          </w:p>
          <w:p>
            <w:pPr>
              <w:spacing w:before="0" w:after="0" w:line="240" w:lineRule="auto"/>
            </w:pPr>
            <w:r>
              <w:rPr>
                <w:sz w:val="19"/>
              </w:rPr>
              <w:t xml:space="preserve"> </w:t>
            </w:r>
          </w:p>
          <w:p>
            <w:pPr>
              <w:spacing w:before="0" w:after="0" w:line="240" w:lineRule="auto"/>
            </w:pPr>
            <w:r>
              <w:rPr>
                <w:rFonts w:ascii="Consolas" w:hAnsi="Consolas"/>
                <w:i/>
                <w:color w:val="6A9955"/>
                <w:sz w:val="19"/>
              </w:rPr>
              <w:t>// hits.toContext() default serialization (illustrative, not literal output):</w:t>
            </w:r>
          </w:p>
          <w:p>
            <w:pPr>
              <w:spacing w:before="0" w:after="0" w:line="240" w:lineRule="auto"/>
            </w:pPr>
            <w:r>
              <w:rPr>
                <w:rFonts w:ascii="Consolas" w:hAnsi="Consolas"/>
                <w:i/>
                <w:color w:val="6A9955"/>
                <w:sz w:val="19"/>
              </w:rPr>
              <w:t>//</w:t>
            </w:r>
          </w:p>
          <w:p>
            <w:pPr>
              <w:spacing w:before="0" w:after="0" w:line="240" w:lineRule="auto"/>
            </w:pPr>
            <w:r>
              <w:rPr>
                <w:rFonts w:ascii="Consolas" w:hAnsi="Consolas"/>
                <w:i/>
                <w:color w:val="6A9955"/>
                <w:sz w:val="19"/>
              </w:rPr>
              <w:t>//   [Article] "Zero-day disclosed in widely used TLS library"</w:t>
            </w:r>
          </w:p>
          <w:p>
            <w:pPr>
              <w:spacing w:before="0" w:after="0" w:line="240" w:lineRule="auto"/>
            </w:pPr>
            <w:r>
              <w:rPr>
                <w:rFonts w:ascii="Consolas" w:hAnsi="Consolas"/>
                <w:i/>
                <w:color w:val="6A9955"/>
                <w:sz w:val="19"/>
              </w:rPr>
              <w:t>//   [Article] "Vendor patch released within 48 hours"</w:t>
            </w:r>
          </w:p>
          <w:p>
            <w:pPr>
              <w:spacing w:before="0" w:after="0" w:line="240" w:lineRule="auto"/>
            </w:pPr>
            <w:r>
              <w:rPr>
                <w:rFonts w:ascii="Consolas" w:hAnsi="Consolas"/>
                <w:i/>
                <w:color w:val="6A9955"/>
                <w:sz w:val="19"/>
              </w:rPr>
              <w:t>//   Article("Zero-day...") --cites--&gt; Article("Vendor patch...")</w:t>
            </w:r>
          </w:p>
          <w:p>
            <w:pPr>
              <w:spacing w:before="0" w:after="0" w:line="240" w:lineRule="auto"/>
            </w:pPr>
            <w:r>
              <w:rPr>
                <w:rFonts w:ascii="Consolas" w:hAnsi="Consolas"/>
                <w:i/>
                <w:color w:val="6A9955"/>
                <w:sz w:val="19"/>
              </w:rPr>
              <w:t>//</w:t>
            </w:r>
          </w:p>
          <w:p>
            <w:pPr>
              <w:spacing w:before="0" w:after="0" w:line="240" w:lineRule="auto"/>
            </w:pPr>
            <w:r>
              <w:rPr>
                <w:rFonts w:ascii="Consolas" w:hAnsi="Consolas"/>
                <w:i/>
                <w:color w:val="6A9955"/>
                <w:sz w:val="19"/>
              </w:rPr>
              <w:t>// Provider and locality are pure configuration, never a code branch:</w:t>
            </w:r>
          </w:p>
          <w:p>
            <w:pPr>
              <w:spacing w:before="0" w:after="0" w:line="240" w:lineRule="auto"/>
            </w:pPr>
            <w:r>
              <w:rPr>
                <w:rFonts w:ascii="Consolas" w:hAnsi="Consolas"/>
                <w:i/>
                <w:color w:val="6A9955"/>
                <w:sz w:val="19"/>
              </w:rPr>
              <w:t>//   javai.completion.provider=anthropic   model=claude-...</w:t>
            </w:r>
          </w:p>
          <w:p>
            <w:pPr>
              <w:spacing w:before="0" w:after="0" w:line="240" w:lineRule="auto"/>
            </w:pPr>
            <w:r>
              <w:rPr>
                <w:rFonts w:ascii="Consolas" w:hAnsi="Consolas"/>
                <w:i/>
                <w:color w:val="6A9955"/>
                <w:sz w:val="19"/>
              </w:rPr>
              <w:t>//   javai.completion.provider=openai      model=gpt-...</w:t>
            </w:r>
          </w:p>
          <w:p>
            <w:pPr>
              <w:spacing w:before="0" w:after="0" w:line="240" w:lineRule="auto"/>
            </w:pPr>
            <w:r>
              <w:rPr>
                <w:rFonts w:ascii="Consolas" w:hAnsi="Consolas"/>
                <w:i/>
                <w:color w:val="6A9955"/>
                <w:sz w:val="19"/>
              </w:rPr>
              <w:t>//   javai.completion.provider=ollama      model=llama3.2   (local)</w:t>
            </w:r>
          </w:p>
        </w:tc>
      </w:tr>
    </w:tbl>
    <w:p>
      <w:pPr>
        <w:spacing w:before="80"/>
        <w:jc w:val="center"/>
      </w:pPr>
      <w:r>
        <w:rPr>
          <w:i/>
          <w:color w:val="555555"/>
          <w:sz w:val="19"/>
        </w:rPr>
        <w:t>Example 7. Default subgraph-to-context serialization, and provider selection as configuration.</w:t>
      </w:r>
    </w:p>
    <w:p>
      <w:r>
        <w:br w:type="page"/>
      </w:r>
    </w:p>
    <w:p>
      <w:pPr>
        <w:pStyle w:val="Heading1"/>
      </w:pPr>
      <w:r>
        <w:t>8. Prior Art &amp; Competitive Landscape</w:t>
      </w:r>
    </w:p>
    <w:p>
      <w:pPr>
        <w:spacing w:after="160"/>
      </w:pPr>
      <w:r>
        <w:rPr>
          <w:b w:val="0"/>
          <w:i w:val="0"/>
        </w:rPr>
        <w:t>Findings below are from live research conducted July 5, 2026; version numbers and maturity claims reflect current status, not assumptions carried from an earlier knowledge cutoff.</w:t>
      </w:r>
    </w:p>
    <w:p>
      <w:pPr>
        <w:pStyle w:val="Heading2"/>
      </w:pPr>
      <w:r>
        <w:t>8.1 Closest Adjacent Effort: Mojo</w:t>
      </w:r>
    </w:p>
    <w:p>
      <w:pPr>
        <w:spacing w:after="160"/>
      </w:pPr>
      <w:r>
        <w:rPr>
          <w:b w:val="0"/>
          <w:i w:val="0"/>
        </w:rPr>
        <w:t>Mojo (Modular, led by Chris Lattner) is a Python superset compiling via MLIR to CPUs and GPUs, explicitly branded around AI workloads. It shipped a 1.0.0 beta on May 7, 2026, with compiler open-sourcing planned for fall 2026. Its “AI-native” framing is about writing AI/ML systems software efficiently — GPU kernels, tensor operations, performance — not about embedding vectors as an object-model primitive. No evidence was found of Mojo doing automatic embedding generation, knowledge-graph-native types, or anything resembling mutation-triggered vectorization. It is the nearest-sounding project by name recognition, but sits on a different axis entirely.</w:t>
      </w:r>
    </w:p>
    <w:p>
      <w:pPr>
        <w:pStyle w:val="Heading2"/>
      </w:pPr>
      <w:r>
        <w:t>8.2 Vector Database / ORM Integration</w:t>
      </w:r>
    </w:p>
    <w:p>
      <w:pPr>
        <w:spacing w:after="160"/>
      </w:pPr>
      <w:r>
        <w:rPr>
          <w:b w:val="0"/>
          <w:i w:val="0"/>
        </w:rPr>
        <w:t>Hibernate 6.4+ ships a hibernate-vector module with native pgvector column mapping (@JdbcTypeCode(SqlTypes.VECTOR)) — a legitimate, first-party ORM-level vector mapping. But across every example surveyed (Spring AI + pgvector, Quarkus + ONNX + pgvector, Spring Data's 2025 repository-level vector search methods), the embedding step itself is uniformly manual: application code explicitly calls an embedding model and sets the result on the entity before persisting. No project was found where an ORM automatically re-embeds an entity as a side effect of a setter call. This directly validates JavAI's core differentiator.</w:t>
      </w:r>
    </w:p>
    <w:p>
      <w:pPr>
        <w:pStyle w:val="Heading2"/>
      </w:pPr>
      <w:r>
        <w:t>8.3 Knowledge-Graph Object Mapping</w:t>
      </w:r>
    </w:p>
    <w:p>
      <w:pPr>
        <w:spacing w:after="160"/>
      </w:pPr>
      <w:r>
        <w:rPr>
          <w:b w:val="0"/>
          <w:i w:val="0"/>
        </w:rPr>
        <w:t>Neo4j-OGM (currently 5.0.6) is the established Java object-graph mapper. Neo4j the database natively supports vector indexes alongside Cypher traversal, but no clear evidence was found of first-class vector-index support inside the Java OGM layer itself — a gap even in the most mature graph-mapping tool for Java, and a second, independent confirmation of the same whitespace found in relational-ORM land.</w:t>
      </w:r>
    </w:p>
    <w:p>
      <w:pPr>
        <w:pStyle w:val="Heading2"/>
      </w:pPr>
      <w:r>
        <w:t>8.4 Hybrid Graph + Vector Retrieval (GraphRAG)</w:t>
      </w:r>
    </w:p>
    <w:p>
      <w:pPr>
        <w:spacing w:after="160"/>
      </w:pPr>
      <w:r>
        <w:rPr>
          <w:b w:val="0"/>
          <w:i w:val="0"/>
        </w:rPr>
        <w:t>This is the one area where the landscape is mature, and the whitepaper should not overclaim novelty here: combining graph traversal and vector similarity in a single retrieval pipeline is well solved at the application/library layer. Neo4j natively supports both query modes in one database; LangChain's Neo4jVector integration, LlamaIndex's TextToCypherRetriever and VectorContextRetriever composed against a shared property-graph store, and Microsoft's published GraphRAG-on-Neo4j guidance all demonstrate mature, current (dated as recently as May 2026) tooling for hybrid retrieval. JavAI's differentiation is therefore narrower and more precise than “nobody can query graph and vector together” — it is specifically automatic, mutation-triggered vectorization baked into the object model itself, plus compiler-level and LLM-codegen-oriented semantics, which sits at a different layer than GraphRAG tooling addresses.</w:t>
      </w:r>
    </w:p>
    <w:p>
      <w:pPr>
        <w:pStyle w:val="Heading2"/>
      </w:pPr>
      <w:r>
        <w:t>8.5 Other AI-Native Language Efforts</w:t>
      </w:r>
    </w:p>
    <w:p>
      <w:pPr>
        <w:spacing w:after="160"/>
      </w:pPr>
      <w:r>
        <w:rPr>
          <w:b w:val="0"/>
          <w:i w:val="0"/>
        </w:rPr>
        <w:t>Broad searching (academic papers, patents, GitHub topic pages) surfaced only generic “AI-native database” commentary, patent language around compiling knowledge graphs to native code, and academic work using code-like structure to help LLMs construct knowledge graphs (the inverse direction — using programming-language structure to make LLM extraction more reliable, not a new language for humans/agents to write in). No project was found combining automatic mutation-triggered vectorization, unified vector-plus-graph object-model semantics, and explicit design-for-LLM-legibility. This appears to be genuine whitespace, with the standard caveat that absence of search results is not proof of absence.</w:t>
      </w:r>
    </w:p>
    <w:p>
      <w:r>
        <w:br w:type="page"/>
      </w:r>
    </w:p>
    <w:p>
      <w:pPr>
        <w:pStyle w:val="Heading1"/>
      </w:pPr>
      <w:r>
        <w:t>9. Roadmap</w:t>
      </w:r>
    </w:p>
    <w:p>
      <w:pPr>
        <w:spacing w:after="160"/>
      </w:pPr>
      <w:r>
        <w:rPr>
          <w:b w:val="0"/>
          <w:i w:val="0"/>
        </w:rPr>
        <w:t>Earlier drafts of this roadmap treated Phase 0 as a deliberately thin MVP — just enough to test the core thesis — with collections, native compiler support, and completion/RAG pushed into later phases. That's been revised. Nothing in this whitepaper's functional surface actually requires a real compiler or a GPU to work correctly; those are performance and tooling upgrades, not capabilities. So Phase 0 now targets full functional completeness — every annotation, every collection, every auto-generated method, both JavAIPI persistence backends, and the entire Completion/RAG API — delivered via runtime bytecode weaving instead of a compiler. Phases 1 through 3 exist purely to make an already-complete experience faster — and, per §2.1's guiding philosophy, to give any individual extension that proves valuable enough a deeper implementation, not to lock the whole project into a compiler/JVM-fork trajectory by default.</w:t>
      </w:r>
    </w:p>
    <w:p>
      <w:pPr>
        <w:ind w:left="576"/>
      </w:pPr>
      <w:r>
        <w:rPr>
          <w:i/>
          <w:color w:val="2E5C8A"/>
        </w:rPr>
        <w:t>Golden contract: by the end of Phase 0, a developer gets the complete JavAI experience — every primitive in §5 and §6, both persistence backends in §4.4, and the full Completion/RAG API in §7 — through ordinary library dependencies plus a build step or agent, with no compiler and no GPU required. Nothing in Phases 1–3 adds a capability a Phase 0 developer doesn't already have; each one replaces an internal mechanism with a faster version of the same contract.</w:t>
      </w:r>
    </w:p>
    <w:p>
      <w:pPr>
        <w:jc w:val="center"/>
      </w:pPr>
      <w:r>
        <w:drawing>
          <wp:inline xmlns:a="http://schemas.openxmlformats.org/drawingml/2006/main" xmlns:pic="http://schemas.openxmlformats.org/drawingml/2006/picture">
            <wp:extent cx="5852160" cy="3959137"/>
            <wp:docPr id="6" name="Picture 6"/>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5852160" cy="3959137"/>
                    </a:xfrm>
                    <a:prstGeom prst="rect"/>
                  </pic:spPr>
                </pic:pic>
              </a:graphicData>
            </a:graphic>
          </wp:inline>
        </w:drawing>
      </w:r>
    </w:p>
    <w:p>
      <w:pPr>
        <w:jc w:val="center"/>
      </w:pPr>
      <w:r>
        <w:rPr>
          <w:i/>
          <w:color w:val="555555"/>
          <w:sz w:val="19"/>
        </w:rPr>
        <w:t>Figure 3. Four-phase roadmap; horizontal axis is relative build sequence, not calendar time.</w:t>
      </w:r>
    </w:p>
    <w:p>
      <w:pPr>
        <w:pStyle w:val="Heading2"/>
      </w:pPr>
      <w:r>
        <w:t>9.1 Phase 0 — Full Functional Surface (runtime weaving, no compiler, no GPU)</w:t>
      </w:r>
    </w:p>
    <w:p>
      <w:pPr>
        <w:spacing w:after="160"/>
      </w:pPr>
      <w:r>
        <w:rPr>
          <w:b w:val="0"/>
          <w:i w:val="0"/>
        </w:rPr>
        <w:t>The mechanism that makes this possible without a compiler is the same one Hibernate already uses for dirty-checking (§4.3): ByteBuddy-based class weaving, applied either at class-load time via a -javaagent or at build time via a Maven/Gradle plugin for teams that prefer ahead-of-time weaving. Eight components, each independently a plain library (Vector Core is realized by two of them — see the table below):</w:t>
      </w:r>
    </w:p>
    <w:tbl>
      <w:tblPr>
        <w:tblW w:type="auto" w:w="0"/>
        <w:jc w:val="center"/>
        <w:tblLayout w:type="fixed"/>
        <w:tblLook w:firstColumn="1" w:firstRow="1" w:lastColumn="0" w:lastRow="0" w:noHBand="0" w:noVBand="1" w:val="04A0"/>
      </w:tblPr>
      <w:tblGrid>
        <w:gridCol w:w="3120"/>
        <w:gridCol w:w="3120"/>
        <w:gridCol w:w="3120"/>
      </w:tblGrid>
      <w:tr>
        <w:tc>
          <w:tcPr>
            <w:tcW w:type="dxa" w:w="2736"/>
            <w:shd w:val="clear" w:color="auto" w:fill="2E5C8A"/>
            <w:tcMar>
              <w:top w:w="80" w:type="dxa"/>
              <w:left w:w="80" w:type="dxa"/>
              <w:bottom w:w="80" w:type="dxa"/>
              <w:right w:w="80" w:type="dxa"/>
            </w:tcMar>
          </w:tcPr>
          <w:p>
            <w:r/>
            <w:r>
              <w:rPr>
                <w:b/>
                <w:color w:val="FFFFFF"/>
                <w:sz w:val="20"/>
              </w:rPr>
              <w:t>Component</w:t>
            </w:r>
          </w:p>
        </w:tc>
        <w:tc>
          <w:tcPr>
            <w:tcW w:type="dxa" w:w="4320"/>
            <w:shd w:val="clear" w:color="auto" w:fill="2E5C8A"/>
            <w:tcMar>
              <w:top w:w="80" w:type="dxa"/>
              <w:left w:w="80" w:type="dxa"/>
              <w:bottom w:w="80" w:type="dxa"/>
              <w:right w:w="80" w:type="dxa"/>
            </w:tcMar>
          </w:tcPr>
          <w:p>
            <w:r/>
            <w:r>
              <w:rPr>
                <w:b/>
                <w:color w:val="FFFFFF"/>
                <w:sz w:val="20"/>
              </w:rPr>
              <w:t>Mechanism</w:t>
            </w:r>
          </w:p>
        </w:tc>
        <w:tc>
          <w:tcPr>
            <w:tcW w:type="dxa" w:w="4752"/>
            <w:shd w:val="clear" w:color="auto" w:fill="2E5C8A"/>
            <w:tcMar>
              <w:top w:w="80" w:type="dxa"/>
              <w:left w:w="80" w:type="dxa"/>
              <w:bottom w:w="80" w:type="dxa"/>
              <w:right w:w="80" w:type="dxa"/>
            </w:tcMar>
          </w:tcPr>
          <w:p>
            <w:r/>
            <w:r>
              <w:rPr>
                <w:b/>
                <w:color w:val="FFFFFF"/>
                <w:sz w:val="20"/>
              </w:rPr>
              <w:t>Delivers</w:t>
            </w:r>
          </w:p>
        </w:tc>
      </w:tr>
      <w:tr>
        <w:tc>
          <w:tcPr>
            <w:tcW w:type="dxa" w:w="2736"/>
            <w:tcMar>
              <w:top w:w="80" w:type="dxa"/>
              <w:left w:w="80" w:type="dxa"/>
              <w:bottom w:w="80" w:type="dxa"/>
              <w:right w:w="80" w:type="dxa"/>
            </w:tcMar>
          </w:tcPr>
          <w:p>
            <w:r>
              <w:rPr>
                <w:sz w:val="19"/>
              </w:rPr>
              <w:t>javai-annotations</w:t>
            </w:r>
          </w:p>
        </w:tc>
        <w:tc>
          <w:tcPr>
            <w:tcW w:type="dxa" w:w="4320"/>
            <w:tcMar>
              <w:top w:w="80" w:type="dxa"/>
              <w:left w:w="80" w:type="dxa"/>
              <w:bottom w:w="80" w:type="dxa"/>
              <w:right w:w="80" w:type="dxa"/>
            </w:tcMar>
          </w:tcPr>
          <w:p>
            <w:r>
              <w:rPr>
                <w:sz w:val="19"/>
              </w:rPr>
              <w:t>Plain annotation definitions, no processing logic</w:t>
            </w:r>
          </w:p>
        </w:tc>
        <w:tc>
          <w:tcPr>
            <w:tcW w:type="dxa" w:w="4752"/>
            <w:tcMar>
              <w:top w:w="80" w:type="dxa"/>
              <w:left w:w="80" w:type="dxa"/>
              <w:bottom w:w="80" w:type="dxa"/>
              <w:right w:w="80" w:type="dxa"/>
            </w:tcMar>
          </w:tcPr>
          <w:p>
            <w:r>
              <w:rPr>
                <w:sz w:val="19"/>
              </w:rPr>
              <w:t>The full vocabulary across §5.1 (@JavAIVectorizable, @Vectorize/@VectorizeIgnore, @SearchVisibility, @Summary, @EmbeddingModel), §5.4 (@JavAIGraphNode/@JavAIEdge), and §5.5 (@Requires/@Ensures/@Invariant, @Intent, @AgentWritable/@Frozen/@HumanOnly, @Nondeterministic/@Costly, @Provenance)</w:t>
            </w:r>
          </w:p>
        </w:tc>
      </w:tr>
      <w:tr>
        <w:tc>
          <w:tcPr>
            <w:tcW w:type="dxa" w:w="2736"/>
            <w:tcMar>
              <w:top w:w="80" w:type="dxa"/>
              <w:left w:w="80" w:type="dxa"/>
              <w:bottom w:w="80" w:type="dxa"/>
              <w:right w:w="80" w:type="dxa"/>
            </w:tcMar>
          </w:tcPr>
          <w:p>
            <w:r>
              <w:rPr>
                <w:sz w:val="19"/>
              </w:rPr>
              <w:t>javai-substrate / javai-enhance</w:t>
            </w:r>
          </w:p>
        </w:tc>
        <w:tc>
          <w:tcPr>
            <w:tcW w:type="dxa" w:w="4320"/>
            <w:tcMar>
              <w:top w:w="80" w:type="dxa"/>
              <w:left w:w="80" w:type="dxa"/>
              <w:bottom w:w="80" w:type="dxa"/>
              <w:right w:w="80" w:type="dxa"/>
            </w:tcMar>
          </w:tcPr>
          <w:p>
            <w:r>
              <w:rPr>
                <w:sz w:val="19"/>
              </w:rPr>
              <w:t>ByteBuddy weaving, load-time (agent) or build-time (Maven/Gradle plugin)</w:t>
            </w:r>
          </w:p>
        </w:tc>
        <w:tc>
          <w:tcPr>
            <w:tcW w:type="dxa" w:w="4752"/>
            <w:tcMar>
              <w:top w:w="80" w:type="dxa"/>
              <w:left w:w="80" w:type="dxa"/>
              <w:bottom w:w="80" w:type="dxa"/>
              <w:right w:w="80" w:type="dxa"/>
            </w:tcMar>
          </w:tcPr>
          <w:p>
            <w:r>
              <w:rPr>
                <w:sz w:val="19"/>
              </w:rPr>
              <w:t>Implements JavAIVectorizable/JavAIGraphNode on any annotated class: interface implementation, synthetic dirty-flag/back-edge fields, per-field vector-accessor generation (bodyVector(), etc.), setter rewriting for the §4.3 mutation hook — the stand-in for javaic until Phase 1</w:t>
            </w:r>
          </w:p>
        </w:tc>
      </w:tr>
      <w:tr>
        <w:tc>
          <w:tcPr>
            <w:tcW w:type="dxa" w:w="2736"/>
            <w:tcMar>
              <w:top w:w="80" w:type="dxa"/>
              <w:left w:w="80" w:type="dxa"/>
              <w:bottom w:w="80" w:type="dxa"/>
              <w:right w:w="80" w:type="dxa"/>
            </w:tcMar>
          </w:tcPr>
          <w:p>
            <w:r>
              <w:rPr>
                <w:sz w:val="19"/>
              </w:rPr>
              <w:t>javai-supervision</w:t>
            </w:r>
          </w:p>
        </w:tc>
        <w:tc>
          <w:tcPr>
            <w:tcW w:type="dxa" w:w="4320"/>
            <w:tcMar>
              <w:top w:w="80" w:type="dxa"/>
              <w:left w:w="80" w:type="dxa"/>
              <w:bottom w:w="80" w:type="dxa"/>
              <w:right w:w="80" w:type="dxa"/>
            </w:tcMar>
          </w:tcPr>
          <w:p>
            <w:r>
              <w:rPr>
                <w:sz w:val="19"/>
              </w:rPr>
              <w:t>ByteBuddy weaving, its own independent installer (not the §9.1 agent/enhancer above)</w:t>
            </w:r>
          </w:p>
        </w:tc>
        <w:tc>
          <w:tcPr>
            <w:tcW w:type="dxa" w:w="4752"/>
            <w:tcMar>
              <w:top w:w="80" w:type="dxa"/>
              <w:left w:w="80" w:type="dxa"/>
              <w:bottom w:w="80" w:type="dxa"/>
              <w:right w:w="80" w:type="dxa"/>
            </w:tcMar>
          </w:tcPr>
          <w:p>
            <w:r>
              <w:rPr>
                <w:sz w:val="19"/>
              </w:rPr>
              <w:t>§5.7's sync (blocking, read-write) + async (fire-and-forget, observation-only) method/constructor interception — SupervisionEvent, SyncSupervisionListener/AsyncSupervisionListener, @SyncSupervision/@AsyncSupervision</w:t>
            </w:r>
          </w:p>
        </w:tc>
      </w:tr>
      <w:tr>
        <w:tc>
          <w:tcPr>
            <w:tcW w:type="dxa" w:w="2736"/>
            <w:tcMar>
              <w:top w:w="80" w:type="dxa"/>
              <w:left w:w="80" w:type="dxa"/>
              <w:bottom w:w="80" w:type="dxa"/>
              <w:right w:w="80" w:type="dxa"/>
            </w:tcMar>
          </w:tcPr>
          <w:p>
            <w:r>
              <w:rPr>
                <w:sz w:val="19"/>
              </w:rPr>
              <w:t>javai-vector</w:t>
            </w:r>
          </w:p>
        </w:tc>
        <w:tc>
          <w:tcPr>
            <w:tcW w:type="dxa" w:w="4320"/>
            <w:tcMar>
              <w:top w:w="80" w:type="dxa"/>
              <w:left w:w="80" w:type="dxa"/>
              <w:bottom w:w="80" w:type="dxa"/>
              <w:right w:w="80" w:type="dxa"/>
            </w:tcMar>
          </w:tcPr>
          <w:p>
            <w:r>
              <w:rPr>
                <w:sz w:val="19"/>
              </w:rPr>
              <w:t>Pure Java library</w:t>
            </w:r>
          </w:p>
        </w:tc>
        <w:tc>
          <w:tcPr>
            <w:tcW w:type="dxa" w:w="4752"/>
            <w:tcMar>
              <w:top w:w="80" w:type="dxa"/>
              <w:left w:w="80" w:type="dxa"/>
              <w:bottom w:w="80" w:type="dxa"/>
              <w:right w:w="80" w:type="dxa"/>
            </w:tcMar>
          </w:tcPr>
          <w:p>
            <w:r>
              <w:rPr>
                <w:sz w:val="19"/>
              </w:rPr>
              <w:t>EmbeddingVector; a CPU reference JavAISimilarityBackend (plain dot-product cosine similarity); a default JavAIEmbeddingProvider wrapping a small local embedding model, so built-in local embedding generation works out of the box; dirty-state bookkeeping primitives</w:t>
            </w:r>
          </w:p>
        </w:tc>
      </w:tr>
      <w:tr>
        <w:tc>
          <w:tcPr>
            <w:tcW w:type="dxa" w:w="2736"/>
            <w:tcMar>
              <w:top w:w="80" w:type="dxa"/>
              <w:left w:w="80" w:type="dxa"/>
              <w:bottom w:w="80" w:type="dxa"/>
              <w:right w:w="80" w:type="dxa"/>
            </w:tcMar>
          </w:tcPr>
          <w:p>
            <w:r>
              <w:rPr>
                <w:sz w:val="19"/>
              </w:rPr>
              <w:t>javai-model</w:t>
            </w:r>
          </w:p>
        </w:tc>
        <w:tc>
          <w:tcPr>
            <w:tcW w:type="dxa" w:w="4320"/>
            <w:tcMar>
              <w:top w:w="80" w:type="dxa"/>
              <w:left w:w="80" w:type="dxa"/>
              <w:bottom w:w="80" w:type="dxa"/>
              <w:right w:w="80" w:type="dxa"/>
            </w:tcMar>
          </w:tcPr>
          <w:p>
            <w:r>
              <w:rPr>
                <w:sz w:val="19"/>
              </w:rPr>
              <w:t>Pure Java library, backed by javai-vector</w:t>
            </w:r>
          </w:p>
        </w:tc>
        <w:tc>
          <w:tcPr>
            <w:tcW w:type="dxa" w:w="4752"/>
            <w:tcMar>
              <w:top w:w="80" w:type="dxa"/>
              <w:left w:w="80" w:type="dxa"/>
              <w:bottom w:w="80" w:type="dxa"/>
              <w:right w:w="80" w:type="dxa"/>
            </w:tcMar>
          </w:tcPr>
          <w:p>
            <w:r>
              <w:rPr>
                <w:sz w:val="19"/>
              </w:rPr>
              <w:t>JavAIVectorizable contract; the cycle-safe back-edge propagation engine; the query() graph traversal; JavAIList/JavAISet/JavAIMap and their concrete implementations; Contextable/PromptContext RAG-integration primitives — physically homed here (not javai-collections or javai-completion) for compile-order reasons, see doc/module-dependency-graph.md</w:t>
            </w:r>
          </w:p>
        </w:tc>
      </w:tr>
      <w:tr>
        <w:tc>
          <w:tcPr>
            <w:tcW w:type="dxa" w:w="2736"/>
            <w:tcMar>
              <w:top w:w="80" w:type="dxa"/>
              <w:left w:w="80" w:type="dxa"/>
              <w:bottom w:w="80" w:type="dxa"/>
              <w:right w:w="80" w:type="dxa"/>
            </w:tcMar>
          </w:tcPr>
          <w:p>
            <w:r>
              <w:rPr>
                <w:sz w:val="19"/>
              </w:rPr>
              <w:t>javai-collections</w:t>
            </w:r>
          </w:p>
        </w:tc>
        <w:tc>
          <w:tcPr>
            <w:tcW w:type="dxa" w:w="4320"/>
            <w:tcMar>
              <w:top w:w="80" w:type="dxa"/>
              <w:left w:w="80" w:type="dxa"/>
              <w:bottom w:w="80" w:type="dxa"/>
              <w:right w:w="80" w:type="dxa"/>
            </w:tcMar>
          </w:tcPr>
          <w:p>
            <w:r>
              <w:rPr>
                <w:sz w:val="19"/>
              </w:rPr>
              <w:t>Pure Java library, backed by javai-vector's CPU similarity and javai-model's JavAIVectorizable</w:t>
            </w:r>
          </w:p>
        </w:tc>
        <w:tc>
          <w:tcPr>
            <w:tcW w:type="dxa" w:w="4752"/>
            <w:tcMar>
              <w:top w:w="80" w:type="dxa"/>
              <w:left w:w="80" w:type="dxa"/>
              <w:bottom w:w="80" w:type="dxa"/>
              <w:right w:w="80" w:type="dxa"/>
            </w:tcMar>
          </w:tcPr>
          <w:p>
            <w:r>
              <w:rPr>
                <w:sz w:val="19"/>
              </w:rPr>
              <w:t>JavAIList/JavAISet/JavAIMap, VectorIndex, KnowledgeGraph + SubgraphResult — fully functional per §6, not index-optimized</w:t>
            </w:r>
          </w:p>
        </w:tc>
      </w:tr>
      <w:tr>
        <w:tc>
          <w:tcPr>
            <w:tcW w:type="dxa" w:w="2736"/>
            <w:tcMar>
              <w:top w:w="80" w:type="dxa"/>
              <w:left w:w="80" w:type="dxa"/>
              <w:bottom w:w="80" w:type="dxa"/>
              <w:right w:w="80" w:type="dxa"/>
            </w:tcMar>
          </w:tcPr>
          <w:p>
            <w:r>
              <w:rPr>
                <w:sz w:val="19"/>
              </w:rPr>
              <w:t>javai-persistence (JavAIPI)</w:t>
            </w:r>
          </w:p>
        </w:tc>
        <w:tc>
          <w:tcPr>
            <w:tcW w:type="dxa" w:w="4320"/>
            <w:tcMar>
              <w:top w:w="80" w:type="dxa"/>
              <w:left w:w="80" w:type="dxa"/>
              <w:bottom w:w="80" w:type="dxa"/>
              <w:right w:w="80" w:type="dxa"/>
            </w:tcMar>
          </w:tcPr>
          <w:p>
            <w:r>
              <w:rPr>
                <w:sz w:val="19"/>
              </w:rPr>
              <w:t>Hibernate-based shim: ByteBuddy enhancement via Hibernate's EnhancementContext SPI + hibernate-vector; JavAIRepository delegates to Spring Data's existing derived-query-method machinery rather than reimplementing it</w:t>
            </w:r>
          </w:p>
        </w:tc>
        <w:tc>
          <w:tcPr>
            <w:tcW w:type="dxa" w:w="4752"/>
            <w:tcMar>
              <w:top w:w="80" w:type="dxa"/>
              <w:left w:w="80" w:type="dxa"/>
              <w:bottom w:w="80" w:type="dxa"/>
              <w:right w:w="80" w:type="dxa"/>
            </w:tcMar>
          </w:tcPr>
          <w:p>
            <w:r>
              <w:rPr>
                <w:sz w:val="19"/>
              </w:rPr>
              <w:t>Both persistence backends promised in §4.4 — relational+pgvector AND Neo4j — are real in Phase 0, not aspirational</w:t>
            </w:r>
          </w:p>
        </w:tc>
      </w:tr>
      <w:tr>
        <w:tc>
          <w:tcPr>
            <w:tcW w:type="dxa" w:w="2736"/>
            <w:tcMar>
              <w:top w:w="80" w:type="dxa"/>
              <w:left w:w="80" w:type="dxa"/>
              <w:bottom w:w="80" w:type="dxa"/>
              <w:right w:w="80" w:type="dxa"/>
            </w:tcMar>
          </w:tcPr>
          <w:p>
            <w:r>
              <w:rPr>
                <w:sz w:val="19"/>
              </w:rPr>
              <w:t>javai-completion</w:t>
            </w:r>
          </w:p>
        </w:tc>
        <w:tc>
          <w:tcPr>
            <w:tcW w:type="dxa" w:w="4320"/>
            <w:tcMar>
              <w:top w:w="80" w:type="dxa"/>
              <w:left w:w="80" w:type="dxa"/>
              <w:bottom w:w="80" w:type="dxa"/>
              <w:right w:w="80" w:type="dxa"/>
            </w:tcMar>
          </w:tcPr>
          <w:p>
            <w:r>
              <w:rPr>
                <w:sz w:val="19"/>
              </w:rPr>
              <w:t>Wraps Spring AI ChatModel implementations behind JavAICompletionProvider</w:t>
            </w:r>
          </w:p>
        </w:tc>
        <w:tc>
          <w:tcPr>
            <w:tcW w:type="dxa" w:w="4752"/>
            <w:tcMar>
              <w:top w:w="80" w:type="dxa"/>
              <w:left w:w="80" w:type="dxa"/>
              <w:bottom w:w="80" w:type="dxa"/>
              <w:right w:w="80" w:type="dxa"/>
            </w:tcMar>
          </w:tcPr>
          <w:p>
            <w:r>
              <w:rPr>
                <w:sz w:val="19"/>
              </w:rPr>
              <w:t>The complete §7 Completion/RAG API: PromptContext, CompletionRequest/Result, subgraph .toContext() serialization, virtual-thread-backed complete()/completeStreaming() — no GPU or invokedynamic dependency at all</w:t>
            </w:r>
          </w:p>
        </w:tc>
      </w:tr>
    </w:tbl>
    <w:p>
      <w:pPr>
        <w:spacing w:after="160"/>
      </w:pPr>
      <w:r>
        <w:rPr>
          <w:b w:val="0"/>
          <w:i w:val="0"/>
        </w:rPr>
        <w:t>The explicit, accepted tradeoff: similarityTo(), query(), and sortByCosineDistance() all run a naive O(n) CPU scan in Phase 0 — correct, not fast. That's fine per the brief that performance isn't a Phase 0 concern; it's exactly the gap Phase 2 closes without changing any public API.</w:t>
      </w:r>
    </w:p>
    <w:p>
      <w:pPr>
        <w:pStyle w:val="Heading2"/>
      </w:pPr>
      <w:r>
        <w:t>9.2 Phase 1 — Real Compiler (Performance &amp; Tooling, Not New Features)</w:t>
      </w:r>
    </w:p>
    <w:p>
      <w:pPr>
        <w:pStyle w:val="ListBullet"/>
      </w:pPr>
      <w:r>
        <w:t>javaic (javac Plugin SPI) replaces the Phase 0 agent/enhancer with compile-time codegen: faster startup with no agent required, and no runtime-weaving surprises.</w:t>
      </w:r>
    </w:p>
    <w:p>
      <w:pPr>
        <w:pStyle w:val="ListBullet"/>
      </w:pPr>
      <w:r>
        <w:t>IDE plugin (syntax highlighting, inline diagnostics) — practical once a real compiler front end exists to hook editor tooling into; not really buildable against a runtime-weaving Phase 0.</w:t>
      </w:r>
    </w:p>
    <w:p>
      <w:pPr>
        <w:pStyle w:val="ListBullet"/>
      </w:pPr>
      <w:r>
        <w:t>Strict-superset syntax extensions, only if some capability genuinely can't be expressed through annotations alone — not assumed necessary.</w:t>
      </w:r>
    </w:p>
    <w:p>
      <w:pPr>
        <w:pStyle w:val="Heading2"/>
      </w:pPr>
      <w:r>
        <w:t>9.3 Phase 2 — JVM Acceleration</w:t>
      </w:r>
    </w:p>
    <w:p>
      <w:pPr>
        <w:pStyle w:val="ListBullet"/>
      </w:pPr>
      <w:r>
        <w:t>invokedynamic-based backend dispatch replaces Phase 0's plain virtual/interface calls for choosing a similarity/embedding backend — same JavAISimilarityBackend SPI, faster call sites.</w:t>
      </w:r>
    </w:p>
    <w:p>
      <w:pPr>
        <w:pStyle w:val="ListBullet"/>
      </w:pPr>
      <w:r>
        <w:t>Panama FFI + GPU backend via cuvs-java/NVIDIA cuVS replaces Phase 0's CPU-only reference backend — same SPI, drop-in.</w:t>
      </w:r>
    </w:p>
    <w:p>
      <w:pPr>
        <w:pStyle w:val="ListBullet"/>
      </w:pPr>
      <w:r>
        <w:t>Back-edge dependency runtime optimization: batching and debouncing under sustained mutation load, where Phase 0's naive immediate walk is correct but untuned.</w:t>
      </w:r>
    </w:p>
    <w:p>
      <w:pPr>
        <w:pStyle w:val="Heading2"/>
      </w:pPr>
      <w:r>
        <w:t>9.4 Phase 3 — Additional Optimizations</w:t>
      </w:r>
    </w:p>
    <w:p>
      <w:pPr>
        <w:pStyle w:val="ListBullet"/>
      </w:pPr>
      <w:r>
        <w:t>Optional JavAIVM: a GraalVM-based distribution offering deeper JIT awareness of vectorization patterns — an accelerated path, never a requirement (§3).</w:t>
      </w:r>
    </w:p>
    <w:p>
      <w:pPr>
        <w:pStyle w:val="ListBullet"/>
      </w:pPr>
      <w:r>
        <w:t>Embedding-model versioning pipeline at scale: the coexisting-versions capability itself already exists in Phase 0 via EmbeddingVector.modelId (§6.2) — this phase is about large-graph background re-indexing throughput, not the capability.</w:t>
      </w:r>
    </w:p>
    <w:p>
      <w:pPr>
        <w:pStyle w:val="ListBullet"/>
      </w:pPr>
      <w:r>
        <w:t>Distributed or sharded vector index for graphs beyond single-node memory/GPU capacity.</w:t>
      </w:r>
    </w:p>
    <w:p>
      <w:pPr>
        <w:pStyle w:val="ListBullet"/>
      </w:pPr>
      <w:r>
        <w:t>Mature IDE tooling; a standardization push for JavAIPI only if adoption warrants it.</w:t>
      </w:r>
    </w:p>
    <w:p>
      <w:r>
        <w:br w:type="page"/>
      </w:r>
    </w:p>
    <w:p>
      <w:pPr>
        <w:pStyle w:val="Heading1"/>
      </w:pPr>
      <w:r>
        <w:t>10. Go/No-Go Analysis</w:t>
      </w:r>
    </w:p>
    <w:p>
      <w:pPr>
        <w:pStyle w:val="Heading2"/>
      </w:pPr>
      <w:r>
        <w:t>10.1 Case For</w:t>
      </w:r>
    </w:p>
    <w:p>
      <w:pPr>
        <w:pStyle w:val="ListBullet"/>
      </w:pPr>
      <w:r>
        <w:t>Genuine whitespace on the core differentiator, confirmed independently in relational-ORM, graph-OGM, and language-survey research (§8) — automatic mutation-triggered vectorization was not found anywhere.</w:t>
      </w:r>
    </w:p>
    <w:p>
      <w:pPr>
        <w:pStyle w:val="ListBullet"/>
      </w:pPr>
      <w:r>
        <w:t>Every proposed mechanism has sound, legitimate precedent (Manifold, Hibernate/ByteBuddy, invokedynamic, Panama FFI/cuvs-java) — this is buildable without a JDK fork or a Lombok-style maintenance trap.</w:t>
      </w:r>
    </w:p>
    <w:p>
      <w:pPr>
        <w:pStyle w:val="ListBullet"/>
      </w:pPr>
      <w:r>
        <w:t>The GPU path is already de-risked by working production precedent (cuvs-java, Elasticsearch's GPU vector indexing).</w:t>
      </w:r>
    </w:p>
    <w:p>
      <w:pPr>
        <w:pStyle w:val="ListBullet"/>
      </w:pPr>
      <w:r>
        <w:t>Building on Java inherits a large existing ecosystem, tooling base, and developer pool — directly serving the goal of building something people could actually use, rather than a syntax nobody knows.</w:t>
      </w:r>
    </w:p>
    <w:p>
      <w:pPr>
        <w:pStyle w:val="Heading2"/>
      </w:pPr>
      <w:r>
        <w:t>10.2 Case Against / Risks</w:t>
      </w:r>
    </w:p>
    <w:p>
      <w:pPr>
        <w:pStyle w:val="ListBullet"/>
      </w:pPr>
      <w:r>
        <w:t>Total scope — compiler, runtime, bytecode enhancer, ORM shim, native graph types, GPU dispatch, annotation system, and IDE tooling — is a multi-year effort even conservatively scoped.</w:t>
      </w:r>
    </w:p>
    <w:p>
      <w:pPr>
        <w:pStyle w:val="ListBullet"/>
      </w:pPr>
      <w:r>
        <w:t>IDE tooling specifically is a large, easily underestimated parallel cost; it was central to Kotlin's and Scala's adoption and has no shortcut.</w:t>
      </w:r>
    </w:p>
    <w:p>
      <w:pPr>
        <w:pStyle w:val="ListBullet"/>
      </w:pPr>
      <w:r>
        <w:t>The jdk.incubator.vector naming collision persists for years (not resolved before ~2027–2028) — manageable through naming discipline, not a blocker, but an ongoing tax on documentation and search visibility.</w:t>
      </w:r>
    </w:p>
    <w:p>
      <w:pPr>
        <w:pStyle w:val="ListBullet"/>
      </w:pPr>
      <w:r>
        <w:t>Hybrid graph+vector querying is already well served at the library layer (Neo4j + LangChain/LlamaIndex) — the pitch must stay precisely scoped to object-model automation rather than re-claiming already-solved ground.</w:t>
      </w:r>
    </w:p>
    <w:p>
      <w:pPr>
        <w:pStyle w:val="ListBullet"/>
      </w:pPr>
      <w:r>
        <w:t>Even best-in-class precedent (Manifold — technically clean, actively maintained) appears to have modest mainstream adoption relative to major JVM languages, suggesting “Java extension via compiler plugin” has an adoption ceiling regardless of technical quality.</w:t>
      </w:r>
    </w:p>
    <w:p>
      <w:pPr>
        <w:pStyle w:val="ListBullet"/>
      </w:pPr>
      <w:r>
        <w:t>The space is moving quickly; a multi-year effort risks the landscape shifting under it before the compiler-based phases ship.</w:t>
      </w:r>
    </w:p>
    <w:p>
      <w:pPr>
        <w:pStyle w:val="Heading2"/>
      </w:pPr>
      <w:r>
        <w:t>10.3 Recommendation: Conditional Go</w:t>
      </w:r>
    </w:p>
    <w:p>
      <w:pPr>
        <w:spacing w:after="160"/>
      </w:pPr>
      <w:r>
        <w:rPr>
          <w:b w:val="0"/>
          <w:i w:val="0"/>
        </w:rPr>
        <w:t>Proceed — but treat Phase 0 as a hard gate, not a formality, and treat this project's success criteria as validation, not language adoption. Ship the full functional surface (§9.1) first: every annotation, collection, auto-generated method, both persistence backends, and the complete Completion/RAG API, delivered via runtime bytecode weaving rather than a compiler. Use real usage of that release to test the core thesis — that automatic vectorization-on-mutation is something developers actually want enough to adopt — before committing to a compiler, a new type system, or an accelerated runtime. Because Phase 0 is already functionally complete rather than a stripped-down proof of concept, this is a materially cheaper way to find out the idea doesn't have legs, if that turns out to be the case, than discovering it after building a compiler first.</w:t>
      </w:r>
    </w:p>
    <w:p>
      <w:pPr>
        <w:spacing w:after="160"/>
      </w:pPr>
      <w:r>
        <w:rPr>
          <w:b w:val="0"/>
          <w:i w:val="0"/>
        </w:rPr>
        <w:t>Because JavAI Extensions is explicitly a testbed (§2.1) rather than a bid to establish a new language, there is no single pass/fail outcome. Three exits are all legitimate: (1) one or more extensions prove popular enough to justify a JEP proposal or serious upstream conversation with the Java platform itself — the best case, and the one this framing is designed to make more likely than a from-scratch language ever could; (2) extensions remain a useful, self-contained library that some teams adopt and most don't — a perfectly good outcome, not a failure, since Phase 0 never required a compiler-scale investment to get there; (3) real usage shows the core thesis doesn't hold — also a good outcome, discovered cheaply, since nothing past Phase 0 was ever committed to. Only the third outcome should stop the roadmap; the first two both justify continuing, at whatever pace adoption warrants.</w:t>
      </w:r>
    </w:p>
    <w:p>
      <w:pPr>
        <w:pStyle w:val="Heading1"/>
      </w:pPr>
      <w:r>
        <w:t>11. Risks &amp; Open Questions</w:t>
      </w:r>
    </w:p>
    <w:p>
      <w:pPr>
        <w:pStyle w:val="Heading2"/>
      </w:pPr>
      <w:r>
        <w:t>11.1 Naming Collision — Resolved</w:t>
      </w:r>
    </w:p>
    <w:p>
      <w:pPr>
        <w:spacing w:after="160"/>
      </w:pPr>
      <w:r>
        <w:rPr>
          <w:b w:val="0"/>
          <w:i w:val="0"/>
        </w:rPr>
        <w:t>“Jai” is already the name of an actively developed, well-known programming language by Jonathan Blow, with an existing Wikipedia page, an established community, and — significantly for timing — a planned open-sourcing of its compiler and engine later in 2026, alongside the release of his game Order of the Sinking Star. That was a real, not theoretical, collision: continuing to use “JAI” risked confusion, poor discoverability, and possible pushback from that project's community right as both projects would be gaining visibility. The project has been renamed to “JavAI” throughout this document as a result. A web search on “JavAI” as of 2026-07-06 turned up no existing programming language, product, or registered trademark under that name. That is a reasonable signal, not a clearance: a formal trademark search is still recommended before any public repository, domain registration, or announcement.</w:t>
      </w:r>
    </w:p>
    <w:p>
      <w:pPr>
        <w:spacing w:after="160"/>
      </w:pPr>
      <w:r>
        <w:rPr>
          <w:b w:val="0"/>
          <w:i w:val="0"/>
        </w:rPr>
        <w:t>A second, non-naming change followed on 2026-07-07: the project itself was reframed from “a proposed new language” to “JavAI Extensions,” an extension layer and validation testbed for Java (§1, §2.1, §10.3). This wasn't forced by any collision — it's a deliberate positioning change, made because the actual architecture (runtime bytecode weaving in Phase 0, the hard interop guarantee in §3, a real compiler treated as optional tooling rather than the goal) already described an extension layer more accurately than a language. The rename to “JavAI Extensions” makes the document's framing match the design it was already committed to.</w:t>
      </w:r>
    </w:p>
    <w:p>
      <w:pPr>
        <w:pStyle w:val="Heading2"/>
      </w:pPr>
      <w:r>
        <w:t>11.2 Other Open Items</w:t>
      </w:r>
    </w:p>
    <w:p>
      <w:pPr>
        <w:pStyle w:val="ListBullet"/>
      </w:pPr>
      <w:r>
        <w:t>Reflection-heavy frameworks (Spring, etc.) were not designed around synthetic back-edge fields — compatibility needs hands-on validation, not just architectural reasoning.</w:t>
      </w:r>
    </w:p>
    <w:p>
      <w:pPr>
        <w:pStyle w:val="ListBullet"/>
      </w:pPr>
      <w:r>
        <w:t>Long-term maintenance burden of depending on the javac Plugin SPI across JDK releases — materially lower risk than Lombok's approach, but not zero.</w:t>
      </w:r>
    </w:p>
    <w:p>
      <w:pPr>
        <w:pStyle w:val="ListBullet"/>
      </w:pPr>
      <w:r>
        <w:t>Embedding-model choice and licensing for “built-in local embedding generation” — not yet researched; needs its own evaluation pass (model size, license, quality/latency tradeoffs for an in-process default).</w:t>
      </w:r>
    </w:p>
    <w:p>
      <w:pPr>
        <w:pStyle w:val="ListBullet"/>
      </w:pPr>
      <w:r>
        <w:t>Team size and capacity against the realistic multi-year scope in §9 — the roadmap describes sequencing, not a staffing plan.</w:t>
      </w:r>
    </w:p>
    <w:p>
      <w:r>
        <w:br w:type="page"/>
      </w:r>
    </w:p>
    <w:p>
      <w:pPr>
        <w:pStyle w:val="Heading1"/>
      </w:pPr>
      <w:r>
        <w:t>Appendix A: End-to-End Example</w:t>
      </w:r>
    </w:p>
    <w:p>
      <w:pPr>
        <w:spacing w:after="160"/>
      </w:pPr>
      <w:r>
        <w:rPr>
          <w:b w:val="0"/>
          <w:i w:val="0"/>
        </w:rPr>
        <w:t>One continuous walkthrough, in the same TLS-zero-day domain used throughout this document: search by a vectorized input, pull a match into memory, query two different sub-graphs from it, ground two different completions in those results, mutate the object, and persist the outcome. Every mechanism used below is documented individually in §6 and §7 — this appendix's only job is showing them in sequence, on one object, in one request.</w:t>
      </w:r>
    </w:p>
    <w:p>
      <w:pPr>
        <w:pStyle w:val="Heading2"/>
      </w:pPr>
      <w:r>
        <w:t>A.1 Vectorize the Input, Pull the Match Into Memory</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interface</w:t>
            </w:r>
            <w:r>
              <w:rPr>
                <w:rFonts w:ascii="Consolas" w:hAnsi="Consolas"/>
                <w:color w:val="D4D4D4"/>
                <w:sz w:val="19"/>
              </w:rPr>
              <w:t xml:space="preserve"> </w:t>
            </w:r>
            <w:r>
              <w:rPr>
                <w:rFonts w:ascii="Consolas" w:hAnsi="Consolas"/>
                <w:color w:val="4EC9C0"/>
                <w:sz w:val="19"/>
              </w:rPr>
              <w:t>ArticleRepository</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C0"/>
                <w:sz w:val="19"/>
              </w:rPr>
              <w:t>JavAIRepository</w:t>
            </w:r>
            <w:r>
              <w:rPr>
                <w:rFonts w:ascii="Consolas" w:hAnsi="Consolas"/>
                <w:color w:val="D4D4D4"/>
                <w:sz w:val="19"/>
              </w:rPr>
              <w:t>&lt;</w:t>
            </w:r>
            <w:r>
              <w:rPr>
                <w:rFonts w:ascii="Consolas" w:hAnsi="Consolas"/>
                <w:color w:val="4EC9C0"/>
                <w:sz w:val="19"/>
              </w:rPr>
              <w:t>Article</w:t>
            </w:r>
            <w:r>
              <w:rPr>
                <w:rFonts w:ascii="Consolas" w:hAnsi="Consolas"/>
                <w:color w:val="D4D4D4"/>
                <w:sz w:val="19"/>
              </w:rPr>
              <w:t>&gt; {</w:t>
            </w:r>
          </w:p>
          <w:p>
            <w:pPr>
              <w:spacing w:before="0" w:after="0" w:line="240" w:lineRule="auto"/>
            </w:pPr>
            <w:r>
              <w:rPr>
                <w:rFonts w:ascii="Consolas" w:hAnsi="Consolas"/>
                <w:color w:val="D4D4D4"/>
                <w:sz w:val="19"/>
              </w:rPr>
              <w:t xml:space="preserve">    </w:t>
            </w:r>
            <w:r>
              <w:rPr>
                <w:rFonts w:ascii="Consolas" w:hAnsi="Consolas"/>
                <w:color w:val="4EC9C0"/>
                <w:sz w:val="19"/>
              </w:rPr>
              <w:t>List</w:t>
            </w:r>
            <w:r>
              <w:rPr>
                <w:rFonts w:ascii="Consolas" w:hAnsi="Consolas"/>
                <w:color w:val="D4D4D4"/>
                <w:sz w:val="19"/>
              </w:rPr>
              <w:t>&lt;</w:t>
            </w:r>
            <w:r>
              <w:rPr>
                <w:rFonts w:ascii="Consolas" w:hAnsi="Consolas"/>
                <w:color w:val="4EC9C0"/>
                <w:sz w:val="19"/>
              </w:rPr>
              <w:t>Article</w:t>
            </w:r>
            <w:r>
              <w:rPr>
                <w:rFonts w:ascii="Consolas" w:hAnsi="Consolas"/>
                <w:color w:val="D4D4D4"/>
                <w:sz w:val="19"/>
              </w:rPr>
              <w:t xml:space="preserve">&gt; </w:t>
            </w:r>
            <w:r>
              <w:rPr>
                <w:rFonts w:ascii="Consolas" w:hAnsi="Consolas"/>
                <w:color w:val="DCDCAA"/>
                <w:sz w:val="19"/>
              </w:rPr>
              <w:t>findNearestByVector</w:t>
            </w:r>
            <w:r>
              <w:rPr>
                <w:rFonts w:ascii="Consolas" w:hAnsi="Consolas"/>
                <w:color w:val="D4D4D4"/>
                <w:sz w:val="19"/>
              </w:rPr>
              <w:t>(</w:t>
            </w:r>
            <w:r>
              <w:rPr>
                <w:rFonts w:ascii="Consolas" w:hAnsi="Consolas"/>
                <w:color w:val="4EC9C0"/>
                <w:sz w:val="19"/>
              </w:rPr>
              <w:t>EmbeddingVector</w:t>
            </w:r>
            <w:r>
              <w:rPr>
                <w:rFonts w:ascii="Consolas" w:hAnsi="Consolas"/>
                <w:color w:val="D4D4D4"/>
                <w:sz w:val="19"/>
              </w:rPr>
              <w:t xml:space="preserve"> reference, </w:t>
            </w:r>
            <w:r>
              <w:rPr>
                <w:rFonts w:ascii="Consolas" w:hAnsi="Consolas"/>
                <w:color w:val="569CD6"/>
                <w:sz w:val="19"/>
              </w:rPr>
              <w:t>int</w:t>
            </w:r>
            <w:r>
              <w:rPr>
                <w:rFonts w:ascii="Consolas" w:hAnsi="Consolas"/>
                <w:color w:val="D4D4D4"/>
                <w:sz w:val="19"/>
              </w:rPr>
              <w:t xml:space="preserve"> limit);</w:t>
            </w:r>
          </w:p>
          <w:p>
            <w:pPr>
              <w:spacing w:before="0" w:after="0" w:line="240" w:lineRule="auto"/>
            </w:pP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ArticleRepository</w:t>
            </w:r>
            <w:r>
              <w:rPr>
                <w:rFonts w:ascii="Consolas" w:hAnsi="Consolas"/>
                <w:color w:val="D4D4D4"/>
                <w:sz w:val="19"/>
              </w:rPr>
              <w:t xml:space="preserve"> articles = </w:t>
            </w:r>
            <w:r>
              <w:rPr>
                <w:rFonts w:ascii="Consolas" w:hAnsi="Consolas"/>
                <w:color w:val="4EC9C0"/>
                <w:sz w:val="19"/>
              </w:rPr>
              <w:t>JavAIPI</w:t>
            </w:r>
            <w:r>
              <w:rPr>
                <w:rFonts w:ascii="Consolas" w:hAnsi="Consolas"/>
                <w:color w:val="D4D4D4"/>
                <w:sz w:val="19"/>
              </w:rPr>
              <w:t>.</w:t>
            </w:r>
            <w:r>
              <w:rPr>
                <w:rFonts w:ascii="Consolas" w:hAnsi="Consolas"/>
                <w:color w:val="DCDCAA"/>
                <w:sz w:val="19"/>
              </w:rPr>
              <w:t>repository</w:t>
            </w:r>
            <w:r>
              <w:rPr>
                <w:rFonts w:ascii="Consolas" w:hAnsi="Consolas"/>
                <w:color w:val="D4D4D4"/>
                <w:sz w:val="19"/>
              </w:rPr>
              <w:t>(</w:t>
            </w:r>
            <w:r>
              <w:rPr>
                <w:rFonts w:ascii="Consolas" w:hAnsi="Consolas"/>
                <w:color w:val="4EC9C0"/>
                <w:sz w:val="19"/>
              </w:rPr>
              <w:t>ArticleRepository</w:t>
            </w:r>
            <w:r>
              <w:rPr>
                <w:rFonts w:ascii="Consolas" w:hAnsi="Consolas"/>
                <w:color w:val="D4D4D4"/>
                <w:sz w:val="19"/>
              </w:rPr>
              <w:t>.</w:t>
            </w:r>
            <w:r>
              <w:rPr>
                <w:rFonts w:ascii="Consolas" w:hAnsi="Consolas"/>
                <w:color w:val="569CD6"/>
                <w:sz w:val="19"/>
              </w:rPr>
              <w:t>class</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EmbeddingVector</w:t>
            </w:r>
            <w:r>
              <w:rPr>
                <w:rFonts w:ascii="Consolas" w:hAnsi="Consolas"/>
                <w:color w:val="D4D4D4"/>
                <w:sz w:val="19"/>
              </w:rPr>
              <w:t xml:space="preserve"> queryVector =</w:t>
            </w:r>
          </w:p>
          <w:p>
            <w:pPr>
              <w:spacing w:before="0" w:after="0" w:line="240" w:lineRule="auto"/>
            </w:pPr>
            <w:r>
              <w:rPr>
                <w:rFonts w:ascii="Consolas" w:hAnsi="Consolas"/>
                <w:color w:val="D4D4D4"/>
                <w:sz w:val="19"/>
              </w:rPr>
              <w:t xml:space="preserve">    embeddingProvider.</w:t>
            </w:r>
            <w:r>
              <w:rPr>
                <w:rFonts w:ascii="Consolas" w:hAnsi="Consolas"/>
                <w:color w:val="DCDCAA"/>
                <w:sz w:val="19"/>
              </w:rPr>
              <w:t>embed</w:t>
            </w:r>
            <w:r>
              <w:rPr>
                <w:rFonts w:ascii="Consolas" w:hAnsi="Consolas"/>
                <w:color w:val="D4D4D4"/>
                <w:sz w:val="19"/>
              </w:rPr>
              <w:t>(</w:t>
            </w:r>
            <w:r>
              <w:rPr>
                <w:rFonts w:ascii="Consolas" w:hAnsi="Consolas"/>
                <w:color w:val="CE9178"/>
                <w:sz w:val="19"/>
              </w:rPr>
              <w:t>"supply chain risk in widely used open-source libraries"</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List</w:t>
            </w:r>
            <w:r>
              <w:rPr>
                <w:rFonts w:ascii="Consolas" w:hAnsi="Consolas"/>
                <w:color w:val="D4D4D4"/>
                <w:sz w:val="19"/>
              </w:rPr>
              <w:t>&lt;</w:t>
            </w:r>
            <w:r>
              <w:rPr>
                <w:rFonts w:ascii="Consolas" w:hAnsi="Consolas"/>
                <w:color w:val="4EC9C0"/>
                <w:sz w:val="19"/>
              </w:rPr>
              <w:t>Article</w:t>
            </w:r>
            <w:r>
              <w:rPr>
                <w:rFonts w:ascii="Consolas" w:hAnsi="Consolas"/>
                <w:color w:val="D4D4D4"/>
                <w:sz w:val="19"/>
              </w:rPr>
              <w:t>&gt; matches = articles.</w:t>
            </w:r>
            <w:r>
              <w:rPr>
                <w:rFonts w:ascii="Consolas" w:hAnsi="Consolas"/>
                <w:color w:val="DCDCAA"/>
                <w:sz w:val="19"/>
              </w:rPr>
              <w:t>findNearestByVector</w:t>
            </w:r>
            <w:r>
              <w:rPr>
                <w:rFonts w:ascii="Consolas" w:hAnsi="Consolas"/>
                <w:color w:val="D4D4D4"/>
                <w:sz w:val="19"/>
              </w:rPr>
              <w:t xml:space="preserve">(queryVector, </w:t>
            </w:r>
            <w:r>
              <w:rPr>
                <w:rFonts w:ascii="Consolas" w:hAnsi="Consolas"/>
                <w:color w:val="B5CEA8"/>
                <w:sz w:val="19"/>
              </w:rPr>
              <w:t>5</w:t>
            </w:r>
            <w:r>
              <w:rPr>
                <w:rFonts w:ascii="Consolas" w:hAnsi="Consolas"/>
                <w:color w:val="D4D4D4"/>
                <w:sz w:val="19"/>
              </w:rPr>
              <w:t>);</w:t>
            </w:r>
          </w:p>
          <w:p>
            <w:pPr>
              <w:spacing w:before="0" w:after="0" w:line="240" w:lineRule="auto"/>
            </w:pPr>
            <w:r>
              <w:rPr>
                <w:rFonts w:ascii="Consolas" w:hAnsi="Consolas"/>
                <w:color w:val="4EC9C0"/>
                <w:sz w:val="19"/>
              </w:rPr>
              <w:t>Article</w:t>
            </w:r>
            <w:r>
              <w:rPr>
                <w:rFonts w:ascii="Consolas" w:hAnsi="Consolas"/>
                <w:color w:val="D4D4D4"/>
                <w:sz w:val="19"/>
              </w:rPr>
              <w:t xml:space="preserve"> zeroDay = matches.</w:t>
            </w:r>
            <w:r>
              <w:rPr>
                <w:rFonts w:ascii="Consolas" w:hAnsi="Consolas"/>
                <w:color w:val="DCDCAA"/>
                <w:sz w:val="19"/>
              </w:rPr>
              <w:t>get</w:t>
            </w:r>
            <w:r>
              <w:rPr>
                <w:rFonts w:ascii="Consolas" w:hAnsi="Consolas"/>
                <w:color w:val="D4D4D4"/>
                <w:sz w:val="19"/>
              </w:rPr>
              <w:t>(</w:t>
            </w:r>
            <w:r>
              <w:rPr>
                <w:rFonts w:ascii="Consolas" w:hAnsi="Consolas"/>
                <w:color w:val="B5CEA8"/>
                <w:sz w:val="19"/>
              </w:rPr>
              <w:t>0</w:t>
            </w:r>
            <w:r>
              <w:rPr>
                <w:rFonts w:ascii="Consolas" w:hAnsi="Consolas"/>
                <w:color w:val="D4D4D4"/>
                <w:sz w:val="19"/>
              </w:rPr>
              <w:t xml:space="preserve">);   </w:t>
            </w:r>
            <w:r>
              <w:rPr>
                <w:rFonts w:ascii="Consolas" w:hAnsi="Consolas"/>
                <w:i/>
                <w:color w:val="6A9955"/>
                <w:sz w:val="19"/>
              </w:rPr>
              <w:t>// "Zero-day disclosed in widely used TLS library"</w:t>
            </w:r>
          </w:p>
        </w:tc>
      </w:tr>
    </w:tbl>
    <w:p>
      <w:pPr>
        <w:spacing w:before="80"/>
        <w:jc w:val="center"/>
      </w:pPr>
      <w:r>
        <w:rPr>
          <w:i/>
          <w:color w:val="555555"/>
          <w:sz w:val="19"/>
        </w:rPr>
        <w:t>Example 16. The free-text input is embedded once, then used exactly like any other reference vector.</w:t>
      </w:r>
    </w:p>
    <w:p>
      <w:pPr>
        <w:pStyle w:val="Heading2"/>
      </w:pPr>
      <w:r>
        <w:t>A.2 Query a Sub-Graph From the In-Memory Object</w:t>
      </w:r>
    </w:p>
    <w:p>
      <w:pPr>
        <w:spacing w:after="160"/>
      </w:pPr>
      <w:r>
        <w:rPr>
          <w:b w:val="0"/>
          <w:i w:val="0"/>
        </w:rPr>
        <w:t>First query: what are readers concerned about? The reference vector is zeroDay's body field specifically (§6.4), not the whole object or its summary.</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Comment</w:t>
            </w:r>
            <w:r>
              <w:rPr>
                <w:rFonts w:ascii="Consolas" w:hAnsi="Consolas"/>
                <w:color w:val="D4D4D4"/>
                <w:sz w:val="19"/>
              </w:rPr>
              <w:t>&gt; concernedReaders =</w:t>
            </w:r>
          </w:p>
          <w:p>
            <w:pPr>
              <w:spacing w:before="0" w:after="0" w:line="240" w:lineRule="auto"/>
            </w:pPr>
            <w:r>
              <w:rPr>
                <w:rFonts w:ascii="Consolas" w:hAnsi="Consolas"/>
                <w:color w:val="D4D4D4"/>
                <w:sz w:val="19"/>
              </w:rPr>
              <w:t xml:space="preserve">    zeroDay.</w:t>
            </w:r>
            <w:r>
              <w:rPr>
                <w:rFonts w:ascii="Consolas" w:hAnsi="Consolas"/>
                <w:color w:val="DCDCAA"/>
                <w:sz w:val="19"/>
              </w:rPr>
              <w:t>query</w:t>
            </w:r>
            <w:r>
              <w:rPr>
                <w:rFonts w:ascii="Consolas" w:hAnsi="Consolas"/>
                <w:color w:val="D4D4D4"/>
                <w:sz w:val="19"/>
              </w:rPr>
              <w:t>(zeroDay.</w:t>
            </w:r>
            <w:r>
              <w:rPr>
                <w:rFonts w:ascii="Consolas" w:hAnsi="Consolas"/>
                <w:color w:val="DCDCAA"/>
                <w:sz w:val="19"/>
              </w:rPr>
              <w:t>bodyVector</w:t>
            </w:r>
            <w:r>
              <w:rPr>
                <w:rFonts w:ascii="Consolas" w:hAnsi="Consolas"/>
                <w:color w:val="D4D4D4"/>
                <w:sz w:val="19"/>
              </w:rPr>
              <w:t xml:space="preserve">(), </w:t>
            </w:r>
            <w:r>
              <w:rPr>
                <w:rFonts w:ascii="Consolas" w:hAnsi="Consolas"/>
                <w:color w:val="4EC9C0"/>
                <w:sz w:val="19"/>
              </w:rPr>
              <w:t>Comment</w:t>
            </w:r>
            <w:r>
              <w:rPr>
                <w:rFonts w:ascii="Consolas" w:hAnsi="Consolas"/>
                <w:color w:val="D4D4D4"/>
                <w:sz w:val="19"/>
              </w:rPr>
              <w:t>.</w:t>
            </w:r>
            <w:r>
              <w:rPr>
                <w:rFonts w:ascii="Consolas" w:hAnsi="Consolas"/>
                <w:color w:val="569CD6"/>
                <w:sz w:val="19"/>
              </w:rPr>
              <w:t>class</w:t>
            </w:r>
            <w:r>
              <w:rPr>
                <w:rFonts w:ascii="Consolas" w:hAnsi="Consolas"/>
                <w:color w:val="D4D4D4"/>
                <w:sz w:val="19"/>
              </w:rPr>
              <w:t>);</w:t>
            </w:r>
          </w:p>
        </w:tc>
      </w:tr>
    </w:tbl>
    <w:p>
      <w:pPr>
        <w:spacing w:before="80"/>
        <w:jc w:val="center"/>
      </w:pPr>
      <w:r>
        <w:rPr>
          <w:i/>
          <w:color w:val="555555"/>
          <w:sz w:val="19"/>
        </w:rPr>
        <w:t>Example 17. First sub-graph query — direct and indirect Comments, ranked by relevance to the write-up.</w:t>
      </w:r>
    </w:p>
    <w:p>
      <w:pPr>
        <w:pStyle w:val="Heading2"/>
      </w:pPr>
      <w:r>
        <w:t>A.3 Ground a Completion in Those Results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CompletionRequest</w:t>
            </w:r>
            <w:r>
              <w:rPr>
                <w:rFonts w:ascii="Consolas" w:hAnsi="Consolas"/>
                <w:color w:val="D4D4D4"/>
                <w:sz w:val="19"/>
              </w:rPr>
              <w:t xml:space="preserve"> triageBrief = </w:t>
            </w:r>
            <w:r>
              <w:rPr>
                <w:rFonts w:ascii="Consolas" w:hAnsi="Consolas"/>
                <w:color w:val="4EC9C0"/>
                <w:sz w:val="19"/>
              </w:rPr>
              <w:t>CompletionRequest</w:t>
            </w:r>
            <w:r>
              <w:rPr>
                <w:rFonts w:ascii="Consolas" w:hAnsi="Consolas"/>
                <w:color w:val="D4D4D4"/>
                <w:sz w:val="19"/>
              </w:rPr>
              <w:t>.</w:t>
            </w:r>
            <w:r>
              <w:rPr>
                <w:rFonts w:ascii="Consolas" w:hAnsi="Consolas"/>
                <w:color w:val="DCDCAA"/>
                <w:sz w:val="19"/>
              </w:rPr>
              <w:t>builder</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prompt</w:t>
            </w:r>
            <w:r>
              <w:rPr>
                <w:rFonts w:ascii="Consolas" w:hAnsi="Consolas"/>
                <w:color w:val="D4D4D4"/>
                <w:sz w:val="19"/>
              </w:rPr>
              <w:t>(</w:t>
            </w:r>
            <w:r>
              <w:rPr>
                <w:rFonts w:ascii="Consolas" w:hAnsi="Consolas"/>
                <w:color w:val="CE9178"/>
                <w:sz w:val="19"/>
              </w:rPr>
              <w:t>"In two sentences, summarize what readers are most worried about."</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context</w:t>
            </w:r>
            <w:r>
              <w:rPr>
                <w:rFonts w:ascii="Consolas" w:hAnsi="Consolas"/>
                <w:color w:val="D4D4D4"/>
                <w:sz w:val="19"/>
              </w:rPr>
              <w:t>(concernedReaders.</w:t>
            </w:r>
            <w:r>
              <w:rPr>
                <w:rFonts w:ascii="Consolas" w:hAnsi="Consolas"/>
                <w:color w:val="DCDCAA"/>
                <w:sz w:val="19"/>
              </w:rPr>
              <w:t>toContext</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maxTokens</w:t>
            </w:r>
            <w:r>
              <w:rPr>
                <w:rFonts w:ascii="Consolas" w:hAnsi="Consolas"/>
                <w:color w:val="D4D4D4"/>
                <w:sz w:val="19"/>
              </w:rPr>
              <w:t>(</w:t>
            </w:r>
            <w:r>
              <w:rPr>
                <w:rFonts w:ascii="Consolas" w:hAnsi="Consolas"/>
                <w:color w:val="B5CEA8"/>
                <w:sz w:val="19"/>
              </w:rPr>
              <w:t>200</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build</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CompletionResult</w:t>
            </w:r>
            <w:r>
              <w:rPr>
                <w:rFonts w:ascii="Consolas" w:hAnsi="Consolas"/>
                <w:color w:val="D4D4D4"/>
                <w:sz w:val="19"/>
              </w:rPr>
              <w:t xml:space="preserve"> readerSentiment = completionProvider.</w:t>
            </w:r>
            <w:r>
              <w:rPr>
                <w:rFonts w:ascii="Consolas" w:hAnsi="Consolas"/>
                <w:color w:val="DCDCAA"/>
                <w:sz w:val="19"/>
              </w:rPr>
              <w:t>complete</w:t>
            </w:r>
            <w:r>
              <w:rPr>
                <w:rFonts w:ascii="Consolas" w:hAnsi="Consolas"/>
                <w:color w:val="D4D4D4"/>
                <w:sz w:val="19"/>
              </w:rPr>
              <w:t>(triageBrief);</w:t>
            </w:r>
          </w:p>
        </w:tc>
      </w:tr>
    </w:tbl>
    <w:p>
      <w:pPr>
        <w:spacing w:before="80"/>
        <w:jc w:val="center"/>
      </w:pPr>
      <w:r>
        <w:rPr>
          <w:i/>
          <w:color w:val="555555"/>
          <w:sz w:val="19"/>
        </w:rPr>
        <w:t>Example 18. First completion — grounded in the Comment sub-graph from A.2.</w:t>
      </w:r>
    </w:p>
    <w:p>
      <w:pPr>
        <w:pStyle w:val="Heading2"/>
      </w:pPr>
      <w:r>
        <w:t>A.4 Query a Different Sub-Graph From the Same Object</w:t>
      </w:r>
    </w:p>
    <w:p>
      <w:pPr>
        <w:spacing w:after="160"/>
      </w:pPr>
      <w:r>
        <w:rPr>
          <w:b w:val="0"/>
          <w:i w:val="0"/>
        </w:rPr>
        <w:t>Second query: what's changed in follow-up coverage? Different reference vector (the whole-object vector, not one field), different type filter (Article, not Comment), and an explicit depth limit of 1 — direct citations only, not citations-of-citations.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JavAIList</w:t>
            </w:r>
            <w:r>
              <w:rPr>
                <w:rFonts w:ascii="Consolas" w:hAnsi="Consolas"/>
                <w:color w:val="D4D4D4"/>
                <w:sz w:val="19"/>
              </w:rPr>
              <w:t>&lt;</w:t>
            </w:r>
            <w:r>
              <w:rPr>
                <w:rFonts w:ascii="Consolas" w:hAnsi="Consolas"/>
                <w:color w:val="4EC9C0"/>
                <w:sz w:val="19"/>
              </w:rPr>
              <w:t>Article</w:t>
            </w:r>
            <w:r>
              <w:rPr>
                <w:rFonts w:ascii="Consolas" w:hAnsi="Consolas"/>
                <w:color w:val="D4D4D4"/>
                <w:sz w:val="19"/>
              </w:rPr>
              <w:t>&gt; followUps =</w:t>
            </w:r>
          </w:p>
          <w:p>
            <w:pPr>
              <w:spacing w:before="0" w:after="0" w:line="240" w:lineRule="auto"/>
            </w:pPr>
            <w:r>
              <w:rPr>
                <w:rFonts w:ascii="Consolas" w:hAnsi="Consolas"/>
                <w:color w:val="D4D4D4"/>
                <w:sz w:val="19"/>
              </w:rPr>
              <w:t xml:space="preserve">    zeroDay.</w:t>
            </w:r>
            <w:r>
              <w:rPr>
                <w:rFonts w:ascii="Consolas" w:hAnsi="Consolas"/>
                <w:color w:val="DCDCAA"/>
                <w:sz w:val="19"/>
              </w:rPr>
              <w:t>query</w:t>
            </w:r>
            <w:r>
              <w:rPr>
                <w:rFonts w:ascii="Consolas" w:hAnsi="Consolas"/>
                <w:color w:val="D4D4D4"/>
                <w:sz w:val="19"/>
              </w:rPr>
              <w:t>(zeroDay.</w:t>
            </w:r>
            <w:r>
              <w:rPr>
                <w:rFonts w:ascii="Consolas" w:hAnsi="Consolas"/>
                <w:color w:val="DCDCAA"/>
                <w:sz w:val="19"/>
              </w:rPr>
              <w:t>vector</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w:t>
            </w:r>
            <w:r>
              <w:rPr>
                <w:rFonts w:ascii="Consolas" w:hAnsi="Consolas"/>
                <w:color w:val="569CD6"/>
                <w:sz w:val="19"/>
              </w:rPr>
              <w:t>class</w:t>
            </w:r>
            <w:r>
              <w:rPr>
                <w:rFonts w:ascii="Consolas" w:hAnsi="Consolas"/>
                <w:color w:val="D4D4D4"/>
                <w:sz w:val="19"/>
              </w:rPr>
              <w:t xml:space="preserve">, /* maxDepth */ </w:t>
            </w:r>
            <w:r>
              <w:rPr>
                <w:rFonts w:ascii="Consolas" w:hAnsi="Consolas"/>
                <w:color w:val="B5CEA8"/>
                <w:sz w:val="19"/>
              </w:rPr>
              <w:t>1</w:t>
            </w:r>
            <w:r>
              <w:rPr>
                <w:rFonts w:ascii="Consolas" w:hAnsi="Consolas"/>
                <w:color w:val="D4D4D4"/>
                <w:sz w:val="19"/>
              </w:rPr>
              <w:t>);</w:t>
            </w:r>
          </w:p>
        </w:tc>
      </w:tr>
    </w:tbl>
    <w:p>
      <w:pPr>
        <w:spacing w:before="80"/>
        <w:jc w:val="center"/>
      </w:pPr>
      <w:r>
        <w:rPr>
          <w:i/>
          <w:color w:val="555555"/>
          <w:sz w:val="19"/>
        </w:rPr>
        <w:t>Example 19. Second sub-graph query from the same starting object — different vector, different type, different depth.</w:t>
      </w:r>
    </w:p>
    <w:p>
      <w:pPr>
        <w:pStyle w:val="Heading2"/>
      </w:pPr>
      <w:r>
        <w:t>A.5 Ground a Different Completion in Those Results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4EC9C0"/>
                <w:sz w:val="19"/>
              </w:rPr>
              <w:t>CompletionRequest</w:t>
            </w:r>
            <w:r>
              <w:rPr>
                <w:rFonts w:ascii="Consolas" w:hAnsi="Consolas"/>
                <w:color w:val="D4D4D4"/>
                <w:sz w:val="19"/>
              </w:rPr>
              <w:t xml:space="preserve"> followUpBrief = </w:t>
            </w:r>
            <w:r>
              <w:rPr>
                <w:rFonts w:ascii="Consolas" w:hAnsi="Consolas"/>
                <w:color w:val="4EC9C0"/>
                <w:sz w:val="19"/>
              </w:rPr>
              <w:t>CompletionRequest</w:t>
            </w:r>
            <w:r>
              <w:rPr>
                <w:rFonts w:ascii="Consolas" w:hAnsi="Consolas"/>
                <w:color w:val="D4D4D4"/>
                <w:sz w:val="19"/>
              </w:rPr>
              <w:t>.</w:t>
            </w:r>
            <w:r>
              <w:rPr>
                <w:rFonts w:ascii="Consolas" w:hAnsi="Consolas"/>
                <w:color w:val="DCDCAA"/>
                <w:sz w:val="19"/>
              </w:rPr>
              <w:t>builder</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prompt</w:t>
            </w:r>
            <w:r>
              <w:rPr>
                <w:rFonts w:ascii="Consolas" w:hAnsi="Consolas"/>
                <w:color w:val="D4D4D4"/>
                <w:sz w:val="19"/>
              </w:rPr>
              <w:t>(</w:t>
            </w:r>
            <w:r>
              <w:rPr>
                <w:rFonts w:ascii="Consolas" w:hAnsi="Consolas"/>
                <w:color w:val="CE9178"/>
                <w:sz w:val="19"/>
              </w:rPr>
              <w:t>"List what has changed in the follow-up coverage since this article was published."</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context</w:t>
            </w:r>
            <w:r>
              <w:rPr>
                <w:rFonts w:ascii="Consolas" w:hAnsi="Consolas"/>
                <w:color w:val="D4D4D4"/>
                <w:sz w:val="19"/>
              </w:rPr>
              <w:t>(followUps.</w:t>
            </w:r>
            <w:r>
              <w:rPr>
                <w:rFonts w:ascii="Consolas" w:hAnsi="Consolas"/>
                <w:color w:val="DCDCAA"/>
                <w:sz w:val="19"/>
              </w:rPr>
              <w:t>toContext</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maxTokens</w:t>
            </w:r>
            <w:r>
              <w:rPr>
                <w:rFonts w:ascii="Consolas" w:hAnsi="Consolas"/>
                <w:color w:val="D4D4D4"/>
                <w:sz w:val="19"/>
              </w:rPr>
              <w:t>(</w:t>
            </w:r>
            <w:r>
              <w:rPr>
                <w:rFonts w:ascii="Consolas" w:hAnsi="Consolas"/>
                <w:color w:val="B5CEA8"/>
                <w:sz w:val="19"/>
              </w:rPr>
              <w:t>200</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DCDCAA"/>
                <w:sz w:val="19"/>
              </w:rPr>
              <w:t>build</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color w:val="4EC9C0"/>
                <w:sz w:val="19"/>
              </w:rPr>
              <w:t>CompletionResult</w:t>
            </w:r>
            <w:r>
              <w:rPr>
                <w:rFonts w:ascii="Consolas" w:hAnsi="Consolas"/>
                <w:color w:val="D4D4D4"/>
                <w:sz w:val="19"/>
              </w:rPr>
              <w:t xml:space="preserve"> followUpSummary = completionProvider.</w:t>
            </w:r>
            <w:r>
              <w:rPr>
                <w:rFonts w:ascii="Consolas" w:hAnsi="Consolas"/>
                <w:color w:val="DCDCAA"/>
                <w:sz w:val="19"/>
              </w:rPr>
              <w:t>complete</w:t>
            </w:r>
            <w:r>
              <w:rPr>
                <w:rFonts w:ascii="Consolas" w:hAnsi="Consolas"/>
                <w:color w:val="D4D4D4"/>
                <w:sz w:val="19"/>
              </w:rPr>
              <w:t>(followUpBrief);</w:t>
            </w:r>
          </w:p>
        </w:tc>
      </w:tr>
    </w:tbl>
    <w:p>
      <w:pPr>
        <w:spacing w:before="80"/>
        <w:jc w:val="center"/>
      </w:pPr>
      <w:r>
        <w:rPr>
          <w:i/>
          <w:color w:val="555555"/>
          <w:sz w:val="19"/>
        </w:rPr>
        <w:t>Example 20. Second completion — grounded in the Article sub-graph from A.4, not the Comment sub-graph from A.2.</w:t>
      </w:r>
    </w:p>
    <w:p>
      <w:pPr>
        <w:pStyle w:val="Heading2"/>
      </w:pPr>
      <w:r>
        <w:t>A.6 Update the In-Memory Object Graph</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D4D4D4"/>
                <w:sz w:val="19"/>
              </w:rPr>
              <w:t>zeroDay.</w:t>
            </w:r>
            <w:r>
              <w:rPr>
                <w:rFonts w:ascii="Consolas" w:hAnsi="Consolas"/>
                <w:color w:val="DCDCAA"/>
                <w:sz w:val="19"/>
              </w:rPr>
              <w:t>setEditorialNote</w:t>
            </w:r>
            <w:r>
              <w:rPr>
                <w:rFonts w:ascii="Consolas" w:hAnsi="Consolas"/>
                <w:color w:val="D4D4D4"/>
                <w:sz w:val="19"/>
              </w:rPr>
              <w:t>(readerSentiment.</w:t>
            </w:r>
            <w:r>
              <w:rPr>
                <w:rFonts w:ascii="Consolas" w:hAnsi="Consolas"/>
                <w:color w:val="DCDCAA"/>
                <w:sz w:val="19"/>
              </w:rPr>
              <w:t>text</w:t>
            </w:r>
            <w:r>
              <w:rPr>
                <w:rFonts w:ascii="Consolas" w:hAnsi="Consolas"/>
                <w:color w:val="D4D4D4"/>
                <w:sz w:val="19"/>
              </w:rPr>
              <w:t xml:space="preserve">() + </w:t>
            </w:r>
            <w:r>
              <w:rPr>
                <w:rFonts w:ascii="Consolas" w:hAnsi="Consolas"/>
                <w:color w:val="CE9178"/>
                <w:sz w:val="19"/>
              </w:rPr>
              <w:t>" "</w:t>
            </w:r>
            <w:r>
              <w:rPr>
                <w:rFonts w:ascii="Consolas" w:hAnsi="Consolas"/>
                <w:color w:val="D4D4D4"/>
                <w:sz w:val="19"/>
              </w:rPr>
              <w:t xml:space="preserve"> + followUpSummary.</w:t>
            </w:r>
            <w:r>
              <w:rPr>
                <w:rFonts w:ascii="Consolas" w:hAnsi="Consolas"/>
                <w:color w:val="DCDCAA"/>
                <w:sz w:val="19"/>
              </w:rPr>
              <w:t>text</w:t>
            </w:r>
            <w:r>
              <w:rPr>
                <w:rFonts w:ascii="Consolas" w:hAnsi="Consolas"/>
                <w:color w:val="D4D4D4"/>
                <w:sz w:val="19"/>
              </w:rPr>
              <w:t>());</w:t>
            </w:r>
          </w:p>
          <w:p>
            <w:pPr>
              <w:spacing w:before="0" w:after="0" w:line="240" w:lineRule="auto"/>
            </w:pPr>
            <w:r>
              <w:rPr>
                <w:rFonts w:ascii="Consolas" w:hAnsi="Consolas"/>
                <w:color w:val="D4D4D4"/>
                <w:sz w:val="19"/>
              </w:rPr>
              <w:t>zeroDay.</w:t>
            </w:r>
            <w:r>
              <w:rPr>
                <w:rFonts w:ascii="Consolas" w:hAnsi="Consolas"/>
                <w:color w:val="DCDCAA"/>
                <w:sz w:val="19"/>
              </w:rPr>
              <w:t>setTriageStatus</w:t>
            </w:r>
            <w:r>
              <w:rPr>
                <w:rFonts w:ascii="Consolas" w:hAnsi="Consolas"/>
                <w:color w:val="D4D4D4"/>
                <w:sz w:val="19"/>
              </w:rPr>
              <w:t>(</w:t>
            </w:r>
            <w:r>
              <w:rPr>
                <w:rFonts w:ascii="Consolas" w:hAnsi="Consolas"/>
                <w:color w:val="4EC9C0"/>
                <w:sz w:val="19"/>
              </w:rPr>
              <w:t>TriageStatus</w:t>
            </w:r>
            <w:r>
              <w:rPr>
                <w:rFonts w:ascii="Consolas" w:hAnsi="Consolas"/>
                <w:color w:val="D4D4D4"/>
                <w:sz w:val="19"/>
              </w:rPr>
              <w:t>.</w:t>
            </w:r>
            <w:r>
              <w:rPr>
                <w:rFonts w:ascii="Consolas" w:hAnsi="Consolas"/>
                <w:color w:val="4EC9C0"/>
                <w:sz w:val="19"/>
              </w:rPr>
              <w:t>REVIEWED</w:t>
            </w:r>
            <w:r>
              <w:rPr>
                <w:rFonts w:ascii="Consolas" w:hAnsi="Consolas"/>
                <w:color w:val="D4D4D4"/>
                <w:sz w:val="19"/>
              </w:rPr>
              <w:t>);</w:t>
            </w:r>
          </w:p>
          <w:p>
            <w:pPr>
              <w:spacing w:before="0" w:after="0" w:line="240" w:lineRule="auto"/>
            </w:pPr>
            <w:r>
              <w:rPr>
                <w:sz w:val="19"/>
              </w:rPr>
              <w:t xml:space="preserve"> </w:t>
            </w:r>
          </w:p>
          <w:p>
            <w:pPr>
              <w:spacing w:before="0" w:after="0" w:line="240" w:lineRule="auto"/>
            </w:pPr>
            <w:r>
              <w:rPr>
                <w:rFonts w:ascii="Consolas" w:hAnsi="Consolas"/>
                <w:i/>
                <w:color w:val="6A9955"/>
                <w:sz w:val="19"/>
              </w:rPr>
              <w:t>// Ordinary setters — each one runs the same javaic-woven mutation hook from §4.3.</w:t>
            </w:r>
          </w:p>
          <w:p>
            <w:pPr>
              <w:spacing w:before="0" w:after="0" w:line="240" w:lineRule="auto"/>
            </w:pPr>
            <w:r>
              <w:rPr>
                <w:rFonts w:ascii="Consolas" w:hAnsi="Consolas"/>
                <w:i/>
                <w:color w:val="6A9955"/>
                <w:sz w:val="19"/>
              </w:rPr>
              <w:t>// zeroDay.vector() and zeroDay.summaryVector() are already marked dirty; they</w:t>
            </w:r>
          </w:p>
          <w:p>
            <w:pPr>
              <w:spacing w:before="0" w:after="0" w:line="240" w:lineRule="auto"/>
            </w:pPr>
            <w:r>
              <w:rPr>
                <w:rFonts w:ascii="Consolas" w:hAnsi="Consolas"/>
                <w:i/>
                <w:color w:val="6A9955"/>
                <w:sz w:val="19"/>
              </w:rPr>
              <w:t>// recompute lazily on next read. No separate "reindex" call, here or ever.</w:t>
            </w:r>
          </w:p>
        </w:tc>
      </w:tr>
    </w:tbl>
    <w:p>
      <w:pPr>
        <w:spacing w:before="80"/>
        <w:jc w:val="center"/>
      </w:pPr>
      <w:r>
        <w:rPr>
          <w:i/>
          <w:color w:val="555555"/>
          <w:sz w:val="19"/>
        </w:rPr>
        <w:t>Example 21. Mutating the object graph — automatic re-vectorization, not a manual step.</w:t>
      </w:r>
    </w:p>
    <w:p>
      <w:pPr>
        <w:pStyle w:val="Heading2"/>
      </w:pPr>
      <w:r>
        <w:t>A.7 Persist the Results</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D4D4D4"/>
                <w:sz w:val="19"/>
              </w:rPr>
              <w:t>articles.</w:t>
            </w:r>
            <w:r>
              <w:rPr>
                <w:rFonts w:ascii="Consolas" w:hAnsi="Consolas"/>
                <w:color w:val="DCDCAA"/>
                <w:sz w:val="19"/>
              </w:rPr>
              <w:t>save</w:t>
            </w:r>
            <w:r>
              <w:rPr>
                <w:rFonts w:ascii="Consolas" w:hAnsi="Consolas"/>
                <w:color w:val="D4D4D4"/>
                <w:sz w:val="19"/>
              </w:rPr>
              <w:t>(zeroDay);</w:t>
            </w:r>
          </w:p>
          <w:p>
            <w:pPr>
              <w:spacing w:before="0" w:after="0" w:line="240" w:lineRule="auto"/>
            </w:pPr>
            <w:r>
              <w:rPr>
                <w:sz w:val="19"/>
              </w:rPr>
              <w:t xml:space="preserve"> </w:t>
            </w:r>
          </w:p>
          <w:p>
            <w:pPr>
              <w:spacing w:before="0" w:after="0" w:line="240" w:lineRule="auto"/>
            </w:pPr>
            <w:r>
              <w:rPr>
                <w:rFonts w:ascii="Consolas" w:hAnsi="Consolas"/>
                <w:i/>
                <w:color w:val="6A9955"/>
                <w:sz w:val="19"/>
              </w:rPr>
              <w:t>// The Hibernate-based shim (§4.4) re-vectorizes the changed fields on write and</w:t>
            </w:r>
          </w:p>
          <w:p>
            <w:pPr>
              <w:spacing w:before="0" w:after="0" w:line="240" w:lineRule="auto"/>
            </w:pPr>
            <w:r>
              <w:rPr>
                <w:rFonts w:ascii="Consolas" w:hAnsi="Consolas"/>
                <w:i/>
                <w:color w:val="6A9955"/>
                <w:sz w:val="19"/>
              </w:rPr>
              <w:t>// updates body_vector / body_vector_model in place — the same repository call</w:t>
            </w:r>
          </w:p>
          <w:p>
            <w:pPr>
              <w:spacing w:before="0" w:after="0" w:line="240" w:lineRule="auto"/>
            </w:pPr>
            <w:r>
              <w:rPr>
                <w:rFonts w:ascii="Consolas" w:hAnsi="Consolas"/>
                <w:i/>
                <w:color w:val="6A9955"/>
                <w:sz w:val="19"/>
              </w:rPr>
              <w:t>// as A.1's read path, just the other direction.</w:t>
            </w:r>
          </w:p>
        </w:tc>
      </w:tr>
    </w:tbl>
    <w:p>
      <w:pPr>
        <w:spacing w:before="80"/>
        <w:jc w:val="center"/>
      </w:pPr>
      <w:r>
        <w:rPr>
          <w:i/>
          <w:color w:val="555555"/>
          <w:sz w:val="19"/>
        </w:rPr>
        <w:t>Example 22. One repository call closes the loop: in-memory changes, persisted.</w:t>
      </w:r>
    </w:p>
    <w:p>
      <w:pPr>
        <w:spacing w:after="160"/>
      </w:pPr>
      <w:r>
        <w:rPr>
          <w:b w:val="0"/>
          <w:i w:val="0"/>
        </w:rPr>
        <w:t>Nothing above required a KnowledgeGraph, a compiler, or a GPU — this is exactly the Phase 0 experience described in §9.1, running end to end.</w:t>
      </w:r>
    </w:p>
    <w:p>
      <w:r>
        <w:br w:type="page"/>
      </w:r>
    </w:p>
    <w:p>
      <w:pPr>
        <w:pStyle w:val="Heading1"/>
      </w:pPr>
      <w:r>
        <w:t>Appendix B: Codegen Guidance for LLM Agents</w:t>
      </w:r>
    </w:p>
    <w:p>
      <w:pPr>
        <w:spacing w:after="160"/>
      </w:pPr>
      <w:r>
        <w:rPr>
          <w:b w:val="0"/>
          <w:i w:val="0"/>
        </w:rPr>
        <w:t>Codegen Guidance (§5.5) only does something if the coding agent actually reads it. This appendix is a condensed version of a standalone instructions file, JavAI_Codegen_Guidance.md, distributed alongside this whitepaper — the kind of file a project drops next to its CLAUDE.md/AGENTS.md so an agent knows what JavAI's five Codegen Guidance annotations ask of it before it starts editing.</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2E5C8A"/>
            <w:tcMar>
              <w:top w:w="80" w:type="dxa"/>
              <w:left w:w="80" w:type="dxa"/>
              <w:bottom w:w="80" w:type="dxa"/>
              <w:right w:w="80" w:type="dxa"/>
            </w:tcMar>
          </w:tcPr>
          <w:p>
            <w:r/>
            <w:r>
              <w:rPr>
                <w:b/>
                <w:color w:val="FFFFFF"/>
                <w:sz w:val="20"/>
              </w:rPr>
              <w:t>Annotation</w:t>
            </w:r>
          </w:p>
        </w:tc>
        <w:tc>
          <w:tcPr>
            <w:tcW w:type="dxa" w:w="7200"/>
            <w:shd w:val="clear" w:color="auto" w:fill="2E5C8A"/>
            <w:tcMar>
              <w:top w:w="80" w:type="dxa"/>
              <w:left w:w="80" w:type="dxa"/>
              <w:bottom w:w="80" w:type="dxa"/>
              <w:right w:w="80" w:type="dxa"/>
            </w:tcMar>
          </w:tcPr>
          <w:p>
            <w:r/>
            <w:r>
              <w:rPr>
                <w:b/>
                <w:color w:val="FFFFFF"/>
                <w:sz w:val="20"/>
              </w:rPr>
              <w:t>What it asks of an agent</w:t>
            </w:r>
          </w:p>
        </w:tc>
      </w:tr>
      <w:tr>
        <w:tc>
          <w:tcPr>
            <w:tcW w:type="dxa" w:w="3168"/>
            <w:tcMar>
              <w:top w:w="80" w:type="dxa"/>
              <w:left w:w="80" w:type="dxa"/>
              <w:bottom w:w="80" w:type="dxa"/>
              <w:right w:w="80" w:type="dxa"/>
            </w:tcMar>
          </w:tcPr>
          <w:p>
            <w:r>
              <w:rPr>
                <w:sz w:val="19"/>
              </w:rPr>
              <w:t>@Requires / @Ensures / @Invariant</w:t>
            </w:r>
          </w:p>
        </w:tc>
        <w:tc>
          <w:tcPr>
            <w:tcW w:type="dxa" w:w="7200"/>
            <w:tcMar>
              <w:top w:w="80" w:type="dxa"/>
              <w:left w:w="80" w:type="dxa"/>
              <w:bottom w:w="80" w:type="dxa"/>
              <w:right w:w="80" w:type="dxa"/>
            </w:tcMar>
          </w:tcPr>
          <w:p>
            <w:r>
              <w:rPr>
                <w:sz w:val="19"/>
              </w:rPr>
              <w:t>Hard, compiler-checked. Treat as load-bearing, not documentation — never weaken one to make your own change pass.</w:t>
            </w:r>
          </w:p>
        </w:tc>
      </w:tr>
      <w:tr>
        <w:tc>
          <w:tcPr>
            <w:tcW w:type="dxa" w:w="3168"/>
            <w:tcMar>
              <w:top w:w="80" w:type="dxa"/>
              <w:left w:w="80" w:type="dxa"/>
              <w:bottom w:w="80" w:type="dxa"/>
              <w:right w:w="80" w:type="dxa"/>
            </w:tcMar>
          </w:tcPr>
          <w:p>
            <w:r>
              <w:rPr>
                <w:sz w:val="19"/>
              </w:rPr>
              <w:t>@Intent("...")</w:t>
            </w:r>
          </w:p>
        </w:tc>
        <w:tc>
          <w:tcPr>
            <w:tcW w:type="dxa" w:w="7200"/>
            <w:tcMar>
              <w:top w:w="80" w:type="dxa"/>
              <w:left w:w="80" w:type="dxa"/>
              <w:bottom w:w="80" w:type="dxa"/>
              <w:right w:w="80" w:type="dxa"/>
            </w:tcMar>
          </w:tcPr>
          <w:p>
            <w:r>
              <w:rPr>
                <w:sz w:val="19"/>
              </w:rPr>
              <w:t>Loosely checked, usually by an LLM reviewer. Treat as the real spec when it's more specific than the surrounding code; update it if behavior changes.</w:t>
            </w:r>
          </w:p>
        </w:tc>
      </w:tr>
      <w:tr>
        <w:tc>
          <w:tcPr>
            <w:tcW w:type="dxa" w:w="3168"/>
            <w:tcMar>
              <w:top w:w="80" w:type="dxa"/>
              <w:left w:w="80" w:type="dxa"/>
              <w:bottom w:w="80" w:type="dxa"/>
              <w:right w:w="80" w:type="dxa"/>
            </w:tcMar>
          </w:tcPr>
          <w:p>
            <w:r>
              <w:rPr>
                <w:sz w:val="19"/>
              </w:rPr>
              <w:t>@AgentWritable / @Frozen / @HumanOnly</w:t>
            </w:r>
          </w:p>
        </w:tc>
        <w:tc>
          <w:tcPr>
            <w:tcW w:type="dxa" w:w="7200"/>
            <w:tcMar>
              <w:top w:w="80" w:type="dxa"/>
              <w:left w:w="80" w:type="dxa"/>
              <w:bottom w:w="80" w:type="dxa"/>
              <w:right w:w="80" w:type="dxa"/>
            </w:tcMar>
          </w:tcPr>
          <w:p>
            <w:r>
              <w:rPr>
                <w:sz w:val="19"/>
              </w:rPr>
              <w:t>Edit-scope, independent of @SearchVisibility (§5.1). @Frozen/@HumanOnly mean propose in prose, not in a diff — even for an obvious fix.</w:t>
            </w:r>
          </w:p>
        </w:tc>
      </w:tr>
      <w:tr>
        <w:tc>
          <w:tcPr>
            <w:tcW w:type="dxa" w:w="3168"/>
            <w:tcMar>
              <w:top w:w="80" w:type="dxa"/>
              <w:left w:w="80" w:type="dxa"/>
              <w:bottom w:w="80" w:type="dxa"/>
              <w:right w:w="80" w:type="dxa"/>
            </w:tcMar>
          </w:tcPr>
          <w:p>
            <w:r>
              <w:rPr>
                <w:sz w:val="19"/>
              </w:rPr>
              <w:t>@Nondeterministic / @Costly</w:t>
            </w:r>
          </w:p>
        </w:tc>
        <w:tc>
          <w:tcPr>
            <w:tcW w:type="dxa" w:w="7200"/>
            <w:tcMar>
              <w:top w:w="80" w:type="dxa"/>
              <w:left w:w="80" w:type="dxa"/>
              <w:bottom w:w="80" w:type="dxa"/>
              <w:right w:w="80" w:type="dxa"/>
            </w:tcMar>
          </w:tcPr>
          <w:p>
            <w:r>
              <w:rPr>
                <w:sz w:val="19"/>
              </w:rPr>
              <w:t>Marks calls into Vector Core/Completion Fabric (§5.1, §5.3). Requires visible retry/error handling; never assume determinism or call at unbounded volume.</w:t>
            </w:r>
          </w:p>
        </w:tc>
      </w:tr>
      <w:tr>
        <w:tc>
          <w:tcPr>
            <w:tcW w:type="dxa" w:w="3168"/>
            <w:tcMar>
              <w:top w:w="80" w:type="dxa"/>
              <w:left w:w="80" w:type="dxa"/>
              <w:bottom w:w="80" w:type="dxa"/>
              <w:right w:w="80" w:type="dxa"/>
            </w:tcMar>
          </w:tcPr>
          <w:p>
            <w:r>
              <w:rPr>
                <w:sz w:val="19"/>
              </w:rPr>
              <w:t>@Provenance</w:t>
            </w:r>
          </w:p>
        </w:tc>
        <w:tc>
          <w:tcPr>
            <w:tcW w:type="dxa" w:w="7200"/>
            <w:tcMar>
              <w:top w:w="80" w:type="dxa"/>
              <w:left w:w="80" w:type="dxa"/>
              <w:bottom w:w="80" w:type="dxa"/>
              <w:right w:w="80" w:type="dxa"/>
            </w:tcMar>
          </w:tcPr>
          <w:p>
            <w:r>
              <w:rPr>
                <w:sz w:val="19"/>
              </w:rPr>
              <w:t>Compiler-applied only. Never hand-write or edit one — its presence on code you didn't just generate is a historical record.</w:t>
            </w:r>
          </w:p>
        </w:tc>
      </w:tr>
    </w:tbl>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360"/>
      </w:tblGrid>
      <w:tr>
        <w:tc>
          <w:tcPr>
            <w:tcW w:type="dxa" w:w="8928"/>
            <w:shd w:val="clear" w:color="auto" w:fill="1E1E1E"/>
            <w:tcMar>
              <w:top w:w="120" w:type="dxa"/>
              <w:left w:w="160" w:type="dxa"/>
              <w:bottom w:w="120" w:type="dxa"/>
              <w:right w:w="160" w:type="dxa"/>
            </w:tcMar>
          </w:tcPr>
          <w:p>
            <w:pPr>
              <w:spacing w:before="0" w:after="0" w:line="240" w:lineRule="auto"/>
            </w:pPr>
            <w:r>
              <w:rPr>
                <w:rFonts w:ascii="Consolas" w:hAnsi="Consolas"/>
                <w:color w:val="C586C0"/>
                <w:sz w:val="19"/>
              </w:rPr>
              <w:t>@JavAIVectorizable</w:t>
            </w:r>
          </w:p>
          <w:p>
            <w:pPr>
              <w:spacing w:before="0" w:after="0" w:line="240" w:lineRule="auto"/>
            </w:pPr>
            <w:r>
              <w:rPr>
                <w:rFonts w:ascii="Consolas" w:hAnsi="Consolas"/>
                <w:color w:val="C586C0"/>
                <w:sz w:val="19"/>
              </w:rPr>
              <w:t>@JavAIGraphNode</w:t>
            </w:r>
          </w:p>
          <w:p>
            <w:pPr>
              <w:spacing w:before="0" w:after="0" w:line="240" w:lineRule="auto"/>
            </w:pP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 xml:space="preserve"> {</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@Requires</w:t>
            </w:r>
            <w:r>
              <w:rPr>
                <w:rFonts w:ascii="Consolas" w:hAnsi="Consolas"/>
                <w:color w:val="D4D4D4"/>
                <w:sz w:val="19"/>
              </w:rPr>
              <w:t>(</w:t>
            </w:r>
            <w:r>
              <w:rPr>
                <w:rFonts w:ascii="Consolas" w:hAnsi="Consolas"/>
                <w:color w:val="CE9178"/>
                <w:sz w:val="19"/>
              </w:rPr>
              <w:t>"title != null &amp;&amp; !title.isBlank()"</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C586C0"/>
                <w:sz w:val="19"/>
              </w:rPr>
              <w:t>@Ensures</w:t>
            </w:r>
            <w:r>
              <w:rPr>
                <w:rFonts w:ascii="Consolas" w:hAnsi="Consolas"/>
                <w:color w:val="D4D4D4"/>
                <w:sz w:val="19"/>
              </w:rPr>
              <w:t>(</w:t>
            </w:r>
            <w:r>
              <w:rPr>
                <w:rFonts w:ascii="Consolas" w:hAnsi="Consolas"/>
                <w:color w:val="CE9178"/>
                <w:sz w:val="19"/>
              </w:rPr>
              <w:t>"result.vector() != null"</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C586C0"/>
                <w:sz w:val="19"/>
              </w:rPr>
              <w:t>@Intent</w:t>
            </w:r>
            <w:r>
              <w:rPr>
                <w:rFonts w:ascii="Consolas" w:hAnsi="Consolas"/>
                <w:color w:val="D4D4D4"/>
                <w:sz w:val="19"/>
              </w:rPr>
              <w:t>(</w:t>
            </w:r>
            <w:r>
              <w:rPr>
                <w:rFonts w:ascii="Consolas" w:hAnsi="Consolas"/>
                <w:color w:val="CE9178"/>
                <w:sz w:val="19"/>
              </w:rPr>
              <w:t>"Normalizes whitespace before an article is (re)vectorized"</w:t>
            </w:r>
            <w:r>
              <w:rPr>
                <w:rFonts w:ascii="Consolas" w:hAnsi="Consolas"/>
                <w:color w:val="D4D4D4"/>
                <w:sz w:val="19"/>
              </w:rPr>
              <w:t>)</w:t>
            </w:r>
          </w:p>
          <w:p>
            <w:pPr>
              <w:spacing w:before="0" w:after="0" w:line="240" w:lineRule="auto"/>
            </w:pPr>
            <w:r>
              <w:rPr>
                <w:rFonts w:ascii="Consolas" w:hAnsi="Consolas"/>
                <w:color w:val="D4D4D4"/>
                <w:sz w:val="19"/>
              </w:rPr>
              <w:t xml:space="preserve">    </w:t>
            </w:r>
            <w:r>
              <w:rPr>
                <w:rFonts w:ascii="Consolas" w:hAnsi="Consolas"/>
                <w:color w:val="C586C0"/>
                <w:sz w:val="19"/>
              </w:rPr>
              <w:t>@AgentWritable</w:t>
            </w:r>
          </w:p>
          <w:p>
            <w:pPr>
              <w:spacing w:before="0" w:after="0" w:line="240" w:lineRule="auto"/>
            </w:pP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C0"/>
                <w:sz w:val="19"/>
              </w:rPr>
              <w:t>Article</w:t>
            </w:r>
            <w:r>
              <w:rPr>
                <w:rFonts w:ascii="Consolas" w:hAnsi="Consolas"/>
                <w:color w:val="D4D4D4"/>
                <w:sz w:val="19"/>
              </w:rPr>
              <w:t xml:space="preserve"> </w:t>
            </w:r>
            <w:r>
              <w:rPr>
                <w:rFonts w:ascii="Consolas" w:hAnsi="Consolas"/>
                <w:color w:val="DCDCAA"/>
                <w:sz w:val="19"/>
              </w:rPr>
              <w:t>normalize</w:t>
            </w:r>
            <w:r>
              <w:rPr>
                <w:rFonts w:ascii="Consolas" w:hAnsi="Consolas"/>
                <w:color w:val="D4D4D4"/>
                <w:sz w:val="19"/>
              </w:rPr>
              <w:t xml:space="preserve">() { /* agent may rewrite </w:t>
            </w:r>
            <w:r>
              <w:rPr>
                <w:rFonts w:ascii="Consolas" w:hAnsi="Consolas"/>
                <w:color w:val="569CD6"/>
                <w:sz w:val="19"/>
              </w:rPr>
              <w:t>this</w:t>
            </w:r>
            <w:r>
              <w:rPr>
                <w:rFonts w:ascii="Consolas" w:hAnsi="Consolas"/>
                <w:color w:val="D4D4D4"/>
                <w:sz w:val="19"/>
              </w:rPr>
              <w:t xml:space="preserve"> body */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 }</w:t>
            </w:r>
          </w:p>
          <w:p>
            <w:pPr>
              <w:spacing w:before="0" w:after="0" w:line="240" w:lineRule="auto"/>
            </w:pPr>
            <w:r>
              <w:rPr>
                <w:sz w:val="19"/>
              </w:rPr>
              <w:t xml:space="preserve"> </w:t>
            </w:r>
          </w:p>
          <w:p>
            <w:pPr>
              <w:spacing w:before="0" w:after="0" w:line="240" w:lineRule="auto"/>
            </w:pPr>
            <w:r>
              <w:rPr>
                <w:rFonts w:ascii="Consolas" w:hAnsi="Consolas"/>
                <w:color w:val="D4D4D4"/>
                <w:sz w:val="19"/>
              </w:rPr>
              <w:t xml:space="preserve">    </w:t>
            </w:r>
            <w:r>
              <w:rPr>
                <w:rFonts w:ascii="Consolas" w:hAnsi="Consolas"/>
                <w:color w:val="C586C0"/>
                <w:sz w:val="19"/>
              </w:rPr>
              <w:t>@Frozen</w:t>
            </w:r>
          </w:p>
          <w:p>
            <w:pPr>
              <w:spacing w:before="0" w:after="0" w:line="240" w:lineRule="auto"/>
            </w:pPr>
            <w:r>
              <w:rPr>
                <w:rFonts w:ascii="Consolas" w:hAnsi="Consolas"/>
                <w:color w:val="D4D4D4"/>
                <w:sz w:val="19"/>
              </w:rPr>
              <w:t xml:space="preserve">    </w:t>
            </w:r>
            <w:r>
              <w:rPr>
                <w:rFonts w:ascii="Consolas" w:hAnsi="Consolas"/>
                <w:color w:val="C586C0"/>
                <w:sz w:val="19"/>
              </w:rPr>
              <w:t>@Nondeterministic</w:t>
            </w:r>
            <w:r>
              <w:rPr>
                <w:rFonts w:ascii="Consolas" w:hAnsi="Consolas"/>
                <w:color w:val="D4D4D4"/>
                <w:sz w:val="19"/>
              </w:rPr>
              <w:t xml:space="preserve"> </w:t>
            </w:r>
            <w:r>
              <w:rPr>
                <w:rFonts w:ascii="Consolas" w:hAnsi="Consolas"/>
                <w:color w:val="C586C0"/>
                <w:sz w:val="19"/>
              </w:rPr>
              <w:t>@Costly</w:t>
            </w:r>
          </w:p>
          <w:p>
            <w:pPr>
              <w:spacing w:before="0" w:after="0" w:line="240" w:lineRule="auto"/>
            </w:pP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C0"/>
                <w:sz w:val="19"/>
              </w:rPr>
              <w:t>EmbeddingVector</w:t>
            </w:r>
            <w:r>
              <w:rPr>
                <w:rFonts w:ascii="Consolas" w:hAnsi="Consolas"/>
                <w:color w:val="D4D4D4"/>
                <w:sz w:val="19"/>
              </w:rPr>
              <w:t xml:space="preserve"> </w:t>
            </w:r>
            <w:r>
              <w:rPr>
                <w:rFonts w:ascii="Consolas" w:hAnsi="Consolas"/>
                <w:color w:val="DCDCAA"/>
                <w:sz w:val="19"/>
              </w:rPr>
              <w:t>regenerateEmbedding</w:t>
            </w:r>
            <w:r>
              <w:rPr>
                <w:rFonts w:ascii="Consolas" w:hAnsi="Consolas"/>
                <w:color w:val="D4D4D4"/>
                <w:sz w:val="19"/>
              </w:rPr>
              <w:t>(</w:t>
            </w:r>
            <w:r>
              <w:rPr>
                <w:rFonts w:ascii="Consolas" w:hAnsi="Consolas"/>
                <w:color w:val="C586C0"/>
                <w:sz w:val="19"/>
              </w:rPr>
              <w:t>@EmbeddingModel</w:t>
            </w:r>
            <w:r>
              <w:rPr>
                <w:rFonts w:ascii="Consolas" w:hAnsi="Consolas"/>
                <w:color w:val="D4D4D4"/>
                <w:sz w:val="19"/>
              </w:rPr>
              <w:t>(</w:t>
            </w:r>
            <w:r>
              <w:rPr>
                <w:rFonts w:ascii="Consolas" w:hAnsi="Consolas"/>
                <w:color w:val="CE9178"/>
                <w:sz w:val="19"/>
              </w:rPr>
              <w:t>"e5-large-v3"</w:t>
            </w:r>
            <w:r>
              <w:rPr>
                <w:rFonts w:ascii="Consolas" w:hAnsi="Consolas"/>
                <w:color w:val="D4D4D4"/>
                <w:sz w:val="19"/>
              </w:rPr>
              <w:t xml:space="preserve">) </w:t>
            </w:r>
            <w:r>
              <w:rPr>
                <w:rFonts w:ascii="Consolas" w:hAnsi="Consolas"/>
                <w:color w:val="4EC9C0"/>
                <w:sz w:val="19"/>
              </w:rPr>
              <w:t>String</w:t>
            </w:r>
            <w:r>
              <w:rPr>
                <w:rFonts w:ascii="Consolas" w:hAnsi="Consolas"/>
                <w:color w:val="D4D4D4"/>
                <w:sz w:val="19"/>
              </w:rPr>
              <w:t xml:space="preserve"> model) {</w:t>
            </w:r>
          </w:p>
          <w:p>
            <w:pPr>
              <w:spacing w:before="0" w:after="0" w:line="240" w:lineRule="auto"/>
            </w:pPr>
            <w:r>
              <w:rPr>
                <w:rFonts w:ascii="Consolas" w:hAnsi="Consolas"/>
                <w:color w:val="D4D4D4"/>
                <w:sz w:val="19"/>
              </w:rPr>
              <w:t xml:space="preserve">        /* </w:t>
            </w:r>
            <w:r>
              <w:rPr>
                <w:rFonts w:ascii="Consolas" w:hAnsi="Consolas"/>
                <w:color w:val="569CD6"/>
                <w:sz w:val="19"/>
              </w:rPr>
              <w:t>do</w:t>
            </w:r>
            <w:r>
              <w:rPr>
                <w:rFonts w:ascii="Consolas" w:hAnsi="Consolas"/>
                <w:color w:val="D4D4D4"/>
                <w:sz w:val="19"/>
              </w:rPr>
              <w:t xml:space="preserve"> not modify -- propose changes in prose instead */</w:t>
            </w:r>
          </w:p>
          <w:p>
            <w:pPr>
              <w:spacing w:before="0" w:after="0" w:line="240" w:lineRule="auto"/>
            </w:pP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CDCAA"/>
                <w:sz w:val="19"/>
              </w:rPr>
              <w:t>vector</w:t>
            </w:r>
            <w:r>
              <w:rPr>
                <w:rFonts w:ascii="Consolas" w:hAnsi="Consolas"/>
                <w:color w:val="D4D4D4"/>
                <w:sz w:val="19"/>
              </w:rPr>
              <w:t>();</w:t>
            </w:r>
          </w:p>
          <w:p>
            <w:pPr>
              <w:spacing w:before="0" w:after="0" w:line="240" w:lineRule="auto"/>
            </w:pPr>
            <w:r>
              <w:rPr>
                <w:rFonts w:ascii="Consolas" w:hAnsi="Consolas"/>
                <w:color w:val="D4D4D4"/>
                <w:sz w:val="19"/>
              </w:rPr>
              <w:t xml:space="preserve">    }</w:t>
            </w:r>
          </w:p>
          <w:p>
            <w:pPr>
              <w:spacing w:before="0" w:after="0" w:line="240" w:lineRule="auto"/>
            </w:pPr>
            <w:r>
              <w:rPr>
                <w:rFonts w:ascii="Consolas" w:hAnsi="Consolas"/>
                <w:color w:val="D4D4D4"/>
                <w:sz w:val="19"/>
              </w:rPr>
              <w:t>}</w:t>
            </w:r>
          </w:p>
        </w:tc>
      </w:tr>
    </w:tbl>
    <w:p>
      <w:pPr>
        <w:spacing w:before="80"/>
        <w:jc w:val="center"/>
      </w:pPr>
      <w:r>
        <w:rPr>
          <w:i/>
          <w:color w:val="555555"/>
          <w:sz w:val="19"/>
        </w:rPr>
        <w:t>Example 28. An agent may rewrite normalize() so long as the contract and intent still hold; regenerateEmbedding() is off-limits regardless.</w:t>
      </w:r>
    </w:p>
    <w:p>
      <w:pPr>
        <w:spacing w:after="160"/>
      </w:pPr>
      <w:r>
        <w:rPr>
          <w:b w:val="0"/>
          <w:i w:val="0"/>
        </w:rPr>
        <w:t>The full file adds a worked-example walkthrough and a pre-submission checklist; see JavAI_Codegen_Guidance.md for the complete text.</w:t>
      </w:r>
    </w:p>
    <w:p>
      <w:r>
        <w:br w:type="page"/>
      </w:r>
    </w:p>
    <w:p>
      <w:pPr>
        <w:pStyle w:val="Heading1"/>
      </w:pPr>
      <w:r>
        <w:t>Appendix C: Sources</w:t>
      </w:r>
    </w:p>
    <w:p>
      <w:pPr>
        <w:spacing w:after="160"/>
      </w:pPr>
      <w:r>
        <w:rPr>
          <w:b w:val="0"/>
          <w:i/>
          <w:color w:val="555555"/>
          <w:sz w:val="19"/>
        </w:rPr>
        <w:t>All sources below were retrieved via live web search on July 5–6, 2026.</w:t>
      </w:r>
    </w:p>
    <w:p>
      <w:r>
        <w:rPr>
          <w:b/>
          <w:color w:val="2E5C8A"/>
          <w:sz w:val="21"/>
        </w:rPr>
        <w:t>Manifold</w:t>
      </w:r>
    </w:p>
    <w:p>
      <w:pPr>
        <w:pStyle w:val="ListBullet"/>
      </w:pPr>
      <w:r>
        <w:t>github.com/manifold-systems/manifold</w:t>
      </w:r>
    </w:p>
    <w:p>
      <w:pPr>
        <w:pStyle w:val="ListBullet"/>
      </w:pPr>
      <w:r>
        <w:t>manifold.systems</w:t>
      </w:r>
    </w:p>
    <w:p>
      <w:pPr>
        <w:pStyle w:val="ListBullet"/>
      </w:pPr>
      <w:r>
        <w:t>JetBrains Blog — Interview with Scott McKinney, Author of the Manifold Plugin</w:t>
      </w:r>
    </w:p>
    <w:p>
      <w:r>
        <w:rPr>
          <w:b/>
          <w:color w:val="2E5C8A"/>
          <w:sz w:val="21"/>
        </w:rPr>
        <w:t>Project Lombok</w:t>
      </w:r>
    </w:p>
    <w:p>
      <w:pPr>
        <w:pStyle w:val="ListBullet"/>
      </w:pPr>
      <w:r>
        <w:t>projectlombok.org/changelog</w:t>
      </w:r>
    </w:p>
    <w:p>
      <w:pPr>
        <w:pStyle w:val="ListBullet"/>
      </w:pPr>
      <w:r>
        <w:t>GitHub Issue #3871 — Lombok 1.18.36 processor initialization failure under JDK 22</w:t>
      </w:r>
    </w:p>
    <w:p>
      <w:pPr>
        <w:pStyle w:val="ListBullet"/>
      </w:pPr>
      <w:r>
        <w:t>Loiane Groner (2026) — You Don't Need Lombok Anymore</w:t>
      </w:r>
    </w:p>
    <w:p>
      <w:r>
        <w:rPr>
          <w:b/>
          <w:color w:val="2E5C8A"/>
          <w:sz w:val="21"/>
        </w:rPr>
        <w:t>Hibernate Bytecode Enhancement</w:t>
      </w:r>
    </w:p>
    <w:p>
      <w:pPr>
        <w:pStyle w:val="ListBullet"/>
      </w:pPr>
      <w:r>
        <w:t>docs.jboss.org/hibernate/orm/5.4/topical/html_single/bytecode/BytecodeEnhancement.html</w:t>
      </w:r>
    </w:p>
    <w:p>
      <w:pPr>
        <w:pStyle w:val="ListBullet"/>
      </w:pPr>
      <w:r>
        <w:t>Vlad Mihalcea — How to enable bytecode enhancement dirty checking in Hibernate</w:t>
      </w:r>
    </w:p>
    <w:p>
      <w:pPr>
        <w:pStyle w:val="ListBullet"/>
      </w:pPr>
      <w:r>
        <w:t>Baeldung — How Hibernate Dirty Checking Mechanism Works</w:t>
      </w:r>
    </w:p>
    <w:p>
      <w:r>
        <w:rPr>
          <w:b/>
          <w:color w:val="2E5C8A"/>
          <w:sz w:val="21"/>
        </w:rPr>
        <w:t>invokedynamic</w:t>
      </w:r>
    </w:p>
    <w:p>
      <w:pPr>
        <w:pStyle w:val="ListBullet"/>
      </w:pPr>
      <w:r>
        <w:t>InfoQ — JSR 292 and the Multi-lingual JVM</w:t>
      </w:r>
    </w:p>
    <w:p>
      <w:pPr>
        <w:pStyle w:val="ListBullet"/>
      </w:pPr>
      <w:r>
        <w:t>Oracle docs — Java Virtual Machine Support for Non-Java Languages</w:t>
      </w:r>
    </w:p>
    <w:p>
      <w:pPr>
        <w:pStyle w:val="ListBullet"/>
      </w:pPr>
      <w:r>
        <w:t>YouTrack KT-45375 — Kotlin lambdas via invokedynamic by default</w:t>
      </w:r>
    </w:p>
    <w:p>
      <w:r>
        <w:rPr>
          <w:b/>
          <w:color w:val="2E5C8A"/>
          <w:sz w:val="21"/>
        </w:rPr>
        <w:t>Panama FFI / GPU</w:t>
      </w:r>
    </w:p>
    <w:p>
      <w:pPr>
        <w:pStyle w:val="ListBullet"/>
      </w:pPr>
      <w:r>
        <w:t>openjdk.org/jeps/454 — JEP 454: Foreign Function &amp; Memory API</w:t>
      </w:r>
    </w:p>
    <w:p>
      <w:pPr>
        <w:pStyle w:val="ListBullet"/>
      </w:pPr>
      <w:r>
        <w:t>developer.nvidia.com/cuvs</w:t>
      </w:r>
    </w:p>
    <w:p>
      <w:pPr>
        <w:pStyle w:val="ListBullet"/>
      </w:pPr>
      <w:r>
        <w:t>Elastic Search Labs — Elasticsearch GPU-accelerated vector indexing with NVIDIA</w:t>
      </w:r>
    </w:p>
    <w:p>
      <w:pPr>
        <w:pStyle w:val="ListBullet"/>
      </w:pPr>
      <w:r>
        <w:t>inside.java/2024/10/23/java-and-ai — Advancing AI by Accelerating Java on Parallel Architectures</w:t>
      </w:r>
    </w:p>
    <w:p>
      <w:r>
        <w:rPr>
          <w:b/>
          <w:color w:val="2E5C8A"/>
          <w:sz w:val="21"/>
        </w:rPr>
        <w:t>JVMTI / Java Agents</w:t>
      </w:r>
    </w:p>
    <w:p>
      <w:pPr>
        <w:pStyle w:val="ListBullet"/>
      </w:pPr>
      <w:r>
        <w:t>Oracle — JVM Tool Interface 9.0.0 specification</w:t>
      </w:r>
    </w:p>
    <w:p>
      <w:pPr>
        <w:pStyle w:val="ListBullet"/>
      </w:pPr>
      <w:r>
        <w:t>Baeldung — Guide to Java Instrumentation</w:t>
      </w:r>
    </w:p>
    <w:p>
      <w:r>
        <w:rPr>
          <w:b/>
          <w:color w:val="2E5C8A"/>
          <w:sz w:val="21"/>
        </w:rPr>
        <w:t>jdk.incubator.vector (Vector API)</w:t>
      </w:r>
    </w:p>
    <w:p>
      <w:pPr>
        <w:pStyle w:val="ListBullet"/>
      </w:pPr>
      <w:r>
        <w:t>openjdk.org/jeps/529 — JEP 529: Vector API (Eleventh Incubator)</w:t>
      </w:r>
    </w:p>
    <w:p>
      <w:pPr>
        <w:pStyle w:val="ListBullet"/>
      </w:pPr>
      <w:r>
        <w:t>openjdk.org/jeps/537 — JEP 537: Vector API (Twelfth Incubator)</w:t>
      </w:r>
    </w:p>
    <w:p>
      <w:pPr>
        <w:pStyle w:val="ListBullet"/>
      </w:pPr>
      <w:r>
        <w:t>Java Code Geeks (March 2026) — Vector API at Eleven Incubations</w:t>
      </w:r>
    </w:p>
    <w:p>
      <w:r>
        <w:rPr>
          <w:b/>
          <w:color w:val="2E5C8A"/>
          <w:sz w:val="21"/>
        </w:rPr>
        <w:t>Vector DB / JPA Integration</w:t>
      </w:r>
    </w:p>
    <w:p>
      <w:pPr>
        <w:pStyle w:val="ListBullet"/>
      </w:pPr>
      <w:r>
        <w:t>github.com/pgvector/pgvector-java</w:t>
      </w:r>
    </w:p>
    <w:p>
      <w:pPr>
        <w:pStyle w:val="ListBullet"/>
      </w:pPr>
      <w:r>
        <w:t>spring.io/blog/2025/05/23/vector-search-methods</w:t>
      </w:r>
    </w:p>
    <w:p>
      <w:pPr>
        <w:pStyle w:val="ListBullet"/>
      </w:pPr>
      <w:r>
        <w:t>Java Code Geeks — Building a Semantic Search System with Spring AI and PGVector</w:t>
      </w:r>
    </w:p>
    <w:p>
      <w:r>
        <w:rPr>
          <w:b/>
          <w:color w:val="2E5C8A"/>
          <w:sz w:val="21"/>
        </w:rPr>
        <w:t>Neo4j-OGM / Knowledge Graphs</w:t>
      </w:r>
    </w:p>
    <w:p>
      <w:pPr>
        <w:pStyle w:val="ListBullet"/>
      </w:pPr>
      <w:r>
        <w:t>github.com/neo4j/neo4j-ogm</w:t>
      </w:r>
    </w:p>
    <w:p>
      <w:pPr>
        <w:pStyle w:val="ListBullet"/>
      </w:pPr>
      <w:r>
        <w:t>neo4j.com/docs/ogm-manual/current/introduction/</w:t>
      </w:r>
    </w:p>
    <w:p>
      <w:r>
        <w:rPr>
          <w:b/>
          <w:color w:val="2E5C8A"/>
          <w:sz w:val="21"/>
        </w:rPr>
        <w:t>Mojo</w:t>
      </w:r>
    </w:p>
    <w:p>
      <w:pPr>
        <w:pStyle w:val="ListBullet"/>
      </w:pPr>
      <w:r>
        <w:t>en.wikipedia.org/wiki/Mojo_(programming_language)</w:t>
      </w:r>
    </w:p>
    <w:p>
      <w:pPr>
        <w:pStyle w:val="ListBullet"/>
      </w:pPr>
      <w:r>
        <w:t>modular.com/blog/modular-26-2-state-of-the-art-image-generation-and-upgraded-ai-coding-with-mojo</w:t>
      </w:r>
    </w:p>
    <w:p>
      <w:pPr>
        <w:pStyle w:val="ListBullet"/>
      </w:pPr>
      <w:r>
        <w:t>docs.modular.com/mojo/vision/</w:t>
      </w:r>
    </w:p>
    <w:p>
      <w:r>
        <w:rPr>
          <w:b/>
          <w:color w:val="2E5C8A"/>
          <w:sz w:val="21"/>
        </w:rPr>
        <w:t>GraphRAG / Hybrid Retrieval</w:t>
      </w:r>
    </w:p>
    <w:p>
      <w:pPr>
        <w:pStyle w:val="ListBullet"/>
      </w:pPr>
      <w:r>
        <w:t>graphrag.com/concepts/intro-to-graphrag/</w:t>
      </w:r>
    </w:p>
    <w:p>
      <w:pPr>
        <w:pStyle w:val="ListBullet"/>
      </w:pPr>
      <w:r>
        <w:t>python.langchain.com/docs/integrations/vectorstores/neo4jvector/</w:t>
      </w:r>
    </w:p>
    <w:p>
      <w:pPr>
        <w:pStyle w:val="ListBullet"/>
      </w:pPr>
      <w:r>
        <w:t>neo4j.com/blog/developer/microsoft-graphrag-neo4j/</w:t>
      </w:r>
    </w:p>
    <w:p>
      <w:r>
        <w:rPr>
          <w:b/>
          <w:color w:val="2E5C8A"/>
          <w:sz w:val="21"/>
        </w:rPr>
        <w:t>Jai (naming collision)</w:t>
      </w:r>
    </w:p>
    <w:p>
      <w:pPr>
        <w:pStyle w:val="ListBullet"/>
      </w:pPr>
      <w:r>
        <w:t>en.wikipedia.org/wiki/Jai_(programming_language)</w:t>
      </w:r>
    </w:p>
    <w:p>
      <w:pPr>
        <w:pStyle w:val="ListBullet"/>
      </w:pPr>
      <w:r>
        <w:t>mrphilgames.com/blog/jai-in-2026 — Jai in 2026: The State of Jonathan Blow's Programming Language</w:t>
      </w:r>
    </w:p>
    <w:p>
      <w:r>
        <w:rPr>
          <w:b/>
          <w:color w:val="2E5C8A"/>
          <w:sz w:val="21"/>
        </w:rPr>
        <w:t>Completion Abstractions (§7)</w:t>
      </w:r>
    </w:p>
    <w:p>
      <w:pPr>
        <w:pStyle w:val="ListBullet"/>
      </w:pPr>
      <w:r>
        <w:t>docs.langchain4j.dev/intro/ — LangChain4j introduction; ChatModel / StreamingChatModel design</w:t>
      </w:r>
    </w:p>
    <w:p>
      <w:pPr>
        <w:pStyle w:val="ListBullet"/>
      </w:pPr>
      <w:r>
        <w:t>github.com/langchain4j/langchain4j/blob/main/docs/docs/tutorials/response-streaming.md</w:t>
      </w:r>
    </w:p>
    <w:p>
      <w:pPr>
        <w:pStyle w:val="ListBullet"/>
      </w:pPr>
      <w:r>
        <w:t>medium.com/@singh.piyush/spring-ai-explained-chatclient-rag-advisors-and-every-core-component-for-java-developers-a185201c39a0</w:t>
      </w:r>
    </w:p>
    <w:p>
      <w:pPr>
        <w:pStyle w:val="ListBullet"/>
      </w:pPr>
      <w:r>
        <w:t>medium.com/@alxkm/java-ai-frameworks-in-2026-the-no-bs-guide-for-backend-engineers-c3c15c58b452</w:t>
      </w:r>
    </w:p>
    <w:p>
      <w:r>
        <w:rPr>
          <w:b/>
          <w:color w:val="2E5C8A"/>
          <w:sz w:val="21"/>
        </w:rPr>
        <w:t>Provider API Shape (§7)</w:t>
      </w:r>
    </w:p>
    <w:p>
      <w:pPr>
        <w:pStyle w:val="ListBullet"/>
      </w:pPr>
      <w:r>
        <w:t>docs.ollama.com/api/openai-compatibility</w:t>
      </w:r>
    </w:p>
    <w:p>
      <w:pPr>
        <w:pStyle w:val="ListBullet"/>
      </w:pPr>
      <w:r>
        <w:t>github.com/ollama/ollama/blob/main/docs/api.md — /api/generate vs /api/chat</w:t>
      </w:r>
    </w:p>
    <w:p>
      <w:pPr>
        <w:pStyle w:val="ListBullet"/>
      </w:pPr>
      <w:r>
        <w:t>developers.openai.com/api/docs/deprecations</w:t>
      </w:r>
    </w:p>
    <w:p>
      <w:pPr>
        <w:pStyle w:val="ListBullet"/>
      </w:pPr>
      <w:r>
        <w:t>portkey.ai/blog/open-ai-responses-api-vs-chat-completions-vs-anthropic-anthropic-messages-api/</w:t>
      </w:r>
    </w:p>
    <w:p>
      <w:r>
        <w:rPr>
          <w:b/>
          <w:color w:val="2E5C8A"/>
          <w:sz w:val="21"/>
        </w:rPr>
        <w:t>Embedding Generation (§4.5)</w:t>
      </w:r>
    </w:p>
    <w:p>
      <w:pPr>
        <w:pStyle w:val="ListBullet"/>
      </w:pPr>
      <w:r>
        <w:t>huggingface.co/Qwen/Qwen3-Embedding-0.6B — model card: 1024-dim, MRL support, Apache-2.0, ONNX export</w:t>
      </w:r>
    </w:p>
    <w:p>
      <w:pPr>
        <w:pStyle w:val="ListBullet"/>
      </w:pPr>
      <w:r>
        <w:t>qwenlm.github.io/blog/qwen3-embedding/ — Qwen3-Embedding family (0.6B/4B/8B) and MTEB results</w:t>
      </w:r>
    </w:p>
    <w:p>
      <w:pPr>
        <w:pStyle w:val="ListBullet"/>
      </w:pPr>
      <w:r>
        <w:t>github.com/huggingface/text-embeddings-inference — TEI: Rust/Candle/ORT/PyTorch backends, shared Docker image family</w:t>
      </w:r>
    </w:p>
    <w:p>
      <w:pPr>
        <w:pStyle w:val="ListBullet"/>
      </w:pPr>
      <w:r>
        <w:t>huggingface.co/docs/text-embeddings-inference/en/index — TEI supported models and deployment docs</w:t>
      </w:r>
    </w:p>
    <w:p>
      <w:pPr>
        <w:pStyle w:val="ListBullet"/>
      </w:pPr>
      <w:r>
        <w:t>onnxruntime.ai/docs/get-started/with-java.html — ONNX Runtime Java API, SessionOptions execution providers</w:t>
      </w:r>
    </w:p>
    <w:p>
      <w:pPr>
        <w:pStyle w:val="ListBullet"/>
      </w:pPr>
      <w:r>
        <w:t>onnxruntime.ai/docs/execution-providers/CUDA-ExecutionProvider.html — CUDA EP configuration and determinism notes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E5C8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C8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5C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