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8221A" w14:textId="77777777" w:rsidR="0089589E" w:rsidRPr="00E30F2E" w:rsidRDefault="0089589E" w:rsidP="0089589E">
      <w:r w:rsidRPr="00E30F2E">
        <w:t xml:space="preserve">BỘ GIÁO DỤC VÀ ĐÀO TẠO TRƯỜNG ĐẠI HỌC MỎ - ĐỊA CHẤT </w:t>
      </w:r>
    </w:p>
    <w:p w14:paraId="0240F46C" w14:textId="77777777" w:rsidR="0089589E" w:rsidRPr="00E30F2E" w:rsidRDefault="0089589E" w:rsidP="0089589E">
      <w:r w:rsidRPr="00E30F2E">
        <w:t xml:space="preserve">CỘNG HÒA XÃ HỘI CHỦ NGHĨA VIỆT NAM Độc lập - Tự do - Hạnh phúc </w:t>
      </w:r>
    </w:p>
    <w:p w14:paraId="10ED96D3" w14:textId="77777777" w:rsidR="0089589E" w:rsidRPr="00E30F2E" w:rsidRDefault="0089589E" w:rsidP="0089589E">
      <w:r w:rsidRPr="00E30F2E">
        <w:t xml:space="preserve">Số: 2662/QD-MEC </w:t>
      </w:r>
    </w:p>
    <w:p w14:paraId="05BFC9FD" w14:textId="77777777" w:rsidR="0089589E" w:rsidRPr="00E30F2E" w:rsidRDefault="0089589E" w:rsidP="0089589E">
      <w:r w:rsidRPr="00E30F2E">
        <w:t xml:space="preserve">Hà Nội, ngày 22 tháng 12 năm 2016 </w:t>
      </w:r>
    </w:p>
    <w:p w14:paraId="29B4B545" w14:textId="77777777" w:rsidR="0089589E" w:rsidRPr="00E30F2E" w:rsidRDefault="0089589E" w:rsidP="0089589E">
      <w:r w:rsidRPr="00E30F2E">
        <w:t xml:space="preserve">QUYẾT ĐỊNH </w:t>
      </w:r>
    </w:p>
    <w:p w14:paraId="149AE10D" w14:textId="77777777" w:rsidR="0089589E" w:rsidRPr="00E30F2E" w:rsidRDefault="0089589E" w:rsidP="0089589E">
      <w:r w:rsidRPr="00E30F2E">
        <w:t xml:space="preserve">Về việc ban hành Quy định việc xét, cấp học bổng khuyến khích học tập đối với sinh viên hệ chính quy </w:t>
      </w:r>
    </w:p>
    <w:p w14:paraId="14B8600E" w14:textId="77777777" w:rsidR="0089589E" w:rsidRPr="00E30F2E" w:rsidRDefault="0089589E" w:rsidP="0089589E">
      <w:r w:rsidRPr="00E30F2E">
        <w:t xml:space="preserve">HIỆU TRƯỞNG TRƯỜNG ĐẠI HỌC MỎ - ĐỊA CHẤT </w:t>
      </w:r>
    </w:p>
    <w:p w14:paraId="0049B2A3" w14:textId="77777777" w:rsidR="0089589E" w:rsidRPr="00E30F2E" w:rsidRDefault="0089589E" w:rsidP="0089589E">
      <w:r w:rsidRPr="00E30F2E">
        <w:t xml:space="preserve">Căn cứ Quyết định số 70/2014/QĐ-TTg ngày 10/12/2014 của Thủ tướng Chính phủ về việc ban hành Điều lệ trường đại học: </w:t>
      </w:r>
    </w:p>
    <w:p w14:paraId="2656B783" w14:textId="77777777" w:rsidR="0089589E" w:rsidRPr="00E30F2E" w:rsidRDefault="0089589E" w:rsidP="0089589E">
      <w:r w:rsidRPr="00E30F2E">
        <w:t xml:space="preserve">Căn cứ Thông tư liên tịch số 07/2009/TTLT-BGDĐT-BNV ngày 15/4/2009 của Bộ Giáo dục và Đào tạo và Bộ Nội vụ hướng dẫn thực hiện quyền tự chủ, tự chịu trách nhiệm về thực hiện nhiệm vụ, tổ chức bộ máy, biên chế đối với đơn vị sự nghiệp công lập giáo dục và đào tạo, </w:t>
      </w:r>
    </w:p>
    <w:p w14:paraId="67CADB14" w14:textId="77777777" w:rsidR="0089589E" w:rsidRPr="00E30F2E" w:rsidRDefault="0089589E" w:rsidP="0089589E">
      <w:r w:rsidRPr="00E30F2E">
        <w:t xml:space="preserve">Căn cứ Quyết định số 44/2007/QĐ-BGDĐT ngày 15/8/2007 của Bộ Giáo dục và Đào tạo về học bổng khuyến khích học tập trong các trường chuyên, trường năng khiếu, các cơ sở giáo dục đại học và trung cấp chuyên nghiệp thuộc hệ thống giáo dục quốc dân, </w:t>
      </w:r>
    </w:p>
    <w:p w14:paraId="6C438938" w14:textId="77777777" w:rsidR="0089589E" w:rsidRPr="00E30F2E" w:rsidRDefault="0089589E" w:rsidP="0089589E">
      <w:r w:rsidRPr="00E30F2E">
        <w:t xml:space="preserve">Căn cứ Thông tư số 31/2013/TT-BGDĐT ngày 01/8/2013 của Bộ Giáo dục và Đào tạo sửa đổi, bổ sung khoản 3 Điều 2 Quyết định số 44/2007/QĐ-BGDĐT ngày 15/8/2007 của Bộ Giáo dục và Đào tạo, </w:t>
      </w:r>
    </w:p>
    <w:p w14:paraId="75F42C51" w14:textId="77777777" w:rsidR="0089589E" w:rsidRPr="00E30F2E" w:rsidRDefault="0089589E" w:rsidP="0089589E">
      <w:r w:rsidRPr="00E30F2E">
        <w:t xml:space="preserve">Xét đề nghị của ông (bà) Trưởng phòng Công tác Sinh viên, Trưởng phòng Tài vụ, </w:t>
      </w:r>
    </w:p>
    <w:p w14:paraId="33550CBF" w14:textId="77777777" w:rsidR="0089589E" w:rsidRPr="00E30F2E" w:rsidRDefault="0089589E" w:rsidP="0089589E">
      <w:r w:rsidRPr="00E30F2E">
        <w:t xml:space="preserve">QUYẾT ĐỊNH: </w:t>
      </w:r>
    </w:p>
    <w:p w14:paraId="60D6D5D3" w14:textId="77777777" w:rsidR="0089589E" w:rsidRPr="00E30F2E" w:rsidRDefault="0089589E" w:rsidP="0089589E">
      <w:r w:rsidRPr="00E30F2E">
        <w:t xml:space="preserve">Điều 1. Ban hành "Quy định việc xét, cấp học bổng khuyến khích học tập đối với sinh viên hệ chính quy. </w:t>
      </w:r>
    </w:p>
    <w:p w14:paraId="2CD5E2B6" w14:textId="77777777" w:rsidR="0089589E" w:rsidRPr="00E30F2E" w:rsidRDefault="0089589E" w:rsidP="0089589E">
      <w:r w:rsidRPr="00E30F2E">
        <w:t xml:space="preserve">Điều 2. Quy định này áp dụng từ học kỳ 1 năm học 2016 - 2017. Các quy định trước đây về xét, cấp học bổng khuyến khích học tập đối với sinh viên hệ chính quy trái với quy định này đều bãi bỏ. </w:t>
      </w:r>
    </w:p>
    <w:p w14:paraId="2467188A" w14:textId="77777777" w:rsidR="0089589E" w:rsidRPr="00E30F2E" w:rsidRDefault="0089589E" w:rsidP="0089589E">
      <w:r w:rsidRPr="00E30F2E">
        <w:t xml:space="preserve">Điều 3. Các ông (bà) Trường phòng Công tác Sinh viên, Trưởng phòng Đào tạo Đại học, Trưởng phòng Tài vụ, Trường các đơn vị có liên quan và các sinh viên hệ chính quy chịu trách nhiệm thì hành quyết định này. </w:t>
      </w:r>
    </w:p>
    <w:p w14:paraId="2225375B" w14:textId="77777777" w:rsidR="0089589E" w:rsidRPr="00E30F2E" w:rsidRDefault="0089589E" w:rsidP="0089589E">
      <w:r w:rsidRPr="00E30F2E">
        <w:t xml:space="preserve">Nơi nhân </w:t>
      </w:r>
    </w:p>
    <w:p w14:paraId="08C97401" w14:textId="77777777" w:rsidR="0089589E" w:rsidRPr="00E30F2E" w:rsidRDefault="0089589E" w:rsidP="0089589E">
      <w:r w:rsidRPr="00E30F2E">
        <w:lastRenderedPageBreak/>
        <w:t xml:space="preserve">- Như Điều 3 (để thực hiện, </w:t>
      </w:r>
    </w:p>
    <w:p w14:paraId="33740AF4" w14:textId="77777777" w:rsidR="0089589E" w:rsidRPr="00E30F2E" w:rsidRDefault="0089589E" w:rsidP="0089589E">
      <w:r w:rsidRPr="00E30F2E">
        <w:t>- Hiệu trường (để báo cáo</w:t>
      </w:r>
      <w:proofErr w:type="gramStart"/>
      <w:r w:rsidRPr="00E30F2E">
        <w:t>);</w:t>
      </w:r>
      <w:proofErr w:type="gramEnd"/>
      <w:r w:rsidRPr="00E30F2E">
        <w:t xml:space="preserve"> </w:t>
      </w:r>
    </w:p>
    <w:p w14:paraId="05D4FC26" w14:textId="77777777" w:rsidR="0089589E" w:rsidRPr="00E30F2E" w:rsidRDefault="0089589E" w:rsidP="0089589E">
      <w:r w:rsidRPr="00E30F2E">
        <w:t xml:space="preserve">HUMG OFFICE, </w:t>
      </w:r>
    </w:p>
    <w:p w14:paraId="56D9F88C" w14:textId="77777777" w:rsidR="0089589E" w:rsidRPr="00E30F2E" w:rsidRDefault="0089589E" w:rsidP="0089589E">
      <w:r w:rsidRPr="00E30F2E">
        <w:t xml:space="preserve">Liu HCTH, CTSV </w:t>
      </w:r>
    </w:p>
    <w:p w14:paraId="0320FC4A" w14:textId="77777777" w:rsidR="0089589E" w:rsidRPr="00E30F2E" w:rsidRDefault="0089589E" w:rsidP="0089589E">
      <w:r w:rsidRPr="00E30F2E">
        <w:t xml:space="preserve">KT. HIỆU TRƯỞNG PHÓ HIỆU TRƯỞNG </w:t>
      </w:r>
    </w:p>
    <w:p w14:paraId="237B45CD" w14:textId="77777777" w:rsidR="0089589E" w:rsidRPr="00E30F2E" w:rsidRDefault="0089589E" w:rsidP="0089589E">
      <w:r w:rsidRPr="00E30F2E">
        <w:t xml:space="preserve">MOBIACHAT </w:t>
      </w:r>
    </w:p>
    <w:p w14:paraId="5640F17A" w14:textId="4B3195AD" w:rsidR="002B2FF3" w:rsidRPr="00E30F2E" w:rsidRDefault="0089589E" w:rsidP="0089589E">
      <w:r w:rsidRPr="00E30F2E">
        <w:t>PGS.TS Trần Xuân Trường</w:t>
      </w:r>
    </w:p>
    <w:p w14:paraId="00EAC65B" w14:textId="77777777" w:rsidR="0089589E" w:rsidRPr="00E30F2E" w:rsidRDefault="0089589E" w:rsidP="0089589E"/>
    <w:p w14:paraId="76306E7A" w14:textId="77777777" w:rsidR="0089589E" w:rsidRPr="00E30F2E" w:rsidRDefault="0089589E" w:rsidP="0089589E">
      <w:r w:rsidRPr="00E30F2E">
        <w:t xml:space="preserve">BỘ GIÁO DỤC VÀ ĐÀO TẠO TRƯỜNG ĐẠI HỌC MỎ - ĐỊA CHẤT </w:t>
      </w:r>
    </w:p>
    <w:p w14:paraId="3B0B4484" w14:textId="77777777" w:rsidR="0089589E" w:rsidRPr="00E30F2E" w:rsidRDefault="0089589E" w:rsidP="0089589E">
      <w:r w:rsidRPr="00E30F2E">
        <w:t xml:space="preserve">CỘNG HÒA XÃ HỘI CHỦ NGHĨA VIỆT NAM Độc lập - Tự do - Hạnh phúc </w:t>
      </w:r>
    </w:p>
    <w:p w14:paraId="3A506215" w14:textId="77777777" w:rsidR="0089589E" w:rsidRPr="00E30F2E" w:rsidRDefault="0089589E" w:rsidP="0089589E">
      <w:r w:rsidRPr="00E30F2E">
        <w:t xml:space="preserve">QUY ĐỊNH VIỆC XÉT, CÁP HỌC BÔNG KHUYẾN KHÍCH HỌC TẬP ĐỐI VỚI SINH VIÊN HỆ CHÍNH QUY </w:t>
      </w:r>
    </w:p>
    <w:p w14:paraId="38CF8936" w14:textId="77777777" w:rsidR="0089589E" w:rsidRPr="00E30F2E" w:rsidRDefault="0089589E" w:rsidP="0089589E">
      <w:r w:rsidRPr="00E30F2E">
        <w:t xml:space="preserve">(Ban hành kèm theo Quyết định số 2662/QD-MDC ngày 22 tháng 12 năm 2016 của Hiệu trưởng Trường Đại học Mỏ - Địa chất) </w:t>
      </w:r>
    </w:p>
    <w:p w14:paraId="0CCF9E55" w14:textId="77777777" w:rsidR="0089589E" w:rsidRPr="00E30F2E" w:rsidRDefault="0089589E" w:rsidP="0089589E">
      <w:r w:rsidRPr="00E30F2E">
        <w:t xml:space="preserve">Điều 1. Đối tượng, tiêu chuẩn xét, cấp học bổng khuyến khích học tập </w:t>
      </w:r>
    </w:p>
    <w:p w14:paraId="13F9E1D2" w14:textId="77777777" w:rsidR="0089589E" w:rsidRPr="00E30F2E" w:rsidRDefault="0089589E" w:rsidP="0089589E">
      <w:r w:rsidRPr="00E30F2E">
        <w:t xml:space="preserve">1. Đối tượng </w:t>
      </w:r>
    </w:p>
    <w:p w14:paraId="7458FEF1" w14:textId="77777777" w:rsidR="0089589E" w:rsidRPr="00E30F2E" w:rsidRDefault="0089589E" w:rsidP="0089589E">
      <w:r w:rsidRPr="00E30F2E">
        <w:t xml:space="preserve">Sinh viên đại học, cao đẳng hệ chính quy được Nhà trường xét, cấp học bổng khuyến khích học tập (KKHT) ở mỗi học kỳ chính của năm học. </w:t>
      </w:r>
    </w:p>
    <w:p w14:paraId="15395299" w14:textId="77777777" w:rsidR="0089589E" w:rsidRPr="00E30F2E" w:rsidRDefault="0089589E" w:rsidP="0089589E">
      <w:r w:rsidRPr="00E30F2E">
        <w:t xml:space="preserve">2. Tiêu chuẩn </w:t>
      </w:r>
    </w:p>
    <w:p w14:paraId="5322728D" w14:textId="77777777" w:rsidR="0089589E" w:rsidRPr="00E30F2E" w:rsidRDefault="0089589E" w:rsidP="0089589E">
      <w:r w:rsidRPr="00E30F2E">
        <w:t xml:space="preserve">Cơ sở để xét cấp học bổng khuyến khích học tập cho sinh viên là: điểm trung bình chung mở rộng (điểm thì lần thứ nhất của các môn học cộng với điểm thưởng của cán sự </w:t>
      </w:r>
      <w:proofErr w:type="gramStart"/>
      <w:r w:rsidRPr="00E30F2E">
        <w:t>lớp,...</w:t>
      </w:r>
      <w:proofErr w:type="gramEnd"/>
      <w:r w:rsidRPr="00E30F2E">
        <w:t xml:space="preserve"> không bao gồm điểm thực tập sản xuất, thực tập tốt nghiệp, điểm Giáo dục quốc phòng, Giáo dục thể chất) và điểm rèn luyện của sinh viên trong học kỳ được xét, cấp học bổng. </w:t>
      </w:r>
    </w:p>
    <w:p w14:paraId="6B916330" w14:textId="77777777" w:rsidR="0089589E" w:rsidRPr="00E30F2E" w:rsidRDefault="0089589E" w:rsidP="0089589E">
      <w:r w:rsidRPr="00E30F2E">
        <w:t xml:space="preserve">2.1. Học bổng loại 2: </w:t>
      </w:r>
    </w:p>
    <w:p w14:paraId="43970BB8" w14:textId="77777777" w:rsidR="0089589E" w:rsidRPr="00E30F2E" w:rsidRDefault="0089589E" w:rsidP="0089589E">
      <w:r w:rsidRPr="00E30F2E">
        <w:t xml:space="preserve">a. Tiêu chuẩn về kết quả học tập: </w:t>
      </w:r>
    </w:p>
    <w:p w14:paraId="14A95F3F" w14:textId="77777777" w:rsidR="0089589E" w:rsidRPr="00E30F2E" w:rsidRDefault="0089589E" w:rsidP="0089589E">
      <w:r w:rsidRPr="00E30F2E">
        <w:t xml:space="preserve">Sinh viên đạt đủ điều kiện sau sẽ được đưa vào diện xét cấp học bổng khuyến khích học tập loại 2: </w:t>
      </w:r>
    </w:p>
    <w:p w14:paraId="40B7BFB7" w14:textId="77777777" w:rsidR="0089589E" w:rsidRPr="00E30F2E" w:rsidRDefault="0089589E" w:rsidP="0089589E">
      <w:r w:rsidRPr="00E30F2E">
        <w:t xml:space="preserve">+ Có điểm trung bình chung mở rộng từ 2,5 trở lên, không có học phần bị điểm D, </w:t>
      </w:r>
      <w:proofErr w:type="gramStart"/>
      <w:r w:rsidRPr="00E30F2E">
        <w:t>F;</w:t>
      </w:r>
      <w:proofErr w:type="gramEnd"/>
      <w:r w:rsidRPr="00E30F2E">
        <w:t xml:space="preserve"> </w:t>
      </w:r>
    </w:p>
    <w:p w14:paraId="6442A26D" w14:textId="77777777" w:rsidR="0089589E" w:rsidRPr="00E30F2E" w:rsidRDefault="0089589E" w:rsidP="0089589E">
      <w:r w:rsidRPr="00E30F2E">
        <w:lastRenderedPageBreak/>
        <w:t xml:space="preserve">+ Có số tín chỉ đăng ký tối thiểu đảm bảo: không dưới 14 tín chỉ với tất cả các kỳ học trừ 02 kỳ học cuối của khóa học; không dưới 10 tín chỉ hoặc không dưới số tín chỉ quy định trong chương trình đào tạo của ngành chuyên ngành với học kỳ sát học kỳ cuối của khóa học (học kỳ cuối là học kỳ sinh viên đi thực tập và bảo vệ đồ án tốt nghiệp), không dưới số tín chỉ của đồ án tốt nghiệp đối với học kỳ cuối. </w:t>
      </w:r>
    </w:p>
    <w:p w14:paraId="6B5E0C5B" w14:textId="77777777" w:rsidR="0089589E" w:rsidRPr="00E30F2E" w:rsidRDefault="0089589E" w:rsidP="0089589E">
      <w:r w:rsidRPr="00E30F2E">
        <w:t xml:space="preserve">b. Tiêu chuẩn về kết quả rèn luyện: điểm rèn luyện từ 70 trở lên và không bị kỷ luật ở mức khiển trách trở lên. </w:t>
      </w:r>
    </w:p>
    <w:p w14:paraId="120CFA52" w14:textId="77777777" w:rsidR="0089589E" w:rsidRPr="00E30F2E" w:rsidRDefault="0089589E" w:rsidP="0089589E">
      <w:r w:rsidRPr="00E30F2E">
        <w:t xml:space="preserve">2.2. Học bổng loại 1: </w:t>
      </w:r>
    </w:p>
    <w:p w14:paraId="16EBC7A0" w14:textId="77777777" w:rsidR="0089589E" w:rsidRPr="00E30F2E" w:rsidRDefault="0089589E" w:rsidP="0089589E">
      <w:r w:rsidRPr="00E30F2E">
        <w:t xml:space="preserve">a. Tiêu chuẩn về kết quả học tập </w:t>
      </w:r>
    </w:p>
    <w:p w14:paraId="6E560290" w14:textId="77777777" w:rsidR="0089589E" w:rsidRPr="00E30F2E" w:rsidRDefault="0089589E" w:rsidP="0089589E">
      <w:r w:rsidRPr="00E30F2E">
        <w:t xml:space="preserve">Sinh viên đạt đủ điều kiện sau sẽ được đưa vào điện xét cấp học bổng khuyến khích học tập loại 1: </w:t>
      </w:r>
    </w:p>
    <w:p w14:paraId="74AD4C6A" w14:textId="77777777" w:rsidR="0089589E" w:rsidRPr="00E30F2E" w:rsidRDefault="0089589E" w:rsidP="0089589E">
      <w:r w:rsidRPr="00E30F2E">
        <w:t xml:space="preserve">+ Có điểm trung bình chung mở rộng từ 3,2 trở lên, không có học phần bị điểm D, </w:t>
      </w:r>
      <w:proofErr w:type="gramStart"/>
      <w:r w:rsidRPr="00E30F2E">
        <w:t>F;</w:t>
      </w:r>
      <w:proofErr w:type="gramEnd"/>
      <w:r w:rsidRPr="00E30F2E">
        <w:t xml:space="preserve"> </w:t>
      </w:r>
    </w:p>
    <w:p w14:paraId="319496FE" w14:textId="77777777" w:rsidR="0089589E" w:rsidRPr="00E30F2E" w:rsidRDefault="0089589E" w:rsidP="0089589E">
      <w:r w:rsidRPr="00E30F2E">
        <w:t xml:space="preserve">+ Cỡ số tín chỉ đăng ký tối thiểu đảm bảo: không dưới 14 tin chỉ với tất cả các ký học trừ 02 kỳ học cuối của khóa học; không dưới 10 tín chỉ hoặc không dưới số tín chỉ quy định trong chương trình đào tạo của ngành/chuyên ngành với học kỳ sát học kỳ cuối của khóa học (học kỳ cuối là học kỳ sinh viên đi thực tập và bảo vệ đồ án tốt nghiệp); không dưới số tín chỉ của đồ án tốt nghiệp đối với học kỳ cuối. </w:t>
      </w:r>
    </w:p>
    <w:p w14:paraId="2C71517C" w14:textId="77777777" w:rsidR="0089589E" w:rsidRPr="00E30F2E" w:rsidRDefault="0089589E" w:rsidP="0089589E">
      <w:r w:rsidRPr="00E30F2E">
        <w:t xml:space="preserve">b. Tiêu chuẩn về kết quả rèn luyện: điểm rèn luyện từ 80 điểm trở lên và không bị kỷ luật ở mức khiển trách trở lên. </w:t>
      </w:r>
    </w:p>
    <w:p w14:paraId="124FD944" w14:textId="77777777" w:rsidR="0089589E" w:rsidRPr="00E30F2E" w:rsidRDefault="0089589E" w:rsidP="0089589E">
      <w:r w:rsidRPr="00E30F2E">
        <w:t xml:space="preserve">Điều 2. Mức học bổng khuyến khích học tập </w:t>
      </w:r>
    </w:p>
    <w:p w14:paraId="1C4EC9AA" w14:textId="77777777" w:rsidR="0089589E" w:rsidRPr="00E30F2E" w:rsidRDefault="0089589E" w:rsidP="0089589E">
      <w:r w:rsidRPr="00E30F2E">
        <w:t xml:space="preserve">1. Học bổng loại 2 </w:t>
      </w:r>
    </w:p>
    <w:p w14:paraId="159B4EEF" w14:textId="77777777" w:rsidR="0089589E" w:rsidRPr="00E30F2E" w:rsidRDefault="0089589E" w:rsidP="0089589E">
      <w:r w:rsidRPr="00E30F2E">
        <w:t xml:space="preserve">Số tiền học bổng bằng tổng số tiền học phí mà sinh viên đã đóng theo số tín chỉ đăng ký cho học kỳ được hướng học bồng (chỉ áp dụng cho các học phần theo đùng ngành nghề của văn bằng chính, những tín chỉ của các học phần đăng ký lần 1). Riêng học kỳ cuối của khóa học, sinh viên được Nhà trường xét cấp học bổng với số tiền bằng số học phí đóng theo số tín chỉ của đồ án tốt nghiệp </w:t>
      </w:r>
    </w:p>
    <w:p w14:paraId="022FE7F1" w14:textId="77777777" w:rsidR="0089589E" w:rsidRPr="00E30F2E" w:rsidRDefault="0089589E" w:rsidP="0089589E">
      <w:r w:rsidRPr="00E30F2E">
        <w:t xml:space="preserve">2. Học bổng loại 1 </w:t>
      </w:r>
    </w:p>
    <w:p w14:paraId="02E1B61C" w14:textId="77777777" w:rsidR="0089589E" w:rsidRPr="00E30F2E" w:rsidRDefault="0089589E" w:rsidP="0089589E">
      <w:r w:rsidRPr="00E30F2E">
        <w:t xml:space="preserve">Số tiền cho học bồng loại 1 bằng 130% số tiền học bồng loại 2. </w:t>
      </w:r>
    </w:p>
    <w:p w14:paraId="28141470" w14:textId="77777777" w:rsidR="0089589E" w:rsidRPr="00E30F2E" w:rsidRDefault="0089589E" w:rsidP="0089589E">
      <w:r w:rsidRPr="00E30F2E">
        <w:t xml:space="preserve">Điều 3. Nguyên tắc phân chia quỹ học bổng khuyến khích học tập </w:t>
      </w:r>
    </w:p>
    <w:p w14:paraId="2560C302" w14:textId="77777777" w:rsidR="0089589E" w:rsidRPr="00E30F2E" w:rsidRDefault="0089589E" w:rsidP="0089589E">
      <w:r w:rsidRPr="00E30F2E">
        <w:t xml:space="preserve">Quỹ học bổng KKHT của từng học kỳ được phân chia theo tỷ lệ tổng số tín chỉ đăng ký trong kỳ ở từng khu vực Hà Nội, Vũng Tàu và Quảng Ninh. </w:t>
      </w:r>
    </w:p>
    <w:p w14:paraId="0C25EA03" w14:textId="77777777" w:rsidR="0089589E" w:rsidRPr="00E30F2E" w:rsidRDefault="0089589E" w:rsidP="0089589E">
      <w:r w:rsidRPr="00E30F2E">
        <w:lastRenderedPageBreak/>
        <w:t xml:space="preserve">Tại Hà Nội, quỹ học bổng KKHT được phân bổ theo tỉng khoa quản lý sinh viên theo số tín chỉ đăng ký trong học kỳ xét học bổng. Tại Vũng Tàu và Quảng Ninh, quỹ học bổng KKHT được xét, cấp chung cho sinh viên ở khu vực đó và phân chia theo khóa học. </w:t>
      </w:r>
    </w:p>
    <w:p w14:paraId="258F371B" w14:textId="77777777" w:rsidR="0089589E" w:rsidRPr="00E30F2E" w:rsidRDefault="0089589E" w:rsidP="0089589E">
      <w:r w:rsidRPr="00E30F2E">
        <w:t xml:space="preserve">Điều 4. Trình tự, thủ tục xét, cấp học bổng khuyến khích học tập </w:t>
      </w:r>
    </w:p>
    <w:p w14:paraId="0241BB43" w14:textId="77777777" w:rsidR="0089589E" w:rsidRPr="00E30F2E" w:rsidRDefault="0089589E" w:rsidP="0089589E">
      <w:r w:rsidRPr="00E30F2E">
        <w:t xml:space="preserve">1. Đầu học kỳ, căn cứ vào kinh phí của Nhà trường dành cho quỹ học bống, số tín chỉ đăng ký của sinh viên từng khoa, từng khóa học, sau khi trừ đi kinh phí dành cho học bổng d chính sách, trợ cấp xã hội, dự phòng, phòng Công tác Sinh viên và phòng Tài vụ dự kiến phân chia quỹ học bổng KKHT cho các khoa và khóa học theo số lượng tín chỉ đăng ký trong ký để trình Hiệu trưởng quyết định. </w:t>
      </w:r>
    </w:p>
    <w:p w14:paraId="2EB9B283" w14:textId="77777777" w:rsidR="0089589E" w:rsidRPr="00E30F2E" w:rsidRDefault="0089589E" w:rsidP="0089589E">
      <w:r w:rsidRPr="00E30F2E">
        <w:t xml:space="preserve">2. Tại Hà Nội, căn cứ vào quỹ học bổng KKHT được Nhà trường phân bổ, kết quả học tập và rèn luyện của sinh viên, các khoa tiến hành xét, cấp học bổng của học kỳ vừa kết thúc cho sinh viên chậm nhất vào tuần thứ 3 của học kỳ tiếp theo, cụ thể như sau: </w:t>
      </w:r>
    </w:p>
    <w:p w14:paraId="250215C6" w14:textId="77777777" w:rsidR="0089589E" w:rsidRPr="00E30F2E" w:rsidRDefault="0089589E" w:rsidP="0089589E">
      <w:r w:rsidRPr="00E30F2E">
        <w:t xml:space="preserve">- Khoa có quỹ học bổng KKHT chia đủ cho tổng số sinh viên thuộc diện được xét thì tất cả các sinh viên đủ tiêu chuẩn đều được cấp học bổng; nếu không chia đủ cho tổng số sinh viên thuộc điện được xét thì phân chia cho các khoá, các chuyên ngành theo số lượng tín chỉ đăng ký trong kỳ. </w:t>
      </w:r>
    </w:p>
    <w:p w14:paraId="25167522" w14:textId="5C0A10AA" w:rsidR="0089589E" w:rsidRPr="00E30F2E" w:rsidRDefault="0089589E" w:rsidP="0089589E">
      <w:r w:rsidRPr="00E30F2E">
        <w:t>- Trong một chuyên ngành của mỗi khôn, quỹ học bổng chia đủ cho số sinh viên thuộc diện được xét thì tiến hành cấp học bổng cho sinh viên; nếu không đã chia cho tất cả sinh viên trong chuyên ngành của một khóa học thuộc diện được xét thì tiến hành cấp học bổng theo nguyên tắc lấy điểm trung bình chung mở rộng từ cao xuống thấp cho đến hết quỹ học bổng của chuyên ngành đó.</w:t>
      </w:r>
    </w:p>
    <w:p w14:paraId="28E956CD" w14:textId="77777777" w:rsidR="0089589E" w:rsidRPr="00E30F2E" w:rsidRDefault="0089589E" w:rsidP="0089589E">
      <w:r w:rsidRPr="00E30F2E">
        <w:t xml:space="preserve">Khoa cân đối học bồng loại 1 và loại 2 cho từng khóa học trong khoa. </w:t>
      </w:r>
    </w:p>
    <w:p w14:paraId="1AB3BFE8" w14:textId="77777777" w:rsidR="0089589E" w:rsidRPr="00E30F2E" w:rsidRDefault="0089589E" w:rsidP="0089589E">
      <w:r w:rsidRPr="00E30F2E">
        <w:t xml:space="preserve">- Trường hợp quỹ học bổng KKHT của khoa nào còn thửa ở học kỳ 1 thì chuyển vào quỹ học bổng học kỳ 2 của khoa đó để sử dụng. </w:t>
      </w:r>
    </w:p>
    <w:p w14:paraId="7CD5DB0E" w14:textId="77777777" w:rsidR="0089589E" w:rsidRPr="00E30F2E" w:rsidRDefault="0089589E" w:rsidP="0089589E">
      <w:r w:rsidRPr="00E30F2E">
        <w:t xml:space="preserve">Các khoa gửi danh sách sinh viên được cấp học bổng KKHT về phòng Công tác Sinh viền để kiểm tra và trình Hiệu trưởng ra quyết định và thông báo cho sinh viên trong vòng 10 ngày kể từ ngày sinh hoạt lớp đầu học kỳ 2 (đối với học bổng học kỳ 1 của năm học) và sinh hoạt lớp cuối học kỳ 2 (đối với học bổng học kỳ 2 của năm học). Các khoa hoàn toàn chịu trách nhiệm trước Nhà trường nếu không hoàn thành đúng thời hạn trên. </w:t>
      </w:r>
    </w:p>
    <w:p w14:paraId="334195A2" w14:textId="77777777" w:rsidR="0089589E" w:rsidRPr="00E30F2E" w:rsidRDefault="0089589E" w:rsidP="0089589E">
      <w:r w:rsidRPr="00E30F2E">
        <w:t xml:space="preserve">3. Đối với sinh viên tại Quảng Ninh và Vũng Tàu, phòng Công tác Sinh viên phối hợp với phòng Đào tạo Đại học xét và cấp học bổng KKHT cho sinh viên. Trình tự xét và cấp học bổng KKHT như ở Hà Nội. Nếu quỹ học bổng học kỳ 1 còn thừa thì chuyển vào quỹ học bổng học kỳ 2 của khu vực đó. </w:t>
      </w:r>
    </w:p>
    <w:p w14:paraId="761630E7" w14:textId="77777777" w:rsidR="0089589E" w:rsidRPr="00E30F2E" w:rsidRDefault="0089589E" w:rsidP="0089589E">
      <w:r w:rsidRPr="00E30F2E">
        <w:lastRenderedPageBreak/>
        <w:t xml:space="preserve">4. Quỹ học bổng KKHT thửa của các khoa và các khu vực trong học kỳ 2 sẽ bổ sung cho các khoa, các khu vực thiếu để sử dụng hết quỹ học bổng của năm học đó. </w:t>
      </w:r>
    </w:p>
    <w:p w14:paraId="4C5F11F1" w14:textId="77777777" w:rsidR="0089589E" w:rsidRPr="00E30F2E" w:rsidRDefault="0089589E" w:rsidP="0089589E">
      <w:r w:rsidRPr="00E30F2E">
        <w:t xml:space="preserve">Điều 5. Điều khoản thi hành </w:t>
      </w:r>
    </w:p>
    <w:p w14:paraId="629ADC15" w14:textId="7640267C" w:rsidR="0089589E" w:rsidRPr="00E30F2E" w:rsidRDefault="0089589E" w:rsidP="0089589E">
      <w:r w:rsidRPr="00E30F2E">
        <w:t>Quy định này có hiệu lực thi hành kể từ ngày ký. Trong quá trình thực hiện, nếu có vấn đề phát sinh, không phù hợp, đề nghị phản ảnh trực tiếp về Phòng Công tác Sinh viên để báo cáo Hiệu trưởng sửa đổi, bổ sung cho phù hợp với quy định của Nhà nước và thực tiễn của Nhà trường</w:t>
      </w:r>
    </w:p>
    <w:sectPr w:rsidR="0089589E" w:rsidRPr="00E30F2E" w:rsidSect="00FE4A6A">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FF"/>
    <w:rsid w:val="000C598C"/>
    <w:rsid w:val="001429DC"/>
    <w:rsid w:val="001E43FF"/>
    <w:rsid w:val="00275BE2"/>
    <w:rsid w:val="002B2FF3"/>
    <w:rsid w:val="002D506F"/>
    <w:rsid w:val="003126A8"/>
    <w:rsid w:val="00882B59"/>
    <w:rsid w:val="0089589E"/>
    <w:rsid w:val="009D146F"/>
    <w:rsid w:val="00CC2C97"/>
    <w:rsid w:val="00E00B22"/>
    <w:rsid w:val="00E30F2E"/>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1EE8"/>
  <w15:chartTrackingRefBased/>
  <w15:docId w15:val="{4D064193-AFE5-4D91-8BE3-7BC4B8E5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3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3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43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43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43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43F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43F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3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3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E43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E43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43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43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43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43F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3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3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4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3FF"/>
    <w:rPr>
      <w:i/>
      <w:iCs/>
      <w:color w:val="404040" w:themeColor="text1" w:themeTint="BF"/>
    </w:rPr>
  </w:style>
  <w:style w:type="paragraph" w:styleId="ListParagraph">
    <w:name w:val="List Paragraph"/>
    <w:basedOn w:val="Normal"/>
    <w:uiPriority w:val="34"/>
    <w:qFormat/>
    <w:rsid w:val="001E43FF"/>
    <w:pPr>
      <w:ind w:left="720"/>
      <w:contextualSpacing/>
    </w:pPr>
  </w:style>
  <w:style w:type="character" w:styleId="IntenseEmphasis">
    <w:name w:val="Intense Emphasis"/>
    <w:basedOn w:val="DefaultParagraphFont"/>
    <w:uiPriority w:val="21"/>
    <w:qFormat/>
    <w:rsid w:val="001E43FF"/>
    <w:rPr>
      <w:i/>
      <w:iCs/>
      <w:color w:val="0F4761" w:themeColor="accent1" w:themeShade="BF"/>
    </w:rPr>
  </w:style>
  <w:style w:type="paragraph" w:styleId="IntenseQuote">
    <w:name w:val="Intense Quote"/>
    <w:basedOn w:val="Normal"/>
    <w:next w:val="Normal"/>
    <w:link w:val="IntenseQuoteChar"/>
    <w:uiPriority w:val="30"/>
    <w:qFormat/>
    <w:rsid w:val="001E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3FF"/>
    <w:rPr>
      <w:i/>
      <w:iCs/>
      <w:color w:val="0F4761" w:themeColor="accent1" w:themeShade="BF"/>
    </w:rPr>
  </w:style>
  <w:style w:type="character" w:styleId="IntenseReference">
    <w:name w:val="Intense Reference"/>
    <w:basedOn w:val="DefaultParagraphFont"/>
    <w:uiPriority w:val="32"/>
    <w:qFormat/>
    <w:rsid w:val="001E4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674509">
      <w:bodyDiv w:val="1"/>
      <w:marLeft w:val="0"/>
      <w:marRight w:val="0"/>
      <w:marTop w:val="0"/>
      <w:marBottom w:val="0"/>
      <w:divBdr>
        <w:top w:val="none" w:sz="0" w:space="0" w:color="auto"/>
        <w:left w:val="none" w:sz="0" w:space="0" w:color="auto"/>
        <w:bottom w:val="none" w:sz="0" w:space="0" w:color="auto"/>
        <w:right w:val="none" w:sz="0" w:space="0" w:color="auto"/>
      </w:divBdr>
    </w:div>
    <w:div w:id="596715894">
      <w:bodyDiv w:val="1"/>
      <w:marLeft w:val="0"/>
      <w:marRight w:val="0"/>
      <w:marTop w:val="0"/>
      <w:marBottom w:val="0"/>
      <w:divBdr>
        <w:top w:val="none" w:sz="0" w:space="0" w:color="auto"/>
        <w:left w:val="none" w:sz="0" w:space="0" w:color="auto"/>
        <w:bottom w:val="none" w:sz="0" w:space="0" w:color="auto"/>
        <w:right w:val="none" w:sz="0" w:space="0" w:color="auto"/>
      </w:divBdr>
    </w:div>
    <w:div w:id="1186749480">
      <w:bodyDiv w:val="1"/>
      <w:marLeft w:val="0"/>
      <w:marRight w:val="0"/>
      <w:marTop w:val="0"/>
      <w:marBottom w:val="0"/>
      <w:divBdr>
        <w:top w:val="none" w:sz="0" w:space="0" w:color="auto"/>
        <w:left w:val="none" w:sz="0" w:space="0" w:color="auto"/>
        <w:bottom w:val="none" w:sz="0" w:space="0" w:color="auto"/>
        <w:right w:val="none" w:sz="0" w:space="0" w:color="auto"/>
      </w:divBdr>
    </w:div>
    <w:div w:id="1481577425">
      <w:bodyDiv w:val="1"/>
      <w:marLeft w:val="0"/>
      <w:marRight w:val="0"/>
      <w:marTop w:val="0"/>
      <w:marBottom w:val="0"/>
      <w:divBdr>
        <w:top w:val="none" w:sz="0" w:space="0" w:color="auto"/>
        <w:left w:val="none" w:sz="0" w:space="0" w:color="auto"/>
        <w:bottom w:val="none" w:sz="0" w:space="0" w:color="auto"/>
        <w:right w:val="none" w:sz="0" w:space="0" w:color="auto"/>
      </w:divBdr>
    </w:div>
    <w:div w:id="1569345258">
      <w:bodyDiv w:val="1"/>
      <w:marLeft w:val="0"/>
      <w:marRight w:val="0"/>
      <w:marTop w:val="0"/>
      <w:marBottom w:val="0"/>
      <w:divBdr>
        <w:top w:val="none" w:sz="0" w:space="0" w:color="auto"/>
        <w:left w:val="none" w:sz="0" w:space="0" w:color="auto"/>
        <w:bottom w:val="none" w:sz="0" w:space="0" w:color="auto"/>
        <w:right w:val="none" w:sz="0" w:space="0" w:color="auto"/>
      </w:divBdr>
    </w:div>
    <w:div w:id="1634365176">
      <w:bodyDiv w:val="1"/>
      <w:marLeft w:val="0"/>
      <w:marRight w:val="0"/>
      <w:marTop w:val="0"/>
      <w:marBottom w:val="0"/>
      <w:divBdr>
        <w:top w:val="none" w:sz="0" w:space="0" w:color="auto"/>
        <w:left w:val="none" w:sz="0" w:space="0" w:color="auto"/>
        <w:bottom w:val="none" w:sz="0" w:space="0" w:color="auto"/>
        <w:right w:val="none" w:sz="0" w:space="0" w:color="auto"/>
      </w:divBdr>
    </w:div>
    <w:div w:id="1681539051">
      <w:bodyDiv w:val="1"/>
      <w:marLeft w:val="0"/>
      <w:marRight w:val="0"/>
      <w:marTop w:val="0"/>
      <w:marBottom w:val="0"/>
      <w:divBdr>
        <w:top w:val="none" w:sz="0" w:space="0" w:color="auto"/>
        <w:left w:val="none" w:sz="0" w:space="0" w:color="auto"/>
        <w:bottom w:val="none" w:sz="0" w:space="0" w:color="auto"/>
        <w:right w:val="none" w:sz="0" w:space="0" w:color="auto"/>
      </w:divBdr>
    </w:div>
    <w:div w:id="20511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HÙNG</dc:creator>
  <cp:keywords/>
  <dc:description/>
  <cp:lastModifiedBy>ĐOÀN VĂN HÙNG</cp:lastModifiedBy>
  <cp:revision>3</cp:revision>
  <dcterms:created xsi:type="dcterms:W3CDTF">2025-03-03T10:55:00Z</dcterms:created>
  <dcterms:modified xsi:type="dcterms:W3CDTF">2025-03-24T01:35:00Z</dcterms:modified>
</cp:coreProperties>
</file>