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Variant Interpretation </w:t>
      </w:r>
    </w:p>
    <w:p w:rsidR="00000000" w:rsidDel="00000000" w:rsidP="00000000" w:rsidRDefault="00000000" w:rsidRPr="00000000" w14:paraId="00000002">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Summary Guide 2025</w:t>
      </w:r>
    </w:p>
    <w:p w:rsidR="00000000" w:rsidDel="00000000" w:rsidP="00000000" w:rsidRDefault="00000000" w:rsidRPr="00000000" w14:paraId="00000003">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4">
      <w:pPr>
        <w:rPr>
          <w:rFonts w:ascii="Calibri" w:cs="Calibri" w:eastAsia="Calibri" w:hAnsi="Calibri"/>
          <w:b w:val="1"/>
          <w:sz w:val="28"/>
          <w:szCs w:val="28"/>
        </w:rPr>
      </w:pPr>
      <w:r w:rsidDel="00000000" w:rsidR="00000000" w:rsidRPr="00000000">
        <w:rPr>
          <w:rFonts w:ascii="Calibri" w:cs="Calibri" w:eastAsia="Calibri" w:hAnsi="Calibri"/>
          <w:b w:val="1"/>
          <w:rtl w:val="0"/>
        </w:rPr>
        <w:t xml:space="preserve">Databases/Website Resources</w:t>
      </w:r>
      <w:r w:rsidDel="00000000" w:rsidR="00000000" w:rsidRPr="00000000">
        <w:rPr>
          <w:rFonts w:ascii="Calibri" w:cs="Calibri" w:eastAsia="Calibri" w:hAnsi="Calibri"/>
          <w:b w:val="1"/>
          <w:sz w:val="28"/>
          <w:szCs w:val="28"/>
          <w:rtl w:val="0"/>
        </w:rPr>
        <w:t xml:space="preserve">:</w:t>
      </w:r>
    </w:p>
    <w:p w:rsidR="00000000" w:rsidDel="00000000" w:rsidP="00000000" w:rsidRDefault="00000000" w:rsidRPr="00000000" w14:paraId="00000005">
      <w:pPr>
        <w:numPr>
          <w:ilvl w:val="0"/>
          <w:numId w:val="2"/>
        </w:numPr>
        <w:ind w:left="720" w:hanging="360"/>
        <w:rPr>
          <w:rFonts w:ascii="Century Gothic" w:cs="Century Gothic" w:eastAsia="Century Gothic" w:hAnsi="Century Gothic"/>
          <w:sz w:val="22"/>
          <w:szCs w:val="22"/>
        </w:rPr>
      </w:pPr>
      <w:r w:rsidDel="00000000" w:rsidR="00000000" w:rsidRPr="00000000">
        <w:rPr>
          <w:rFonts w:ascii="Calibri" w:cs="Calibri" w:eastAsia="Calibri" w:hAnsi="Calibri"/>
          <w:sz w:val="22"/>
          <w:szCs w:val="22"/>
          <w:rtl w:val="0"/>
        </w:rPr>
        <w:t xml:space="preserve">Online Mendelian Inheritance in Man  OMIM</w:t>
      </w:r>
      <w:r w:rsidDel="00000000" w:rsidR="00000000" w:rsidRPr="00000000">
        <w:rPr>
          <w:rFonts w:ascii="Calibri" w:cs="Calibri" w:eastAsia="Calibri" w:hAnsi="Calibri"/>
          <w:sz w:val="22"/>
          <w:szCs w:val="22"/>
          <w:vertAlign w:val="superscript"/>
          <w:rtl w:val="0"/>
        </w:rPr>
        <w:t xml:space="preserve">®</w:t>
      </w:r>
      <w:r w:rsidDel="00000000" w:rsidR="00000000" w:rsidRPr="00000000">
        <w:rPr>
          <w:rFonts w:ascii="Calibri" w:cs="Calibri" w:eastAsia="Calibri" w:hAnsi="Calibri"/>
          <w:sz w:val="22"/>
          <w:szCs w:val="22"/>
          <w:rtl w:val="0"/>
        </w:rPr>
        <w:t xml:space="preserve">   </w:t>
      </w:r>
      <w:hyperlink r:id="rId7">
        <w:r w:rsidDel="00000000" w:rsidR="00000000" w:rsidRPr="00000000">
          <w:rPr>
            <w:rFonts w:ascii="Calibri" w:cs="Calibri" w:eastAsia="Calibri" w:hAnsi="Calibri"/>
            <w:b w:val="1"/>
            <w:sz w:val="22"/>
            <w:szCs w:val="22"/>
            <w:rtl w:val="0"/>
          </w:rPr>
          <w:t xml:space="preserve">https://omim.org/</w:t>
        </w:r>
      </w:hyperlink>
      <w:r w:rsidDel="00000000" w:rsidR="00000000" w:rsidRPr="00000000">
        <w:rPr>
          <w:rtl w:val="0"/>
        </w:rPr>
      </w:r>
    </w:p>
    <w:p w:rsidR="00000000" w:rsidDel="00000000" w:rsidP="00000000" w:rsidRDefault="00000000" w:rsidRPr="00000000" w14:paraId="00000006">
      <w:pPr>
        <w:numPr>
          <w:ilvl w:val="0"/>
          <w:numId w:val="2"/>
        </w:numPr>
        <w:ind w:left="720" w:hanging="360"/>
        <w:rPr>
          <w:rFonts w:ascii="Century Gothic" w:cs="Century Gothic" w:eastAsia="Century Gothic" w:hAnsi="Century Gothic"/>
          <w:sz w:val="22"/>
          <w:szCs w:val="22"/>
        </w:rPr>
      </w:pPr>
      <w:r w:rsidDel="00000000" w:rsidR="00000000" w:rsidRPr="00000000">
        <w:rPr>
          <w:rFonts w:ascii="Calibri" w:cs="Calibri" w:eastAsia="Calibri" w:hAnsi="Calibri"/>
          <w:sz w:val="22"/>
          <w:szCs w:val="22"/>
          <w:rtl w:val="0"/>
        </w:rPr>
        <w:t xml:space="preserve">PubMed    </w:t>
      </w:r>
      <w:hyperlink r:id="rId8">
        <w:r w:rsidDel="00000000" w:rsidR="00000000" w:rsidRPr="00000000">
          <w:rPr>
            <w:rFonts w:ascii="Calibri" w:cs="Calibri" w:eastAsia="Calibri" w:hAnsi="Calibri"/>
            <w:b w:val="1"/>
            <w:sz w:val="22"/>
            <w:szCs w:val="22"/>
            <w:rtl w:val="0"/>
          </w:rPr>
          <w:t xml:space="preserve">https://www.ncbi.nlm.nih.gov/pubmed/</w:t>
        </w:r>
      </w:hyperlink>
      <w:r w:rsidDel="00000000" w:rsidR="00000000" w:rsidRPr="00000000">
        <w:rPr>
          <w:rtl w:val="0"/>
        </w:rPr>
      </w:r>
    </w:p>
    <w:p w:rsidR="00000000" w:rsidDel="00000000" w:rsidP="00000000" w:rsidRDefault="00000000" w:rsidRPr="00000000" w14:paraId="00000007">
      <w:pPr>
        <w:numPr>
          <w:ilvl w:val="0"/>
          <w:numId w:val="2"/>
        </w:numPr>
        <w:ind w:left="720" w:hanging="360"/>
        <w:rPr>
          <w:rFonts w:ascii="Century Gothic" w:cs="Century Gothic" w:eastAsia="Century Gothic" w:hAnsi="Century Gothic"/>
          <w:sz w:val="22"/>
          <w:szCs w:val="22"/>
        </w:rPr>
      </w:pPr>
      <w:r w:rsidDel="00000000" w:rsidR="00000000" w:rsidRPr="00000000">
        <w:rPr>
          <w:rFonts w:ascii="Calibri" w:cs="Calibri" w:eastAsia="Calibri" w:hAnsi="Calibri"/>
          <w:sz w:val="22"/>
          <w:szCs w:val="22"/>
          <w:rtl w:val="0"/>
        </w:rPr>
        <w:t xml:space="preserve">DECIPHER    </w:t>
      </w:r>
      <w:hyperlink r:id="rId9">
        <w:r w:rsidDel="00000000" w:rsidR="00000000" w:rsidRPr="00000000">
          <w:rPr>
            <w:rFonts w:ascii="Calibri" w:cs="Calibri" w:eastAsia="Calibri" w:hAnsi="Calibri"/>
            <w:b w:val="1"/>
            <w:sz w:val="22"/>
            <w:szCs w:val="22"/>
            <w:rtl w:val="0"/>
          </w:rPr>
          <w:t xml:space="preserve">http://decipher.sanger.ac.uk/</w:t>
        </w:r>
      </w:hyperlink>
      <w:r w:rsidDel="00000000" w:rsidR="00000000" w:rsidRPr="00000000">
        <w:rPr>
          <w:rtl w:val="0"/>
        </w:rPr>
      </w:r>
    </w:p>
    <w:p w:rsidR="00000000" w:rsidDel="00000000" w:rsidP="00000000" w:rsidRDefault="00000000" w:rsidRPr="00000000" w14:paraId="00000008">
      <w:pPr>
        <w:numPr>
          <w:ilvl w:val="0"/>
          <w:numId w:val="2"/>
        </w:numPr>
        <w:ind w:left="720" w:hanging="360"/>
        <w:rPr>
          <w:rFonts w:ascii="Century Gothic" w:cs="Century Gothic" w:eastAsia="Century Gothic" w:hAnsi="Century Gothic"/>
          <w:sz w:val="22"/>
          <w:szCs w:val="22"/>
          <w:u w:val="none"/>
        </w:rPr>
      </w:pPr>
      <w:r w:rsidDel="00000000" w:rsidR="00000000" w:rsidRPr="00000000">
        <w:rPr>
          <w:rFonts w:ascii="Calibri" w:cs="Calibri" w:eastAsia="Calibri" w:hAnsi="Calibri"/>
          <w:sz w:val="22"/>
          <w:szCs w:val="22"/>
          <w:rtl w:val="0"/>
        </w:rPr>
        <w:t xml:space="preserve">Franklin Genoox:</w:t>
      </w:r>
      <w:r w:rsidDel="00000000" w:rsidR="00000000" w:rsidRPr="00000000">
        <w:rPr>
          <w:rFonts w:ascii="Calibri" w:cs="Calibri" w:eastAsia="Calibri" w:hAnsi="Calibri"/>
          <w:b w:val="1"/>
          <w:sz w:val="22"/>
          <w:szCs w:val="22"/>
          <w:rtl w:val="0"/>
        </w:rPr>
        <w:t xml:space="preserve"> </w:t>
      </w:r>
      <w:hyperlink r:id="rId10">
        <w:r w:rsidDel="00000000" w:rsidR="00000000" w:rsidRPr="00000000">
          <w:rPr>
            <w:rFonts w:ascii="Calibri" w:cs="Calibri" w:eastAsia="Calibri" w:hAnsi="Calibri"/>
            <w:b w:val="1"/>
            <w:sz w:val="22"/>
            <w:szCs w:val="22"/>
            <w:rtl w:val="0"/>
          </w:rPr>
          <w:t xml:space="preserve">https://franklin.genoox.com/clinical-db/home</w:t>
        </w:r>
      </w:hyperlink>
      <w:r w:rsidDel="00000000" w:rsidR="00000000" w:rsidRPr="00000000">
        <w:rPr>
          <w:rtl w:val="0"/>
        </w:rPr>
      </w:r>
    </w:p>
    <w:p w:rsidR="00000000" w:rsidDel="00000000" w:rsidP="00000000" w:rsidRDefault="00000000" w:rsidRPr="00000000" w14:paraId="00000009">
      <w:pPr>
        <w:numPr>
          <w:ilvl w:val="0"/>
          <w:numId w:val="2"/>
        </w:numPr>
        <w:ind w:left="720" w:hanging="360"/>
        <w:rPr>
          <w:rFonts w:ascii="Century Gothic" w:cs="Century Gothic" w:eastAsia="Century Gothic" w:hAnsi="Century Gothic"/>
          <w:b w:val="1"/>
          <w:sz w:val="22"/>
          <w:szCs w:val="22"/>
          <w:u w:val="none"/>
        </w:rPr>
      </w:pPr>
      <w:r w:rsidDel="00000000" w:rsidR="00000000" w:rsidRPr="00000000">
        <w:rPr>
          <w:rFonts w:ascii="Calibri" w:cs="Calibri" w:eastAsia="Calibri" w:hAnsi="Calibri"/>
          <w:sz w:val="22"/>
          <w:szCs w:val="22"/>
          <w:rtl w:val="0"/>
        </w:rPr>
        <w:t xml:space="preserve">Varsome: </w:t>
      </w:r>
      <w:r w:rsidDel="00000000" w:rsidR="00000000" w:rsidRPr="00000000">
        <w:rPr>
          <w:rFonts w:ascii="Calibri" w:cs="Calibri" w:eastAsia="Calibri" w:hAnsi="Calibri"/>
          <w:b w:val="1"/>
          <w:sz w:val="22"/>
          <w:szCs w:val="22"/>
          <w:rtl w:val="0"/>
        </w:rPr>
        <w:t xml:space="preserve">https://varsome.com/</w:t>
      </w:r>
    </w:p>
    <w:p w:rsidR="00000000" w:rsidDel="00000000" w:rsidP="00000000" w:rsidRDefault="00000000" w:rsidRPr="00000000" w14:paraId="0000000A">
      <w:pPr>
        <w:numPr>
          <w:ilvl w:val="0"/>
          <w:numId w:val="2"/>
        </w:numPr>
        <w:ind w:left="720" w:hanging="360"/>
        <w:rPr>
          <w:rFonts w:ascii="Century Gothic" w:cs="Century Gothic" w:eastAsia="Century Gothic" w:hAnsi="Century Gothic"/>
          <w:sz w:val="22"/>
          <w:szCs w:val="22"/>
        </w:rPr>
      </w:pPr>
      <w:r w:rsidDel="00000000" w:rsidR="00000000" w:rsidRPr="00000000">
        <w:rPr>
          <w:rFonts w:ascii="Calibri" w:cs="Calibri" w:eastAsia="Calibri" w:hAnsi="Calibri"/>
          <w:sz w:val="22"/>
          <w:szCs w:val="22"/>
          <w:rtl w:val="0"/>
        </w:rPr>
        <w:t xml:space="preserve">UCSC Genome Browser   </w:t>
      </w:r>
      <w:hyperlink r:id="rId11">
        <w:r w:rsidDel="00000000" w:rsidR="00000000" w:rsidRPr="00000000">
          <w:rPr>
            <w:rFonts w:ascii="Calibri" w:cs="Calibri" w:eastAsia="Calibri" w:hAnsi="Calibri"/>
            <w:b w:val="1"/>
            <w:sz w:val="22"/>
            <w:szCs w:val="22"/>
            <w:rtl w:val="0"/>
          </w:rPr>
          <w:t xml:space="preserve">http://genome.ucsc.edu/</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B">
      <w:pPr>
        <w:numPr>
          <w:ilvl w:val="0"/>
          <w:numId w:val="2"/>
        </w:numPr>
        <w:ind w:left="720" w:hanging="360"/>
        <w:rPr>
          <w:rFonts w:ascii="Century Gothic" w:cs="Century Gothic" w:eastAsia="Century Gothic" w:hAnsi="Century Gothic"/>
          <w:strike w:val="0"/>
          <w:color w:val="000000"/>
          <w:sz w:val="22"/>
          <w:szCs w:val="22"/>
          <w:u w:val="none"/>
        </w:rPr>
      </w:pPr>
      <w:r w:rsidDel="00000000" w:rsidR="00000000" w:rsidRPr="00000000">
        <w:rPr>
          <w:rFonts w:ascii="Calibri" w:cs="Calibri" w:eastAsia="Calibri" w:hAnsi="Calibri"/>
          <w:sz w:val="22"/>
          <w:szCs w:val="22"/>
          <w:rtl w:val="0"/>
        </w:rPr>
        <w:t xml:space="preserve">Clinical Genome Resource  ClinGen   </w:t>
      </w:r>
      <w:hyperlink r:id="rId12">
        <w:r w:rsidDel="00000000" w:rsidR="00000000" w:rsidRPr="00000000">
          <w:rPr>
            <w:rFonts w:ascii="Calibri" w:cs="Calibri" w:eastAsia="Calibri" w:hAnsi="Calibri"/>
            <w:b w:val="1"/>
            <w:strike w:val="0"/>
            <w:color w:val="000000"/>
            <w:sz w:val="22"/>
            <w:szCs w:val="22"/>
            <w:u w:val="none"/>
            <w:rtl w:val="0"/>
          </w:rPr>
          <w:t xml:space="preserve">https://www.clinicalgenome.org/</w:t>
        </w:r>
      </w:hyperlink>
      <w:r w:rsidDel="00000000" w:rsidR="00000000" w:rsidRPr="00000000">
        <w:rPr>
          <w:rtl w:val="0"/>
        </w:rPr>
      </w:r>
    </w:p>
    <w:p w:rsidR="00000000" w:rsidDel="00000000" w:rsidP="00000000" w:rsidRDefault="00000000" w:rsidRPr="00000000" w14:paraId="0000000C">
      <w:pPr>
        <w:numPr>
          <w:ilvl w:val="0"/>
          <w:numId w:val="2"/>
        </w:numPr>
        <w:ind w:left="720" w:hanging="360"/>
        <w:rPr>
          <w:rFonts w:ascii="Century Gothic" w:cs="Century Gothic" w:eastAsia="Century Gothic" w:hAnsi="Century Gothic"/>
          <w:strike w:val="0"/>
          <w:color w:val="000000"/>
          <w:sz w:val="22"/>
          <w:szCs w:val="22"/>
          <w:u w:val="none"/>
        </w:rPr>
      </w:pPr>
      <w:r w:rsidDel="00000000" w:rsidR="00000000" w:rsidRPr="00000000">
        <w:rPr>
          <w:rFonts w:ascii="Calibri" w:cs="Calibri" w:eastAsia="Calibri" w:hAnsi="Calibri"/>
          <w:sz w:val="22"/>
          <w:szCs w:val="22"/>
          <w:rtl w:val="0"/>
        </w:rPr>
        <w:t xml:space="preserve">ClinGen Dosage Sensitivity Map   </w:t>
      </w:r>
      <w:r w:rsidDel="00000000" w:rsidR="00000000" w:rsidRPr="00000000">
        <w:rPr>
          <w:rFonts w:ascii="Calibri" w:cs="Calibri" w:eastAsia="Calibri" w:hAnsi="Calibri"/>
          <w:b w:val="1"/>
          <w:sz w:val="22"/>
          <w:szCs w:val="22"/>
          <w:rtl w:val="0"/>
        </w:rPr>
        <w:t xml:space="preserve">https://dosage.clinicalgenome.org/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ClinGen Pathogenicity Calculator   </w:t>
      </w:r>
      <w:hyperlink r:id="rId1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http://cnvcalc.clinicalgenome.org/cnvcalc/</w:t>
        </w:r>
      </w:hyperlink>
      <w:r w:rsidDel="00000000" w:rsidR="00000000" w:rsidRPr="00000000">
        <w:rPr>
          <w:rtl w:val="0"/>
        </w:rPr>
      </w:r>
    </w:p>
    <w:p w:rsidR="00000000" w:rsidDel="00000000" w:rsidP="00000000" w:rsidRDefault="00000000" w:rsidRPr="00000000" w14:paraId="0000000E">
      <w:pPr>
        <w:numPr>
          <w:ilvl w:val="0"/>
          <w:numId w:val="2"/>
        </w:numPr>
        <w:ind w:left="720" w:hanging="360"/>
        <w:rPr>
          <w:rFonts w:ascii="Century Gothic" w:cs="Century Gothic" w:eastAsia="Century Gothic" w:hAnsi="Century Gothic"/>
          <w:sz w:val="22"/>
          <w:szCs w:val="22"/>
        </w:rPr>
      </w:pPr>
      <w:r w:rsidDel="00000000" w:rsidR="00000000" w:rsidRPr="00000000">
        <w:rPr>
          <w:rFonts w:ascii="Calibri" w:cs="Calibri" w:eastAsia="Calibri" w:hAnsi="Calibri"/>
          <w:sz w:val="22"/>
          <w:szCs w:val="22"/>
          <w:rtl w:val="0"/>
        </w:rPr>
        <w:t xml:space="preserve">Database of Genomic Variants   </w:t>
      </w:r>
      <w:hyperlink r:id="rId14">
        <w:r w:rsidDel="00000000" w:rsidR="00000000" w:rsidRPr="00000000">
          <w:rPr>
            <w:rFonts w:ascii="Calibri" w:cs="Calibri" w:eastAsia="Calibri" w:hAnsi="Calibri"/>
            <w:b w:val="1"/>
            <w:strike w:val="0"/>
            <w:color w:val="000000"/>
            <w:sz w:val="22"/>
            <w:szCs w:val="22"/>
            <w:u w:val="none"/>
            <w:rtl w:val="0"/>
          </w:rPr>
          <w:t xml:space="preserve">http://dgv.tcag.ca/dgv/app/home</w:t>
        </w:r>
      </w:hyperlink>
      <w:r w:rsidDel="00000000" w:rsidR="00000000" w:rsidRPr="00000000">
        <w:rPr>
          <w:rtl w:val="0"/>
        </w:rPr>
      </w:r>
    </w:p>
    <w:p w:rsidR="00000000" w:rsidDel="00000000" w:rsidP="00000000" w:rsidRDefault="00000000" w:rsidRPr="00000000" w14:paraId="0000000F">
      <w:pPr>
        <w:numPr>
          <w:ilvl w:val="0"/>
          <w:numId w:val="2"/>
        </w:numPr>
        <w:ind w:left="720" w:hanging="360"/>
        <w:rPr>
          <w:rFonts w:ascii="Century Gothic" w:cs="Century Gothic" w:eastAsia="Century Gothic" w:hAnsi="Century Gothic"/>
          <w:sz w:val="22"/>
          <w:szCs w:val="22"/>
        </w:rPr>
      </w:pPr>
      <w:r w:rsidDel="00000000" w:rsidR="00000000" w:rsidRPr="00000000">
        <w:rPr>
          <w:rFonts w:ascii="Calibri" w:cs="Calibri" w:eastAsia="Calibri" w:hAnsi="Calibri"/>
          <w:sz w:val="22"/>
          <w:szCs w:val="22"/>
          <w:rtl w:val="0"/>
        </w:rPr>
        <w:t xml:space="preserve">Gene Reviews:</w:t>
      </w:r>
      <w:r w:rsidDel="00000000" w:rsidR="00000000" w:rsidRPr="00000000">
        <w:rPr>
          <w:rFonts w:ascii="Calibri" w:cs="Calibri" w:eastAsia="Calibri" w:hAnsi="Calibri"/>
          <w:b w:val="1"/>
          <w:sz w:val="22"/>
          <w:szCs w:val="22"/>
          <w:rtl w:val="0"/>
        </w:rPr>
        <w:t xml:space="preserve"> https://www.ncbi.nlm.nih.gov/books/NBK1116/</w:t>
      </w:r>
      <w:r w:rsidDel="00000000" w:rsidR="00000000" w:rsidRPr="00000000">
        <w:rPr>
          <w:rtl w:val="0"/>
        </w:rPr>
      </w:r>
    </w:p>
    <w:p w:rsidR="00000000" w:rsidDel="00000000" w:rsidP="00000000" w:rsidRDefault="00000000" w:rsidRPr="00000000" w14:paraId="00000010">
      <w:pPr>
        <w:numPr>
          <w:ilvl w:val="0"/>
          <w:numId w:val="2"/>
        </w:numPr>
        <w:ind w:left="720" w:hanging="360"/>
        <w:rPr>
          <w:rFonts w:ascii="Century Gothic" w:cs="Century Gothic" w:eastAsia="Century Gothic" w:hAnsi="Century Gothic"/>
          <w:sz w:val="22"/>
          <w:szCs w:val="22"/>
        </w:rPr>
      </w:pPr>
      <w:r w:rsidDel="00000000" w:rsidR="00000000" w:rsidRPr="00000000">
        <w:rPr>
          <w:rFonts w:ascii="Calibri" w:cs="Calibri" w:eastAsia="Calibri" w:hAnsi="Calibri"/>
          <w:sz w:val="22"/>
          <w:szCs w:val="22"/>
          <w:rtl w:val="0"/>
        </w:rPr>
        <w:t xml:space="preserve">GeneCards</w:t>
      </w:r>
      <w:r w:rsidDel="00000000" w:rsidR="00000000" w:rsidRPr="00000000">
        <w:rPr>
          <w:rFonts w:ascii="Calibri" w:cs="Calibri" w:eastAsia="Calibri" w:hAnsi="Calibri"/>
          <w:sz w:val="22"/>
          <w:szCs w:val="22"/>
          <w:vertAlign w:val="superscript"/>
          <w:rtl w:val="0"/>
        </w:rPr>
        <w:t xml:space="preserve">®  </w:t>
      </w:r>
      <w:r w:rsidDel="00000000" w:rsidR="00000000" w:rsidRPr="00000000">
        <w:rPr>
          <w:rFonts w:ascii="Calibri" w:cs="Calibri" w:eastAsia="Calibri" w:hAnsi="Calibri"/>
          <w:sz w:val="22"/>
          <w:szCs w:val="22"/>
          <w:rtl w:val="0"/>
        </w:rPr>
        <w:t xml:space="preserve">  </w:t>
      </w:r>
      <w:hyperlink r:id="rId15">
        <w:r w:rsidDel="00000000" w:rsidR="00000000" w:rsidRPr="00000000">
          <w:rPr>
            <w:rFonts w:ascii="Calibri" w:cs="Calibri" w:eastAsia="Calibri" w:hAnsi="Calibri"/>
            <w:b w:val="1"/>
            <w:strike w:val="0"/>
            <w:color w:val="000000"/>
            <w:sz w:val="22"/>
            <w:szCs w:val="22"/>
            <w:u w:val="none"/>
            <w:rtl w:val="0"/>
          </w:rPr>
          <w:t xml:space="preserve">http://www.genecards.org/</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1">
      <w:pPr>
        <w:numPr>
          <w:ilvl w:val="0"/>
          <w:numId w:val="2"/>
        </w:numPr>
        <w:ind w:left="720" w:hanging="360"/>
        <w:rPr>
          <w:rFonts w:ascii="Century Gothic" w:cs="Century Gothic" w:eastAsia="Century Gothic" w:hAnsi="Century Gothic"/>
          <w:sz w:val="22"/>
          <w:szCs w:val="22"/>
        </w:rPr>
      </w:pPr>
      <w:r w:rsidDel="00000000" w:rsidR="00000000" w:rsidRPr="00000000">
        <w:rPr>
          <w:rFonts w:ascii="Calibri" w:cs="Calibri" w:eastAsia="Calibri" w:hAnsi="Calibri"/>
          <w:sz w:val="22"/>
          <w:szCs w:val="22"/>
          <w:rtl w:val="0"/>
        </w:rPr>
        <w:t xml:space="preserve">Human Gene Mutation Database  HGMD</w:t>
      </w:r>
      <w:r w:rsidDel="00000000" w:rsidR="00000000" w:rsidRPr="00000000">
        <w:rPr>
          <w:rFonts w:ascii="Calibri" w:cs="Calibri" w:eastAsia="Calibri" w:hAnsi="Calibri"/>
          <w:sz w:val="22"/>
          <w:szCs w:val="22"/>
          <w:vertAlign w:val="superscript"/>
          <w:rtl w:val="0"/>
        </w:rPr>
        <w:t xml:space="preserve">®</w:t>
      </w:r>
      <w:r w:rsidDel="00000000" w:rsidR="00000000" w:rsidRPr="00000000">
        <w:rPr>
          <w:rFonts w:ascii="Calibri" w:cs="Calibri" w:eastAsia="Calibri" w:hAnsi="Calibri"/>
          <w:sz w:val="22"/>
          <w:szCs w:val="22"/>
          <w:rtl w:val="0"/>
        </w:rPr>
        <w:t xml:space="preserve">  </w:t>
      </w:r>
      <w:hyperlink r:id="rId16">
        <w:r w:rsidDel="00000000" w:rsidR="00000000" w:rsidRPr="00000000">
          <w:rPr>
            <w:rFonts w:ascii="Calibri" w:cs="Calibri" w:eastAsia="Calibri" w:hAnsi="Calibri"/>
            <w:b w:val="1"/>
            <w:strike w:val="0"/>
            <w:color w:val="000000"/>
            <w:sz w:val="22"/>
            <w:szCs w:val="22"/>
            <w:u w:val="none"/>
            <w:rtl w:val="0"/>
          </w:rPr>
          <w:t xml:space="preserve">http://www.hgmd.cf.ac.uk/</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2">
      <w:pPr>
        <w:numPr>
          <w:ilvl w:val="0"/>
          <w:numId w:val="2"/>
        </w:numPr>
        <w:ind w:left="720" w:hanging="360"/>
        <w:rPr>
          <w:rFonts w:ascii="Century Gothic" w:cs="Century Gothic" w:eastAsia="Century Gothic" w:hAnsi="Century Gothic"/>
          <w:sz w:val="22"/>
          <w:szCs w:val="22"/>
        </w:rPr>
      </w:pPr>
      <w:r w:rsidDel="00000000" w:rsidR="00000000" w:rsidRPr="00000000">
        <w:rPr>
          <w:rFonts w:ascii="Calibri" w:cs="Calibri" w:eastAsia="Calibri" w:hAnsi="Calibri"/>
          <w:sz w:val="22"/>
          <w:szCs w:val="22"/>
          <w:rtl w:val="0"/>
        </w:rPr>
        <w:t xml:space="preserve">ClinVar   </w:t>
      </w:r>
      <w:r w:rsidDel="00000000" w:rsidR="00000000" w:rsidRPr="00000000">
        <w:rPr>
          <w:rFonts w:ascii="Calibri" w:cs="Calibri" w:eastAsia="Calibri" w:hAnsi="Calibri"/>
          <w:b w:val="1"/>
          <w:sz w:val="22"/>
          <w:szCs w:val="22"/>
          <w:rtl w:val="0"/>
        </w:rPr>
        <w:t xml:space="preserve">http://www.ncbi.nlm.nih.gov/clinvar/</w:t>
      </w:r>
      <w:r w:rsidDel="00000000" w:rsidR="00000000" w:rsidRPr="00000000">
        <w:rPr>
          <w:rtl w:val="0"/>
        </w:rPr>
      </w:r>
    </w:p>
    <w:p w:rsidR="00000000" w:rsidDel="00000000" w:rsidP="00000000" w:rsidRDefault="00000000" w:rsidRPr="00000000" w14:paraId="00000013">
      <w:pPr>
        <w:numPr>
          <w:ilvl w:val="0"/>
          <w:numId w:val="2"/>
        </w:numPr>
        <w:ind w:left="720" w:hanging="360"/>
        <w:rPr>
          <w:rFonts w:ascii="Century Gothic" w:cs="Century Gothic" w:eastAsia="Century Gothic" w:hAnsi="Century Gothic"/>
          <w:sz w:val="22"/>
          <w:szCs w:val="22"/>
        </w:rPr>
      </w:pPr>
      <w:r w:rsidDel="00000000" w:rsidR="00000000" w:rsidRPr="00000000">
        <w:rPr>
          <w:rFonts w:ascii="Calibri" w:cs="Calibri" w:eastAsia="Calibri" w:hAnsi="Calibri"/>
          <w:sz w:val="22"/>
          <w:szCs w:val="22"/>
          <w:rtl w:val="0"/>
        </w:rPr>
        <w:t xml:space="preserve">SFARI Gene Database  </w:t>
      </w:r>
      <w:hyperlink r:id="rId17">
        <w:r w:rsidDel="00000000" w:rsidR="00000000" w:rsidRPr="00000000">
          <w:rPr>
            <w:rFonts w:ascii="Calibri" w:cs="Calibri" w:eastAsia="Calibri" w:hAnsi="Calibri"/>
            <w:b w:val="1"/>
            <w:strike w:val="0"/>
            <w:color w:val="000000"/>
            <w:sz w:val="22"/>
            <w:szCs w:val="22"/>
            <w:highlight w:val="white"/>
            <w:u w:val="none"/>
            <w:rtl w:val="0"/>
          </w:rPr>
          <w:t xml:space="preserve">https://gene.sfari.org/</w:t>
        </w:r>
      </w:hyperlink>
      <w:r w:rsidDel="00000000" w:rsidR="00000000" w:rsidRPr="00000000">
        <w:rPr>
          <w:rtl w:val="0"/>
        </w:rPr>
      </w:r>
    </w:p>
    <w:p w:rsidR="00000000" w:rsidDel="00000000" w:rsidP="00000000" w:rsidRDefault="00000000" w:rsidRPr="00000000" w14:paraId="00000014">
      <w:pPr>
        <w:numPr>
          <w:ilvl w:val="0"/>
          <w:numId w:val="2"/>
        </w:numPr>
        <w:ind w:left="720" w:hanging="360"/>
        <w:rPr>
          <w:rFonts w:ascii="Century Gothic" w:cs="Century Gothic" w:eastAsia="Century Gothic" w:hAnsi="Century Gothic"/>
          <w:sz w:val="22"/>
          <w:szCs w:val="22"/>
        </w:rPr>
      </w:pPr>
      <w:r w:rsidDel="00000000" w:rsidR="00000000" w:rsidRPr="00000000">
        <w:rPr>
          <w:rFonts w:ascii="Calibri" w:cs="Calibri" w:eastAsia="Calibri" w:hAnsi="Calibri"/>
          <w:sz w:val="22"/>
          <w:szCs w:val="22"/>
          <w:rtl w:val="0"/>
        </w:rPr>
        <w:t xml:space="preserve">Genome Aggregate Database - gnomAD Browser  </w:t>
      </w:r>
      <w:hyperlink r:id="rId18">
        <w:r w:rsidDel="00000000" w:rsidR="00000000" w:rsidRPr="00000000">
          <w:rPr>
            <w:rFonts w:ascii="Calibri" w:cs="Calibri" w:eastAsia="Calibri" w:hAnsi="Calibri"/>
            <w:b w:val="1"/>
            <w:strike w:val="0"/>
            <w:color w:val="000000"/>
            <w:sz w:val="22"/>
            <w:szCs w:val="22"/>
            <w:u w:val="none"/>
            <w:rtl w:val="0"/>
          </w:rPr>
          <w:t xml:space="preserve">https://gnomad.broadinstitute.org/</w:t>
        </w:r>
      </w:hyperlink>
      <w:r w:rsidDel="00000000" w:rsidR="00000000" w:rsidRPr="00000000">
        <w:rPr>
          <w:rtl w:val="0"/>
        </w:rPr>
      </w:r>
    </w:p>
    <w:p w:rsidR="00000000" w:rsidDel="00000000" w:rsidP="00000000" w:rsidRDefault="00000000" w:rsidRPr="00000000" w14:paraId="00000015">
      <w:pPr>
        <w:numPr>
          <w:ilvl w:val="0"/>
          <w:numId w:val="2"/>
        </w:numPr>
        <w:ind w:left="720" w:hanging="360"/>
        <w:rPr>
          <w:rFonts w:ascii="Century Gothic" w:cs="Century Gothic" w:eastAsia="Century Gothic" w:hAnsi="Century Gothic"/>
          <w:sz w:val="22"/>
          <w:szCs w:val="22"/>
          <w:u w:val="none"/>
        </w:rPr>
      </w:pPr>
      <w:r w:rsidDel="00000000" w:rsidR="00000000" w:rsidRPr="00000000">
        <w:rPr>
          <w:rFonts w:ascii="Calibri" w:cs="Calibri" w:eastAsia="Calibri" w:hAnsi="Calibri"/>
          <w:sz w:val="22"/>
          <w:szCs w:val="22"/>
          <w:rtl w:val="0"/>
        </w:rPr>
        <w:t xml:space="preserve">Leiden Open Variation Database (LOVD): </w:t>
      </w:r>
      <w:r w:rsidDel="00000000" w:rsidR="00000000" w:rsidRPr="00000000">
        <w:rPr>
          <w:rFonts w:ascii="Calibri" w:cs="Calibri" w:eastAsia="Calibri" w:hAnsi="Calibri"/>
          <w:b w:val="1"/>
          <w:sz w:val="22"/>
          <w:szCs w:val="22"/>
          <w:rtl w:val="0"/>
        </w:rPr>
        <w:t xml:space="preserve">https://www.lovd.nl/</w:t>
      </w:r>
    </w:p>
    <w:p w:rsidR="00000000" w:rsidDel="00000000" w:rsidP="00000000" w:rsidRDefault="00000000" w:rsidRPr="00000000" w14:paraId="00000016">
      <w:pPr>
        <w:rPr>
          <w:rFonts w:ascii="Calibri" w:cs="Calibri" w:eastAsia="Calibri" w:hAnsi="Calibri"/>
          <w:b w:val="1"/>
        </w:rPr>
      </w:pPr>
      <w:r w:rsidDel="00000000" w:rsidR="00000000" w:rsidRPr="00000000">
        <w:rPr>
          <w:rFonts w:ascii="Calibri" w:cs="Calibri" w:eastAsia="Calibri" w:hAnsi="Calibri"/>
          <w:b w:val="1"/>
          <w:rtl w:val="0"/>
        </w:rPr>
        <w:tab/>
      </w:r>
    </w:p>
    <w:p w:rsidR="00000000" w:rsidDel="00000000" w:rsidP="00000000" w:rsidRDefault="00000000" w:rsidRPr="00000000" w14:paraId="00000017">
      <w:pPr>
        <w:rPr>
          <w:rFonts w:ascii="Calibri" w:cs="Calibri" w:eastAsia="Calibri" w:hAnsi="Calibri"/>
          <w:b w:val="1"/>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rPr>
      </w:pPr>
      <w:r w:rsidDel="00000000" w:rsidR="00000000" w:rsidRPr="00000000">
        <w:rPr>
          <w:rtl w:val="0"/>
        </w:rPr>
      </w:r>
    </w:p>
    <w:p w:rsidR="00000000" w:rsidDel="00000000" w:rsidP="00000000" w:rsidRDefault="00000000" w:rsidRPr="00000000" w14:paraId="00000025">
      <w:pPr>
        <w:rPr>
          <w:rFonts w:ascii="Calibri" w:cs="Calibri" w:eastAsia="Calibri" w:hAnsi="Calibri"/>
          <w:b w:val="1"/>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rPr>
      </w:pPr>
      <w:r w:rsidDel="00000000" w:rsidR="00000000" w:rsidRPr="00000000">
        <w:rPr>
          <w:rtl w:val="0"/>
        </w:rPr>
      </w:r>
    </w:p>
    <w:p w:rsidR="00000000" w:rsidDel="00000000" w:rsidP="00000000" w:rsidRDefault="00000000" w:rsidRPr="00000000" w14:paraId="0000002A">
      <w:pPr>
        <w:rPr>
          <w:rFonts w:ascii="Calibri" w:cs="Calibri" w:eastAsia="Calibri" w:hAnsi="Calibri"/>
          <w:b w:val="1"/>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sz w:val="22"/>
          <w:szCs w:val="22"/>
        </w:rPr>
      </w:pPr>
      <w:r w:rsidDel="00000000" w:rsidR="00000000" w:rsidRPr="00000000">
        <w:rPr>
          <w:rFonts w:ascii="Calibri" w:cs="Calibri" w:eastAsia="Calibri" w:hAnsi="Calibri"/>
          <w:b w:val="1"/>
          <w:sz w:val="28"/>
          <w:szCs w:val="28"/>
          <w:rtl w:val="0"/>
        </w:rPr>
        <w:t xml:space="preserve">Intro to CNV Interpretation</w:t>
      </w:r>
      <w:r w:rsidDel="00000000" w:rsidR="00000000" w:rsidRPr="00000000">
        <w:rPr>
          <w:rtl w:val="0"/>
        </w:rPr>
      </w:r>
    </w:p>
    <w:p w:rsidR="00000000" w:rsidDel="00000000" w:rsidP="00000000" w:rsidRDefault="00000000" w:rsidRPr="00000000" w14:paraId="00000032">
      <w:pPr>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rPr>
      </w:pPr>
      <w:r w:rsidDel="00000000" w:rsidR="00000000" w:rsidRPr="00000000">
        <w:rPr>
          <w:rFonts w:ascii="Calibri" w:cs="Calibri" w:eastAsia="Calibri" w:hAnsi="Calibri"/>
          <w:b w:val="1"/>
          <w:i w:val="1"/>
          <w:rtl w:val="0"/>
        </w:rPr>
        <w:t xml:space="preserve">General</w:t>
      </w:r>
      <w:r w:rsidDel="00000000" w:rsidR="00000000" w:rsidRPr="00000000">
        <w:rPr>
          <w:rFonts w:ascii="Calibri" w:cs="Calibri" w:eastAsia="Calibri" w:hAnsi="Calibri"/>
          <w:b w:val="1"/>
          <w:rtl w:val="0"/>
        </w:rPr>
        <w:t xml:space="preserve"> guidelines:</w:t>
      </w:r>
    </w:p>
    <w:p w:rsidR="00000000" w:rsidDel="00000000" w:rsidP="00000000" w:rsidRDefault="00000000" w:rsidRPr="00000000" w14:paraId="000000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Think critically about each CMA finding.  There may be exceptions to every guideline. </w:t>
      </w:r>
    </w:p>
    <w:p w:rsidR="00000000" w:rsidDel="00000000" w:rsidP="00000000" w:rsidRDefault="00000000" w:rsidRPr="00000000" w14:paraId="0000003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1"/>
          <w:smallCaps w:val="0"/>
          <w:strike w:val="0"/>
          <w:color w:val="000000"/>
          <w:sz w:val="24"/>
          <w:szCs w:val="24"/>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Does the CNV overlap a known syndrome region?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Does CNV fully OR partially overlap the syndrome region?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Does CVN include the “critical region” or critical/dosage sensitive gene(s) of the syndrome region?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If syndrome region also overlaps population variants, is the syndrome characterized by variable expressivity or incomplete penetrance?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Resources: DGV browser-DECIPHER Genomic Disorders track &amp; ISCA curated clinically relevant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regions track, DECIPHER, ClinGen Dosage Sensitivity Map, OMIM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35"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1"/>
          <w:smallCaps w:val="0"/>
          <w:strike w:val="0"/>
          <w:color w:val="000000"/>
          <w:sz w:val="24"/>
          <w:szCs w:val="24"/>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Does the CNV overlap a known polymorphic region?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Specifically, copy number gain or loss?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Strength of evidence as a population variant -- %frequency?  “gold standard” CNV?</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Resources: DGV, UCSC Genome Browser-DGV tracks, DECIPHER-population CNV track,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gnomAD-SVs, ClinGen Dosage Sensitivity Map</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numPr>
          <w:ilvl w:val="0"/>
          <w:numId w:val="4"/>
        </w:numPr>
        <w:ind w:left="720" w:hanging="360"/>
        <w:rPr>
          <w:rFonts w:ascii="Calibri" w:cs="Calibri" w:eastAsia="Calibri" w:hAnsi="Calibri"/>
          <w:b w:val="1"/>
          <w:i w:val="1"/>
        </w:rPr>
      </w:pPr>
      <w:r w:rsidDel="00000000" w:rsidR="00000000" w:rsidRPr="00000000">
        <w:rPr>
          <w:rFonts w:ascii="Calibri" w:cs="Calibri" w:eastAsia="Calibri" w:hAnsi="Calibri"/>
          <w:b w:val="1"/>
          <w:i w:val="1"/>
          <w:rtl w:val="0"/>
        </w:rPr>
        <w:t xml:space="preserve">What is the size of the CNV?</w:t>
      </w:r>
    </w:p>
    <w:p w:rsidR="00000000" w:rsidDel="00000000" w:rsidP="00000000" w:rsidRDefault="00000000" w:rsidRPr="00000000" w14:paraId="00000046">
      <w:pPr>
        <w:ind w:left="720" w:firstLine="0"/>
        <w:rPr>
          <w:rFonts w:ascii="Calibri" w:cs="Calibri" w:eastAsia="Calibri" w:hAnsi="Calibri"/>
        </w:rPr>
      </w:pPr>
      <w:r w:rsidDel="00000000" w:rsidR="00000000" w:rsidRPr="00000000">
        <w:rPr>
          <w:rFonts w:ascii="Calibri" w:cs="Calibri" w:eastAsia="Calibri" w:hAnsi="Calibri"/>
          <w:rtl w:val="0"/>
        </w:rPr>
        <w:t xml:space="preserve">While labs/guidelines can differ, CNV &gt;3Mb are much more likely to be classified as pathogenic, whereas &lt;2% of CNV &lt;500Kb are reported pathogenic (unless involving a known critical area or dosage sensitive gene, etc). </w:t>
      </w:r>
    </w:p>
    <w:p w:rsidR="00000000" w:rsidDel="00000000" w:rsidP="00000000" w:rsidRDefault="00000000" w:rsidRPr="00000000" w14:paraId="0000004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1"/>
          <w:smallCaps w:val="0"/>
          <w:strike w:val="0"/>
          <w:color w:val="000000"/>
          <w:sz w:val="24"/>
          <w:szCs w:val="24"/>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Gene content of the CNV?</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Protein-coding or functionally important elements?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Reference sequence genes?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Number of</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protein-coding genes?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OMIM disorder/disease-causing gene?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Is associated disorder consistent with patient phenotype?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Inheritance pattern – AD, AR, others?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Established dosage sensitive gene?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Type of gene alterations that lead to disease (mutation mechanism)?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Functional studies to support dosage sensitivity?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If not established as dosage sensitive, is gene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predicted</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to be intolerant of loss-of-function?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If partial overlap of gene (whether deletion OR duplication), what is the functional consequence (e.g. disruption, truncation, nonsense-mediated decay, gene fusion)?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Resources: “click” on gene for NCBI summary, GeneCards, OMIM, PubMed, DECIPHER,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ClinGen, HGMD, SFARI, ClinVar, gnomAD</w:t>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numPr>
          <w:ilvl w:val="0"/>
          <w:numId w:val="4"/>
        </w:numPr>
        <w:ind w:left="720" w:hanging="360"/>
        <w:rPr>
          <w:rFonts w:ascii="Calibri" w:cs="Calibri" w:eastAsia="Calibri" w:hAnsi="Calibri"/>
          <w:b w:val="1"/>
          <w:i w:val="1"/>
        </w:rPr>
      </w:pPr>
      <w:r w:rsidDel="00000000" w:rsidR="00000000" w:rsidRPr="00000000">
        <w:rPr>
          <w:rFonts w:ascii="Calibri" w:cs="Calibri" w:eastAsia="Calibri" w:hAnsi="Calibri"/>
          <w:b w:val="1"/>
          <w:i w:val="1"/>
          <w:rtl w:val="0"/>
        </w:rPr>
        <w:t xml:space="preserve">Other patients with similar CNV?</w:t>
      </w:r>
    </w:p>
    <w:p w:rsidR="00000000" w:rsidDel="00000000" w:rsidP="00000000" w:rsidRDefault="00000000" w:rsidRPr="00000000" w14:paraId="00000058">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Published cases in medical literature vs. cases in patient databases (public, private/laboratory)</w:t>
      </w:r>
    </w:p>
    <w:p w:rsidR="00000000" w:rsidDel="00000000" w:rsidP="00000000" w:rsidRDefault="00000000" w:rsidRPr="00000000" w14:paraId="00000059">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Patient databases may be limited by lack of detailed phenotype, unknown status as to whether CNV is </w:t>
      </w:r>
      <w:r w:rsidDel="00000000" w:rsidR="00000000" w:rsidRPr="00000000">
        <w:rPr>
          <w:rFonts w:ascii="Calibri" w:cs="Calibri" w:eastAsia="Calibri" w:hAnsi="Calibri"/>
          <w:i w:val="1"/>
          <w:sz w:val="22"/>
          <w:szCs w:val="22"/>
          <w:rtl w:val="0"/>
        </w:rPr>
        <w:t xml:space="preserve">de novo </w:t>
      </w:r>
      <w:r w:rsidDel="00000000" w:rsidR="00000000" w:rsidRPr="00000000">
        <w:rPr>
          <w:rFonts w:ascii="Calibri" w:cs="Calibri" w:eastAsia="Calibri" w:hAnsi="Calibri"/>
          <w:sz w:val="22"/>
          <w:szCs w:val="22"/>
          <w:rtl w:val="0"/>
        </w:rPr>
        <w:t xml:space="preserve">or inherited, and if inherited--unknown phenotype of transmitting parent.</w:t>
      </w:r>
    </w:p>
    <w:p w:rsidR="00000000" w:rsidDel="00000000" w:rsidP="00000000" w:rsidRDefault="00000000" w:rsidRPr="00000000" w14:paraId="0000005A">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Does CNV shows statistically significant enrichment in cases vs. controls?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Resources: PubMed, DECIPHER, ISCA/ClinGen/ClinVar, HGMD, SFARI,</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PubMed-case-control studies such as Cooper et al., Kaminsky et al. &amp; others.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F">
      <w:pPr>
        <w:numPr>
          <w:ilvl w:val="0"/>
          <w:numId w:val="4"/>
        </w:numPr>
        <w:ind w:left="720" w:hanging="360"/>
        <w:rPr>
          <w:rFonts w:ascii="Century Gothic" w:cs="Century Gothic" w:eastAsia="Century Gothic" w:hAnsi="Century Gothic"/>
          <w:b w:val="1"/>
          <w:i w:val="1"/>
        </w:rPr>
      </w:pPr>
      <w:r w:rsidDel="00000000" w:rsidR="00000000" w:rsidRPr="00000000">
        <w:rPr>
          <w:rFonts w:ascii="Calibri" w:cs="Calibri" w:eastAsia="Calibri" w:hAnsi="Calibri"/>
          <w:b w:val="1"/>
          <w:i w:val="1"/>
          <w:rtl w:val="0"/>
        </w:rPr>
        <w:t xml:space="preserve">Does the phenotype of the patient being studied match the phenotypes described in the literature </w:t>
      </w:r>
      <w:r w:rsidDel="00000000" w:rsidR="00000000" w:rsidRPr="00000000">
        <w:rPr>
          <w:rFonts w:ascii="Calibri" w:cs="Calibri" w:eastAsia="Calibri" w:hAnsi="Calibri"/>
          <w:i w:val="1"/>
          <w:rtl w:val="0"/>
        </w:rPr>
        <w:t xml:space="preserve">(&amp; databases)</w:t>
      </w:r>
      <w:r w:rsidDel="00000000" w:rsidR="00000000" w:rsidRPr="00000000">
        <w:rPr>
          <w:rFonts w:ascii="Calibri" w:cs="Calibri" w:eastAsia="Calibri" w:hAnsi="Calibri"/>
          <w:b w:val="1"/>
          <w:i w:val="1"/>
          <w:rtl w:val="0"/>
        </w:rPr>
        <w:t xml:space="preserve">?</w:t>
      </w:r>
    </w:p>
    <w:p w:rsidR="00000000" w:rsidDel="00000000" w:rsidP="00000000" w:rsidRDefault="00000000" w:rsidRPr="00000000" w14:paraId="00000060">
      <w:pPr>
        <w:ind w:left="720" w:firstLine="0"/>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061">
      <w:pPr>
        <w:numPr>
          <w:ilvl w:val="0"/>
          <w:numId w:val="4"/>
        </w:numPr>
        <w:ind w:left="720" w:hanging="360"/>
        <w:rPr>
          <w:rFonts w:ascii="Calibri" w:cs="Calibri" w:eastAsia="Calibri" w:hAnsi="Calibri"/>
          <w:b w:val="1"/>
          <w:i w:val="1"/>
        </w:rPr>
      </w:pPr>
      <w:r w:rsidDel="00000000" w:rsidR="00000000" w:rsidRPr="00000000">
        <w:rPr>
          <w:rFonts w:ascii="Calibri" w:cs="Calibri" w:eastAsia="Calibri" w:hAnsi="Calibri"/>
          <w:b w:val="1"/>
          <w:i w:val="1"/>
          <w:rtl w:val="0"/>
        </w:rPr>
        <w:t xml:space="preserve">Parental/familial studies </w:t>
      </w:r>
    </w:p>
    <w:p w:rsidR="00000000" w:rsidDel="00000000" w:rsidP="00000000" w:rsidRDefault="00000000" w:rsidRPr="00000000" w14:paraId="00000062">
      <w:pPr>
        <w:ind w:left="720" w:firstLine="0"/>
        <w:rPr>
          <w:rFonts w:ascii="Calibri" w:cs="Calibri" w:eastAsia="Calibri" w:hAnsi="Calibri"/>
          <w:sz w:val="22"/>
          <w:szCs w:val="22"/>
        </w:rPr>
      </w:pPr>
      <w:r w:rsidDel="00000000" w:rsidR="00000000" w:rsidRPr="00000000">
        <w:rPr>
          <w:rFonts w:ascii="Calibri" w:cs="Calibri" w:eastAsia="Calibri" w:hAnsi="Calibri"/>
          <w:i w:val="1"/>
          <w:sz w:val="22"/>
          <w:szCs w:val="22"/>
          <w:rtl w:val="0"/>
        </w:rPr>
        <w:t xml:space="preserve">De novo </w:t>
      </w:r>
      <w:r w:rsidDel="00000000" w:rsidR="00000000" w:rsidRPr="00000000">
        <w:rPr>
          <w:rFonts w:ascii="Calibri" w:cs="Calibri" w:eastAsia="Calibri" w:hAnsi="Calibri"/>
          <w:sz w:val="22"/>
          <w:szCs w:val="22"/>
          <w:rtl w:val="0"/>
        </w:rPr>
        <w:t xml:space="preserve">or inherited?  If inherited, phenotype of transmitting parent?</w:t>
      </w:r>
    </w:p>
    <w:p w:rsidR="00000000" w:rsidDel="00000000" w:rsidP="00000000" w:rsidRDefault="00000000" w:rsidRPr="00000000" w14:paraId="00000063">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multiple clinically affected family members, is copy number change segregating with affected individuals and NOT seen in nonaffected individuals?</w:t>
      </w:r>
    </w:p>
    <w:p w:rsidR="00000000" w:rsidDel="00000000" w:rsidP="00000000" w:rsidRDefault="00000000" w:rsidRPr="00000000" w14:paraId="00000064">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 possibility of variable expressivity and incomplete penetrance.</w:t>
      </w:r>
    </w:p>
    <w:p w:rsidR="00000000" w:rsidDel="00000000" w:rsidP="00000000" w:rsidRDefault="00000000" w:rsidRPr="00000000" w14:paraId="00000065">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 CNV X-linked?  If disorder gene involved, is it XLR or XLD?  Is patient male or female?  </w:t>
      </w:r>
    </w:p>
    <w:p w:rsidR="00000000" w:rsidDel="00000000" w:rsidP="00000000" w:rsidRDefault="00000000" w:rsidRPr="00000000" w14:paraId="00000066">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What is the consequence of skewed X-inactivation in a female with the CNV?</w:t>
      </w:r>
    </w:p>
    <w:p w:rsidR="00000000" w:rsidDel="00000000" w:rsidP="00000000" w:rsidRDefault="00000000" w:rsidRPr="00000000" w14:paraId="00000067">
      <w:pP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68">
      <w:pPr>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69">
      <w:pPr>
        <w:ind w:firstLine="720"/>
        <w:rPr>
          <w:rFonts w:ascii="Calibri" w:cs="Calibri" w:eastAsia="Calibri" w:hAnsi="Calibri"/>
          <w:b w:val="1"/>
        </w:rPr>
      </w:pPr>
      <w:r w:rsidDel="00000000" w:rsidR="00000000" w:rsidRPr="00000000">
        <w:rPr>
          <w:rFonts w:ascii="Calibri" w:cs="Calibri" w:eastAsia="Calibri" w:hAnsi="Calibri"/>
          <w:b w:val="1"/>
          <w:rtl w:val="0"/>
        </w:rPr>
        <w:t xml:space="preserve">All information gathered above can be weighed/scored using: </w:t>
      </w:r>
    </w:p>
    <w:p w:rsidR="00000000" w:rsidDel="00000000" w:rsidP="00000000" w:rsidRDefault="00000000" w:rsidRPr="00000000" w14:paraId="0000006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i w:val="0"/>
          <w:smallCaps w:val="0"/>
          <w:strike w:val="0"/>
          <w:color w:val="00b0f0"/>
          <w:sz w:val="22"/>
          <w:szCs w:val="22"/>
          <w:shd w:fill="auto" w:val="clear"/>
          <w:vertAlign w:val="baseline"/>
        </w:rPr>
      </w:pPr>
      <w:r w:rsidDel="00000000" w:rsidR="00000000" w:rsidRPr="00000000">
        <w:rPr>
          <w:rFonts w:ascii="Calibri" w:cs="Calibri" w:eastAsia="Calibri" w:hAnsi="Calibri"/>
          <w:i w:val="0"/>
          <w:smallCaps w:val="0"/>
          <w:strike w:val="0"/>
          <w:color w:val="00b0f0"/>
          <w:sz w:val="22"/>
          <w:szCs w:val="22"/>
          <w:u w:val="none"/>
          <w:shd w:fill="auto" w:val="clear"/>
          <w:vertAlign w:val="baseline"/>
          <w:rtl w:val="0"/>
        </w:rPr>
        <w:t xml:space="preserve">Riggs ER, et al. Technical standards for the interpretation and reporting of constitutional copy-number variants: a joint consensus recommendation of the American College of Medical Genetics and Genomics (ACMG) and the Clinical Genome Resource (ClinGen). Genet Med. 2020 Feb;22(2):245-257 PMID: 31690835</w:t>
      </w:r>
    </w:p>
    <w:p w:rsidR="00000000" w:rsidDel="00000000" w:rsidP="00000000" w:rsidRDefault="00000000" w:rsidRPr="00000000" w14:paraId="0000006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ClinGen Pathogenicity Calculator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i w:val="0"/>
          <w:smallCaps w:val="0"/>
          <w:strike w:val="0"/>
          <w:color w:val="5a597b"/>
          <w:sz w:val="22"/>
          <w:szCs w:val="22"/>
          <w:u w:val="none"/>
          <w:shd w:fill="auto" w:val="clear"/>
          <w:vertAlign w:val="baseline"/>
        </w:rPr>
      </w:pPr>
      <w:hyperlink r:id="rId19">
        <w:r w:rsidDel="00000000" w:rsidR="00000000" w:rsidRPr="00000000">
          <w:rPr>
            <w:rFonts w:ascii="Calibri" w:cs="Calibri" w:eastAsia="Calibri" w:hAnsi="Calibri"/>
            <w:i w:val="0"/>
            <w:smallCaps w:val="0"/>
            <w:strike w:val="0"/>
            <w:color w:val="00b0f0"/>
            <w:sz w:val="22"/>
            <w:szCs w:val="22"/>
            <w:u w:val="none"/>
            <w:shd w:fill="auto" w:val="clear"/>
            <w:vertAlign w:val="baseline"/>
            <w:rtl w:val="0"/>
          </w:rPr>
          <w:t xml:space="preserve">https://calculator.clinicalgenome.org/site/cg-calculator</w:t>
        </w:r>
      </w:hyperlink>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tl w:val="0"/>
        </w:rPr>
      </w:r>
    </w:p>
    <w:p w:rsidR="00000000" w:rsidDel="00000000" w:rsidP="00000000" w:rsidRDefault="00000000" w:rsidRPr="00000000" w14:paraId="0000006E">
      <w:pPr>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Other Resources:</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575757"/>
          <w:sz w:val="22"/>
          <w:szCs w:val="22"/>
          <w:shd w:fill="auto" w:val="clear"/>
          <w:vertAlign w:val="baseline"/>
        </w:rPr>
      </w:pPr>
      <w:r w:rsidDel="00000000" w:rsidR="00000000" w:rsidRPr="00000000">
        <w:rPr>
          <w:rFonts w:ascii="Calibri" w:cs="Calibri" w:eastAsia="Calibri" w:hAnsi="Calibri"/>
          <w:color w:val="212121"/>
          <w:sz w:val="22"/>
          <w:szCs w:val="22"/>
          <w:highlight w:val="white"/>
          <w:rtl w:val="0"/>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doi: 10.1038/gim.2015.30. Epub 2015 Mar 5. PMID: 25741868; PMCID: PMC4544753.</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575757"/>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Riggs et al. (2012) Towards an evidence-based process for the clinical interpretation of copy-number variation. </w:t>
      </w:r>
      <w:r w:rsidDel="00000000" w:rsidR="00000000" w:rsidRPr="00000000">
        <w:rPr>
          <w:rFonts w:ascii="Calibri" w:cs="Calibri" w:eastAsia="Calibri" w:hAnsi="Calibri"/>
          <w:i w:val="0"/>
          <w:smallCaps w:val="0"/>
          <w:strike w:val="0"/>
          <w:color w:val="575757"/>
          <w:sz w:val="22"/>
          <w:szCs w:val="22"/>
          <w:u w:val="none"/>
          <w:shd w:fill="auto" w:val="clear"/>
          <w:vertAlign w:val="baseline"/>
          <w:rtl w:val="0"/>
        </w:rPr>
        <w:t xml:space="preserve">PMID: 22097934</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575757"/>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Kearney et al. (2011) ACMG standards and guidelines for interpretation and reporting of postnatal constitutional copy number variants. </w:t>
      </w:r>
      <w:r w:rsidDel="00000000" w:rsidR="00000000" w:rsidRPr="00000000">
        <w:rPr>
          <w:rFonts w:ascii="Calibri" w:cs="Calibri" w:eastAsia="Calibri" w:hAnsi="Calibri"/>
          <w:i w:val="0"/>
          <w:smallCaps w:val="0"/>
          <w:strike w:val="0"/>
          <w:color w:val="575757"/>
          <w:sz w:val="22"/>
          <w:szCs w:val="22"/>
          <w:u w:val="none"/>
          <w:shd w:fill="auto" w:val="clear"/>
          <w:vertAlign w:val="baseline"/>
          <w:rtl w:val="0"/>
        </w:rPr>
        <w:t xml:space="preserve">PMID: 21681106</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entury Gothic" w:cs="Century Gothic" w:eastAsia="Century Gothic" w:hAnsi="Century Gothic"/>
          <w:color w:val="575757"/>
          <w:sz w:val="22"/>
          <w:szCs w:val="22"/>
        </w:rPr>
      </w:pPr>
      <w:r w:rsidDel="00000000" w:rsidR="00000000" w:rsidRPr="00000000">
        <w:rPr>
          <w:rtl w:val="0"/>
        </w:rPr>
      </w:r>
    </w:p>
    <w:p w:rsidR="00000000" w:rsidDel="00000000" w:rsidP="00000000" w:rsidRDefault="00000000" w:rsidRPr="00000000" w14:paraId="0000007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00" w:before="0" w:line="264" w:lineRule="auto"/>
        <w:rPr>
          <w:rFonts w:ascii="Century Gothic" w:cs="Century Gothic" w:eastAsia="Century Gothic" w:hAnsi="Century Gothic"/>
          <w:color w:val="1d4972"/>
          <w:highlight w:val="white"/>
        </w:rPr>
      </w:pPr>
      <w:bookmarkStart w:colFirst="0" w:colLast="0" w:name="_heading=h.id2vy04s4lbm" w:id="0"/>
      <w:bookmarkEnd w:id="0"/>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00" w:before="0" w:line="240" w:lineRule="auto"/>
        <w:rPr>
          <w:rFonts w:ascii="Calibri" w:cs="Calibri" w:eastAsia="Calibri" w:hAnsi="Calibri"/>
          <w:color w:val="575757"/>
          <w:sz w:val="28"/>
          <w:szCs w:val="28"/>
        </w:rPr>
      </w:pPr>
      <w:bookmarkStart w:colFirst="0" w:colLast="0" w:name="_heading=h.1o96bs8zbr34" w:id="1"/>
      <w:bookmarkEnd w:id="1"/>
      <w:r w:rsidDel="00000000" w:rsidR="00000000" w:rsidRPr="00000000">
        <w:rPr>
          <w:rFonts w:ascii="Calibri" w:cs="Calibri" w:eastAsia="Calibri" w:hAnsi="Calibri"/>
          <w:color w:val="1d4972"/>
          <w:sz w:val="28"/>
          <w:szCs w:val="28"/>
          <w:highlight w:val="white"/>
          <w:rtl w:val="0"/>
        </w:rPr>
        <w:t xml:space="preserve">Epilepsy Genetics Teaching resources</w:t>
      </w: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20" w:before="240" w:line="240" w:lineRule="auto"/>
        <w:rPr>
          <w:rFonts w:ascii="Calibri" w:cs="Calibri" w:eastAsia="Calibri" w:hAnsi="Calibri"/>
          <w:color w:val="575757"/>
        </w:rPr>
      </w:pPr>
      <w:r w:rsidDel="00000000" w:rsidR="00000000" w:rsidRPr="00000000">
        <w:rPr>
          <w:rFonts w:ascii="Calibri" w:cs="Calibri" w:eastAsia="Calibri" w:hAnsi="Calibri"/>
          <w:b w:val="1"/>
          <w:color w:val="575757"/>
          <w:rtl w:val="0"/>
        </w:rPr>
        <w:t xml:space="preserve">Genetic literacy series</w:t>
        <w:br w:type="textWrapping"/>
      </w:r>
      <w:r w:rsidDel="00000000" w:rsidR="00000000" w:rsidRPr="00000000">
        <w:rPr>
          <w:rFonts w:ascii="Calibri" w:cs="Calibri" w:eastAsia="Calibri" w:hAnsi="Calibri"/>
          <w:color w:val="575757"/>
          <w:rtl w:val="0"/>
        </w:rPr>
        <w:t xml:space="preserve">Both primers of the Genetic Literacy Series may serve as good introductions to the general field of epilepsy genetics and how this is impacted by the new technologies such as exome sequencing.</w:t>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spacing w:after="0" w:afterAutospacing="0" w:before="240" w:line="240" w:lineRule="auto"/>
        <w:ind w:left="1440" w:hanging="360"/>
        <w:rPr>
          <w:rFonts w:ascii="Calibri" w:cs="Calibri" w:eastAsia="Calibri" w:hAnsi="Calibri"/>
          <w:color w:val="575757"/>
        </w:rPr>
      </w:pPr>
      <w:r w:rsidDel="00000000" w:rsidR="00000000" w:rsidRPr="00000000">
        <w:rPr>
          <w:rFonts w:ascii="Calibri" w:cs="Calibri" w:eastAsia="Calibri" w:hAnsi="Calibri"/>
          <w:color w:val="575757"/>
          <w:rtl w:val="0"/>
        </w:rPr>
        <w:t xml:space="preserve">ILAE Genetic Literacy Series Primer Part 1: The building blocks of epilepsy genetics (</w:t>
      </w:r>
      <w:hyperlink r:id="rId20">
        <w:r w:rsidDel="00000000" w:rsidR="00000000" w:rsidRPr="00000000">
          <w:rPr>
            <w:rFonts w:ascii="Calibri" w:cs="Calibri" w:eastAsia="Calibri" w:hAnsi="Calibri"/>
            <w:color w:val="1d4972"/>
            <w:rtl w:val="0"/>
          </w:rPr>
          <w:t xml:space="preserve">ILAE_Primer_Part1</w:t>
        </w:r>
      </w:hyperlink>
      <w:r w:rsidDel="00000000" w:rsidR="00000000" w:rsidRPr="00000000">
        <w:rPr>
          <w:rFonts w:ascii="Calibri" w:cs="Calibri" w:eastAsia="Calibri" w:hAnsi="Calibri"/>
          <w:color w:val="575757"/>
          <w:rtl w:val="0"/>
        </w:rPr>
        <w:t xml:space="preserve">)</w:t>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spacing w:after="360" w:before="0" w:beforeAutospacing="0" w:line="240" w:lineRule="auto"/>
        <w:ind w:left="1440" w:hanging="360"/>
        <w:rPr>
          <w:rFonts w:ascii="Calibri" w:cs="Calibri" w:eastAsia="Calibri" w:hAnsi="Calibri"/>
          <w:color w:val="575757"/>
        </w:rPr>
      </w:pPr>
      <w:r w:rsidDel="00000000" w:rsidR="00000000" w:rsidRPr="00000000">
        <w:rPr>
          <w:rFonts w:ascii="Calibri" w:cs="Calibri" w:eastAsia="Calibri" w:hAnsi="Calibri"/>
          <w:color w:val="575757"/>
          <w:rtl w:val="0"/>
        </w:rPr>
        <w:t xml:space="preserve">ILAE Genetic Literacy Series Primer Part 2: Paradigm shifts in epilepsy genetics (</w:t>
      </w:r>
      <w:hyperlink r:id="rId21">
        <w:r w:rsidDel="00000000" w:rsidR="00000000" w:rsidRPr="00000000">
          <w:rPr>
            <w:rFonts w:ascii="Calibri" w:cs="Calibri" w:eastAsia="Calibri" w:hAnsi="Calibri"/>
            <w:color w:val="1d4972"/>
            <w:rtl w:val="0"/>
          </w:rPr>
          <w:t xml:space="preserve">ILAE_Primer_Part2</w:t>
        </w:r>
      </w:hyperlink>
      <w:r w:rsidDel="00000000" w:rsidR="00000000" w:rsidRPr="00000000">
        <w:rPr>
          <w:rFonts w:ascii="Calibri" w:cs="Calibri" w:eastAsia="Calibri" w:hAnsi="Calibri"/>
          <w:color w:val="575757"/>
          <w:rtl w:val="0"/>
        </w:rPr>
        <w:t xml:space="preserv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320" w:before="240" w:line="240" w:lineRule="auto"/>
        <w:rPr>
          <w:rFonts w:ascii="Calibri" w:cs="Calibri" w:eastAsia="Calibri" w:hAnsi="Calibri"/>
          <w:color w:val="575757"/>
        </w:rPr>
      </w:pPr>
      <w:r w:rsidDel="00000000" w:rsidR="00000000" w:rsidRPr="00000000">
        <w:rPr>
          <w:rFonts w:ascii="Calibri" w:cs="Calibri" w:eastAsia="Calibri" w:hAnsi="Calibri"/>
          <w:b w:val="1"/>
          <w:color w:val="575757"/>
          <w:rtl w:val="0"/>
        </w:rPr>
        <w:t xml:space="preserve">Epilepsydiagnosis.org</w:t>
        <w:br w:type="textWrapping"/>
      </w:r>
      <w:r w:rsidDel="00000000" w:rsidR="00000000" w:rsidRPr="00000000">
        <w:rPr>
          <w:rFonts w:ascii="Calibri" w:cs="Calibri" w:eastAsia="Calibri" w:hAnsi="Calibri"/>
          <w:color w:val="575757"/>
          <w:rtl w:val="0"/>
        </w:rPr>
        <w:t xml:space="preserve">Epilepsydiagnosis.org is an online diagnostic manual of the epilepsies (</w:t>
      </w:r>
      <w:hyperlink r:id="rId22">
        <w:r w:rsidDel="00000000" w:rsidR="00000000" w:rsidRPr="00000000">
          <w:rPr>
            <w:rFonts w:ascii="Calibri" w:cs="Calibri" w:eastAsia="Calibri" w:hAnsi="Calibri"/>
            <w:color w:val="1d4972"/>
            <w:rtl w:val="0"/>
          </w:rPr>
          <w:t xml:space="preserve">link</w:t>
        </w:r>
      </w:hyperlink>
      <w:r w:rsidDel="00000000" w:rsidR="00000000" w:rsidRPr="00000000">
        <w:rPr>
          <w:rFonts w:ascii="Calibri" w:cs="Calibri" w:eastAsia="Calibri" w:hAnsi="Calibri"/>
          <w:color w:val="575757"/>
          <w:rtl w:val="0"/>
        </w:rPr>
        <w:t xml:space="preserv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20" w:before="240" w:line="240" w:lineRule="auto"/>
        <w:rPr>
          <w:rFonts w:ascii="Calibri" w:cs="Calibri" w:eastAsia="Calibri" w:hAnsi="Calibri"/>
          <w:color w:val="575757"/>
        </w:rPr>
      </w:pPr>
      <w:r w:rsidDel="00000000" w:rsidR="00000000" w:rsidRPr="00000000">
        <w:rPr>
          <w:rFonts w:ascii="Calibri" w:cs="Calibri" w:eastAsia="Calibri" w:hAnsi="Calibri"/>
          <w:b w:val="1"/>
          <w:color w:val="575757"/>
          <w:rtl w:val="0"/>
        </w:rPr>
        <w:t xml:space="preserve">AES Skills workshop 2018 (New Orleans)</w:t>
        <w:br w:type="textWrapping"/>
      </w:r>
      <w:r w:rsidDel="00000000" w:rsidR="00000000" w:rsidRPr="00000000">
        <w:rPr>
          <w:rFonts w:ascii="Calibri" w:cs="Calibri" w:eastAsia="Calibri" w:hAnsi="Calibri"/>
          <w:color w:val="575757"/>
          <w:rtl w:val="0"/>
        </w:rPr>
        <w:t xml:space="preserve">AES 2018</w:t>
      </w:r>
      <w:r w:rsidDel="00000000" w:rsidR="00000000" w:rsidRPr="00000000">
        <w:rPr>
          <w:rFonts w:ascii="Calibri" w:cs="Calibri" w:eastAsia="Calibri" w:hAnsi="Calibri"/>
          <w:color w:val="575757"/>
          <w:rtl w:val="0"/>
        </w:rPr>
        <w:t xml:space="preserve"> Skills Workshop (</w:t>
      </w:r>
      <w:hyperlink r:id="rId23">
        <w:r w:rsidDel="00000000" w:rsidR="00000000" w:rsidRPr="00000000">
          <w:rPr>
            <w:rFonts w:ascii="Calibri" w:cs="Calibri" w:eastAsia="Calibri" w:hAnsi="Calibri"/>
            <w:color w:val="1d4972"/>
            <w:rtl w:val="0"/>
          </w:rPr>
          <w:t xml:space="preserve">AES2018</w:t>
        </w:r>
      </w:hyperlink>
      <w:r w:rsidDel="00000000" w:rsidR="00000000" w:rsidRPr="00000000">
        <w:rPr>
          <w:rFonts w:ascii="Calibri" w:cs="Calibri" w:eastAsia="Calibri" w:hAnsi="Calibri"/>
          <w:color w:val="575757"/>
          <w:rtl w:val="0"/>
        </w:rPr>
        <w:t xml:space="preserve">).  The link to the video of the patient with </w:t>
      </w:r>
      <w:hyperlink r:id="rId24">
        <w:r w:rsidDel="00000000" w:rsidR="00000000" w:rsidRPr="00000000">
          <w:rPr>
            <w:rFonts w:ascii="Calibri" w:cs="Calibri" w:eastAsia="Calibri" w:hAnsi="Calibri"/>
            <w:i w:val="1"/>
            <w:color w:val="1d4972"/>
            <w:rtl w:val="0"/>
          </w:rPr>
          <w:t xml:space="preserve">KCNQ2</w:t>
        </w:r>
      </w:hyperlink>
      <w:r w:rsidDel="00000000" w:rsidR="00000000" w:rsidRPr="00000000">
        <w:rPr>
          <w:rFonts w:ascii="Calibri" w:cs="Calibri" w:eastAsia="Calibri" w:hAnsi="Calibri"/>
          <w:color w:val="575757"/>
          <w:rtl w:val="0"/>
        </w:rPr>
        <w:t xml:space="preserve"> encephalopathy can be found in the publication by Serino and collaborators that is freely available online (</w:t>
      </w:r>
      <w:hyperlink r:id="rId25">
        <w:r w:rsidDel="00000000" w:rsidR="00000000" w:rsidRPr="00000000">
          <w:rPr>
            <w:rFonts w:ascii="Calibri" w:cs="Calibri" w:eastAsia="Calibri" w:hAnsi="Calibri"/>
            <w:color w:val="1d4972"/>
            <w:rtl w:val="0"/>
          </w:rPr>
          <w:t xml:space="preserve">link</w:t>
        </w:r>
      </w:hyperlink>
      <w:r w:rsidDel="00000000" w:rsidR="00000000" w:rsidRPr="00000000">
        <w:rPr>
          <w:rFonts w:ascii="Calibri" w:cs="Calibri" w:eastAsia="Calibri" w:hAnsi="Calibri"/>
          <w:color w:val="575757"/>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entury Gothic" w:cs="Century Gothic" w:eastAsia="Century Gothic" w:hAnsi="Century Gothic"/>
          <w:color w:val="575757"/>
          <w:sz w:val="22"/>
          <w:szCs w:val="22"/>
        </w:rPr>
      </w:pPr>
      <w:r w:rsidDel="00000000" w:rsidR="00000000" w:rsidRPr="00000000">
        <w:rPr>
          <w:rtl w:val="0"/>
        </w:rPr>
      </w:r>
    </w:p>
    <w:p w:rsidR="00000000" w:rsidDel="00000000" w:rsidP="00000000" w:rsidRDefault="00000000" w:rsidRPr="00000000" w14:paraId="0000008D">
      <w:pPr>
        <w:ind w:firstLine="72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E">
      <w:pPr>
        <w:rPr>
          <w:rFonts w:ascii="Century Gothic" w:cs="Century Gothic" w:eastAsia="Century Gothic" w:hAnsi="Century Gothic"/>
          <w:sz w:val="16"/>
          <w:szCs w:val="16"/>
        </w:rPr>
      </w:pPr>
      <w:r w:rsidDel="00000000" w:rsidR="00000000" w:rsidRPr="00000000">
        <w:rPr>
          <w:rtl w:val="0"/>
        </w:rPr>
      </w:r>
    </w:p>
    <w:sectPr>
      <w:pgSz w:h="15840" w:w="12240" w:orient="portrait"/>
      <w:pgMar w:bottom="864" w:top="1008"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77AB4"/>
    <w:pPr>
      <w:spacing w:after="0" w:line="240" w:lineRule="auto"/>
    </w:pPr>
    <w:rPr>
      <w:rFonts w:ascii="Cambria" w:cs="Times New Roman" w:eastAsia="Cambria" w:hAnsi="Cambria"/>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C77AB4"/>
    <w:rPr>
      <w:strike w:val="0"/>
      <w:dstrike w:val="0"/>
      <w:color w:val="5a597b"/>
      <w:sz w:val="24"/>
      <w:szCs w:val="24"/>
      <w:u w:val="none"/>
      <w:effect w:val="none"/>
    </w:rPr>
  </w:style>
  <w:style w:type="paragraph" w:styleId="ColorfulList-Accent11" w:customStyle="1">
    <w:name w:val="Colorful List - Accent 11"/>
    <w:basedOn w:val="Normal"/>
    <w:uiPriority w:val="34"/>
    <w:qFormat w:val="1"/>
    <w:rsid w:val="00C77AB4"/>
    <w:pPr>
      <w:ind w:left="720"/>
      <w:contextualSpacing w:val="1"/>
    </w:pPr>
  </w:style>
  <w:style w:type="paragraph" w:styleId="ListParagraph">
    <w:name w:val="List Paragraph"/>
    <w:basedOn w:val="Normal"/>
    <w:uiPriority w:val="34"/>
    <w:qFormat w:val="1"/>
    <w:rsid w:val="000E2E2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epilepsygenetics.net/wp-content/uploads/2018/12/ILAE_Primer_Part1.pdf" TargetMode="External"/><Relationship Id="rId22" Type="http://schemas.openxmlformats.org/officeDocument/2006/relationships/hyperlink" Target="https://www.epilepsydiagnosis.org/" TargetMode="External"/><Relationship Id="rId21" Type="http://schemas.openxmlformats.org/officeDocument/2006/relationships/hyperlink" Target="http://epilepsygenetics.net/wp-content/uploads/2018/12/ILAE_Primer_Part2.pdf" TargetMode="External"/><Relationship Id="rId24" Type="http://schemas.openxmlformats.org/officeDocument/2006/relationships/hyperlink" Target="http://epilepsygenetics.net/the-epilepsiome/kcnq2-this-is-what-you-need-to-know/" TargetMode="External"/><Relationship Id="rId23" Type="http://schemas.openxmlformats.org/officeDocument/2006/relationships/hyperlink" Target="http://epilepsygenetics.net/wp-content/uploads/2018/12/AES2018_teaching_wo_videos.ppt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ecipher.sanger.ac.uk/" TargetMode="External"/><Relationship Id="rId25" Type="http://schemas.openxmlformats.org/officeDocument/2006/relationships/hyperlink" Target="https://www.jle.com/en/revues/epd/e-docs/video_eeg_findings_in_a_kcnq2_epileptic_encephalopathy_a_case_report_and_revision_of_literature_data_297122/article.phtml?tab=videos&amp;cle_video_une=29756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mim.org/" TargetMode="External"/><Relationship Id="rId8" Type="http://schemas.openxmlformats.org/officeDocument/2006/relationships/hyperlink" Target="https://www.ncbi.nlm.nih.gov/pubmed/" TargetMode="External"/><Relationship Id="rId11" Type="http://schemas.openxmlformats.org/officeDocument/2006/relationships/hyperlink" Target="http://genome.ucsc.edu/" TargetMode="External"/><Relationship Id="rId10" Type="http://schemas.openxmlformats.org/officeDocument/2006/relationships/hyperlink" Target="https://franklin.genoox.com/clinical-db/home" TargetMode="External"/><Relationship Id="rId13" Type="http://schemas.openxmlformats.org/officeDocument/2006/relationships/hyperlink" Target="http://cnvcalc.clinicalgenome.org/cnvcalc/" TargetMode="External"/><Relationship Id="rId12" Type="http://schemas.openxmlformats.org/officeDocument/2006/relationships/hyperlink" Target="https://www.clinicalgenome.org/" TargetMode="External"/><Relationship Id="rId15" Type="http://schemas.openxmlformats.org/officeDocument/2006/relationships/hyperlink" Target="http://www.genecards.org/" TargetMode="External"/><Relationship Id="rId14" Type="http://schemas.openxmlformats.org/officeDocument/2006/relationships/hyperlink" Target="http://dgv.tcag.ca/dgv/app/home" TargetMode="External"/><Relationship Id="rId17" Type="http://schemas.openxmlformats.org/officeDocument/2006/relationships/hyperlink" Target="https://gene.sfari.org/" TargetMode="External"/><Relationship Id="rId16" Type="http://schemas.openxmlformats.org/officeDocument/2006/relationships/hyperlink" Target="http://www.hgmd.cf.ac.uk/" TargetMode="External"/><Relationship Id="rId19" Type="http://schemas.openxmlformats.org/officeDocument/2006/relationships/hyperlink" Target="https://calculator.clinicalgenome.org/site/cg-calculator" TargetMode="External"/><Relationship Id="rId18" Type="http://schemas.openxmlformats.org/officeDocument/2006/relationships/hyperlink" Target="https://gnomad.broadinstitut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ZyXGDRR/90ynioe430KKspdfcA==">CgMxLjAyDmguaWQydnkwNHM0bGJtMg5oLjFvOTZiczh6YnIzNDgAciExb2lfMGt0ZS1FTGJlckVhenVuZWpqRkdIQk1tdXFpMWE=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2022-01-26T20:52:00Z</dcterms:created>
  <dc:creator>Deborrah Hennerich</dc:creator>
</cp:coreProperties>
</file>