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40"/>
          <w:szCs w:val="40"/>
        </w:rPr>
        <w:t xml:space="preserve">Brain Development and Malformations</w:t>
      </w:r>
    </w:p>
    <w:p>
      <w:pPr>
        <w:spacing w:after="40" w:before="0"/>
      </w:pPr>
      <w:r>
        <w:rPr>
          <w:rFonts w:ascii="Arial" w:cs="Arial" w:eastAsia="Arial" w:hAnsi="Arial"/>
          <w:i/>
          <w:iCs/>
          <w:color w:val="666666"/>
          <w:sz w:val="20"/>
          <w:szCs w:val="20"/>
        </w:rPr>
        <w:t xml:space="preserve">Child Neurology Residency Manual  |  Neurogenetics Section  |  PGY-3/4 Reference</w:t>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1. Neuroembryology and Developmental Timing</w:t>
      </w:r>
    </w:p>
    <w:p>
      <w:pPr>
        <w:spacing w:after="60" w:before="60"/>
      </w:pPr>
      <w:r>
        <w:rPr>
          <w:rFonts w:ascii="Arial" w:cs="Arial" w:eastAsia="Arial" w:hAnsi="Arial"/>
          <w:sz w:val="18"/>
          <w:szCs w:val="18"/>
        </w:rPr>
        <w:t xml:space="preserve">Understanding when in development a process occurs is the conceptual foundation for why malformations look the way they do. The brain builds itself in a strictly ordered sequence — each stage depends on the fidelity of the stage before it. Disruption at a given developmental window produces a characteristic pattern of malformation that is largely predictable from timing alone.</w:t>
      </w:r>
    </w:p>
    <w:p>
      <w:r>
        <w:rPr>
          <w:sz w:val="10"/>
          <w:szCs w:val="10"/>
        </w:rPr>
        <w:t xml:space="preserve"/>
      </w:r>
    </w:p>
    <w:p>
      <w:pPr>
        <w:spacing w:after="60" w:before="60"/>
      </w:pPr>
      <w:r>
        <w:rPr>
          <w:rFonts w:ascii="Arial" w:cs="Arial" w:eastAsia="Arial" w:hAnsi="Arial"/>
          <w:sz w:val="18"/>
          <w:szCs w:val="18"/>
        </w:rPr>
        <w:t xml:space="preserve">Two principles follow from this: (1) </w:t>
      </w:r>
      <w:r>
        <w:rPr>
          <w:rFonts w:ascii="Arial" w:cs="Arial" w:eastAsia="Arial" w:hAnsi="Arial"/>
          <w:b/>
          <w:bCs/>
          <w:sz w:val="18"/>
          <w:szCs w:val="18"/>
        </w:rPr>
        <w:t xml:space="preserve">earlier disruption produces more severe and widespread malformation</w:t>
      </w:r>
      <w:r>
        <w:rPr>
          <w:rFonts w:ascii="Arial" w:cs="Arial" w:eastAsia="Arial" w:hAnsi="Arial"/>
          <w:sz w:val="18"/>
          <w:szCs w:val="18"/>
        </w:rPr>
        <w:t xml:space="preserve">; (2) </w:t>
      </w:r>
      <w:r>
        <w:rPr>
          <w:rFonts w:ascii="Arial" w:cs="Arial" w:eastAsia="Arial" w:hAnsi="Arial"/>
          <w:b/>
          <w:bCs/>
          <w:sz w:val="18"/>
          <w:szCs w:val="18"/>
        </w:rPr>
        <w:t xml:space="preserve">the imaging pattern of a malformation reflects its developmental stage of origin</w:t>
      </w:r>
      <w:r>
        <w:rPr>
          <w:rFonts w:ascii="Arial" w:cs="Arial" w:eastAsia="Arial" w:hAnsi="Arial"/>
          <w:sz w:val="18"/>
          <w:szCs w:val="18"/>
        </w:rPr>
        <w:t xml:space="preserve"> — recognizing where in the sequence things went wrong is both a diagnostic and a mechanistic exercise.</w:t>
      </w:r>
    </w:p>
    <w:p>
      <w:r>
        <w:rPr>
          <w:sz w:val="10"/>
          <w:szCs w:val="10"/>
        </w:rPr>
        <w:t xml:space="preserve"/>
      </w:r>
    </w:p>
    <w:p>
      <w:pPr>
        <w:spacing w:after="60" w:before="100"/>
      </w:pPr>
      <w:r>
        <w:rPr>
          <w:rFonts w:ascii="Arial" w:cs="Arial" w:eastAsia="Arial" w:hAnsi="Arial"/>
          <w:b/>
          <w:bCs/>
          <w:i/>
          <w:iCs/>
          <w:color w:val="2E5FA3"/>
          <w:sz w:val="19"/>
          <w:szCs w:val="19"/>
        </w:rPr>
        <w:t xml:space="preserve">Table 1. Neuroembryological Developmental Timing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GESTATIONAL AGE</w:t>
            </w:r>
          </w:p>
        </w:tc>
        <w:tc>
          <w:tcPr>
            <w:tcW w:type="dxa" w:w="18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DOMINANT PROCESS</w:t>
            </w:r>
          </w:p>
        </w:tc>
        <w:tc>
          <w:tcPr>
            <w:tcW w:type="dxa" w:w="26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KEY CNS EVENTS</w:t>
            </w:r>
          </w:p>
        </w:tc>
        <w:tc>
          <w:tcPr>
            <w:tcW w:type="dxa" w:w="356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EXAMPLE DISORDERS (selected)</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3–4 weeks</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Primary neurulation</w:t>
            </w:r>
          </w:p>
        </w:tc>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Neural tube closure (rostral neuropore d24, caudal neuropore d26–28); neural crest migration; early spinal cord formation</w:t>
            </w:r>
          </w:p>
        </w:tc>
        <w:tc>
          <w:tcPr>
            <w:tcW w:type="dxa" w:w="3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Anencephaly (failure rostral closure); myelomeningocele / spina bifida (failure caudal closure); encephalocele; Chiari II (deformation sequence secondary to MMC)</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4–6 weeks</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Telencephalization / early forebrain induction</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Forebrain cleavage into paired hemispheres; optic and olfactory placode formation; early posterior fossa formation; facial midline development (SHH-driven)</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Holoprosencephaly (failure of forebrain cleavage — alobar→lobar); Dandy-Walker spectrum; craniosynostosis (cranial suture dysregulation); cyclopia/midface anomalies in severe HPE</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6–16 weeks</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Neuronal and glial proliferation</w:t>
            </w:r>
          </w:p>
        </w:tc>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Symmetric divisions in ventricular zone → neurons and glia; asymmetric divisions → postmitotic neuroblasts; programmed apoptosis; early brain volume expansion</w:t>
            </w:r>
          </w:p>
        </w:tc>
        <w:tc>
          <w:tcPr>
            <w:tcW w:type="dxa" w:w="3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Primary microcephaly (MCPH genes: ASPM, CDK5RAP2 — reduced proliferation); megalencephaly (PIK3CA, PTEN, AKT3 mTOR pathway — excessive proliferation); hemimegalencephaly</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12–24 weeks</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Neuronal migration</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Radial migration along Bergmann glia (inside-out lamination); tangential migration of interneurons; corpus callosum formation (genu first, then body, splenium, then rostrum last); gyral pattern formation</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Lissencephaly/pachygyria (LIS1, DCX, TUBA1A); band heterotopia (DCX females); periventricular nodular heterotopia (FLNA); polymicrogyria (many causes); ACC/dysgenesis; schizencephaly</w:t>
            </w:r>
          </w:p>
        </w:tc>
      </w:tr>
      <w:tr>
        <w:tc>
          <w:tcPr>
            <w:tcW w:type="dxa" w:w="14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24 weeks – postnatal</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Cortical organization and synaptogenesis</w:t>
            </w:r>
          </w:p>
        </w:tc>
        <w:tc>
          <w:tcPr>
            <w:tcW w:type="dxa" w:w="2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Late neuronal migration; dendritic arborization; synaptogenesis; axonal pruning; programmed cell death; establishment of columnar organization</w:t>
            </w:r>
          </w:p>
        </w:tc>
        <w:tc>
          <w:tcPr>
            <w:tcW w:type="dxa" w:w="35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Focal cortical dysplasia types I–III (subtle organization failure; MTOR somatic); mild cortical dysplasia; autism-associated cortical dysregulation</w:t>
            </w:r>
          </w:p>
        </w:tc>
      </w:tr>
      <w:tr>
        <w:tc>
          <w:tcPr>
            <w:tcW w:type="dxa" w:w="1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24 weeks – 2 years</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Myelination</w:t>
            </w:r>
          </w:p>
        </w:tc>
        <w:tc>
          <w:tcPr>
            <w:tcW w:type="dxa" w:w="2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Oligodendrocyte maturation; myelin deposition (peripheral → central; posterior → anterior; caudal → rostral); vulnerability to destructive processes peaks in preterm WM</w:t>
            </w:r>
          </w:p>
        </w:tc>
        <w:tc>
          <w:tcPr>
            <w:tcW w:type="dxa" w:w="35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Hypomyelination disorders (PMD/PLP1, HABC); leukodystrophies; periventricular leukomalacia (preterm WM injury); post-injury WM loss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10"/>
              <w:left w:val="single" w:color="2E5FA3" w:sz="10"/>
              <w:bottom w:val="single" w:color="2E5FA3" w:sz="10"/>
              <w:right w:val="single" w:color="2E5FA3" w:sz="10"/>
            </w:tcBorders>
            <w:shd w:fill="EBF3FB" w:val="clear"/>
            <w:tcMar>
              <w:top w:type="dxa" w:w="100"/>
              <w:left w:type="dxa" w:w="160"/>
              <w:bottom w:type="dxa" w:w="100"/>
              <w:right w:type="dxa" w:w="160"/>
            </w:tcMar>
          </w:tcPr>
          <w:p>
            <w:pPr>
              <w:spacing w:after="80" w:before="0"/>
            </w:pPr>
            <w:r>
              <w:rPr>
                <w:rFonts w:ascii="Arial" w:cs="Arial" w:eastAsia="Arial" w:hAnsi="Arial"/>
                <w:b/>
                <w:bCs/>
                <w:color w:val="2E5FA3"/>
                <w:sz w:val="20"/>
                <w:szCs w:val="20"/>
              </w:rPr>
              <w:t xml:space="preserve">Corpus Callosum Development — A Brief Note on Sequence</w:t>
            </w:r>
          </w:p>
          <w:p>
            <w:pPr>
              <w:pStyle w:val="ListParagraph"/>
              <w:numPr>
                <w:ilvl w:val="0"/>
                <w:numId w:val="2"/>
              </w:numPr>
              <w:spacing w:after="30" w:before="30"/>
            </w:pPr>
            <w:r>
              <w:rPr>
                <w:rFonts w:ascii="Arial" w:cs="Arial" w:eastAsia="Arial" w:hAnsi="Arial"/>
                <w:sz w:val="17"/>
                <w:szCs w:val="17"/>
              </w:rPr>
              <w:t xml:space="preserve">The CC forms in a specific order: genu → body → splenium → rostrum. The rostrum is the LAST part to form despite being the most anterior structure.</w:t>
            </w:r>
          </w:p>
          <w:p>
            <w:pPr>
              <w:pStyle w:val="ListParagraph"/>
              <w:numPr>
                <w:ilvl w:val="0"/>
                <w:numId w:val="2"/>
              </w:numPr>
              <w:spacing w:after="30" w:before="30"/>
            </w:pPr>
            <w:r>
              <w:rPr>
                <w:rFonts w:ascii="Arial" w:cs="Arial" w:eastAsia="Arial" w:hAnsi="Arial"/>
                <w:sz w:val="17"/>
                <w:szCs w:val="17"/>
              </w:rPr>
              <w:t xml:space="preserve">This matters clinically: the part of the CC that is absent predicts the timing (and often severity) of the insult.</w:t>
            </w:r>
          </w:p>
          <w:p>
            <w:pPr>
              <w:pStyle w:val="ListParagraph"/>
              <w:numPr>
                <w:ilvl w:val="0"/>
                <w:numId w:val="2"/>
              </w:numPr>
              <w:spacing w:after="30" w:before="30"/>
            </w:pPr>
            <w:r>
              <w:rPr>
                <w:rFonts w:ascii="Arial" w:cs="Arial" w:eastAsia="Arial" w:hAnsi="Arial"/>
                <w:sz w:val="17"/>
                <w:szCs w:val="17"/>
              </w:rPr>
              <w:t xml:space="preserve">If only the genu is present: severe early disruption (≤12–14 weeks). If genu and body are present but splenium and rostrum absent: mid-gestational disruption. Isolated rostrum absence: late, mild disruption.</w:t>
            </w:r>
          </w:p>
          <w:p>
            <w:pPr>
              <w:pStyle w:val="ListParagraph"/>
              <w:numPr>
                <w:ilvl w:val="0"/>
                <w:numId w:val="2"/>
              </w:numPr>
              <w:spacing w:after="30" w:before="30"/>
            </w:pPr>
            <w:r>
              <w:rPr>
                <w:rFonts w:ascii="Arial" w:cs="Arial" w:eastAsia="Arial" w:hAnsi="Arial"/>
                <w:sz w:val="17"/>
                <w:szCs w:val="17"/>
              </w:rPr>
              <w:t xml:space="preserve">Residents commonly assume 'anterior absent = early, posterior absent = late' — this is WRONG because the rostrum, which is anterior, forms last.</w:t>
            </w:r>
          </w:p>
          <w:p>
            <w:pPr>
              <w:pStyle w:val="ListParagraph"/>
              <w:numPr>
                <w:ilvl w:val="0"/>
                <w:numId w:val="2"/>
              </w:numPr>
              <w:spacing w:after="30" w:before="30"/>
            </w:pPr>
            <w:r>
              <w:rPr>
                <w:rFonts w:ascii="Arial" w:cs="Arial" w:eastAsia="Arial" w:hAnsi="Arial"/>
                <w:sz w:val="17"/>
                <w:szCs w:val="17"/>
              </w:rPr>
              <w:t xml:space="preserve">A thin but complete CC (all segments present) is different from partial agenesis and is more often seen with prematurity, metabolic disorders, or diffuse injury than with a specific developmental malformation.</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2. Corpus Callosum Malformations</w:t>
      </w:r>
    </w:p>
    <w:p>
      <w:pPr>
        <w:spacing w:after="60" w:before="60"/>
      </w:pPr>
      <w:r>
        <w:rPr>
          <w:rFonts w:ascii="Arial" w:cs="Arial" w:eastAsia="Arial" w:hAnsi="Arial"/>
          <w:sz w:val="18"/>
          <w:szCs w:val="18"/>
        </w:rPr>
        <w:t xml:space="preserve">ACC and related CC malformations are among the most common brain malformations detected on prenatal and postnatal imaging. Their clinical significance is highly variable and poorly predicted by the imaging alone — genetic workup is essential.</w:t>
      </w:r>
    </w:p>
    <w:p>
      <w:r>
        <w:rPr>
          <w:sz w:val="10"/>
          <w:szCs w:val="10"/>
        </w:rPr>
        <w:t xml:space="preserve"/>
      </w:r>
    </w:p>
    <w:p>
      <w:pPr>
        <w:spacing w:after="60" w:before="100"/>
      </w:pPr>
      <w:r>
        <w:rPr>
          <w:rFonts w:ascii="Arial" w:cs="Arial" w:eastAsia="Arial" w:hAnsi="Arial"/>
          <w:b/>
          <w:bCs/>
          <w:i/>
          <w:iCs/>
          <w:color w:val="1A5276"/>
          <w:sz w:val="19"/>
          <w:szCs w:val="19"/>
        </w:rPr>
        <w:t xml:space="preserve">Table 2. Corpus Callosum Malformations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rPr>
          <w:tblHeader/>
        </w:trPr>
        <w:tc>
          <w:tcPr>
            <w:tcW w:type="dxa" w:w="2000"/>
            <w:gridSpan w:val="1"/>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MALFORMATION</w:t>
            </w:r>
          </w:p>
        </w:tc>
        <w:tc>
          <w:tcPr>
            <w:tcW w:type="dxa" w:w="3160"/>
            <w:gridSpan w:val="1"/>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IMAGING FEATURES</w:t>
            </w:r>
          </w:p>
        </w:tc>
        <w:tc>
          <w:tcPr>
            <w:tcW w:type="dxa" w:w="4200"/>
            <w:gridSpan w:val="1"/>
            <w:tcBorders>
              <w:top w:val="single" w:color="AAAAAA" w:sz="4"/>
              <w:left w:val="single" w:color="AAAAAA" w:sz="4"/>
              <w:bottom w:val="single" w:color="AAAAAA" w:sz="4"/>
              <w:right w:val="single" w:color="AAAAAA" w:sz="4"/>
            </w:tcBorders>
            <w:shd w:fill="1A527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CLINICAL / GENETIC CONSIDERATIONS</w:t>
            </w:r>
          </w:p>
        </w:tc>
      </w:tr>
      <w:tr>
        <w:tc>
          <w:tcPr>
            <w:tcW w:type="dxa" w:w="20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Complete ACC</w:t>
            </w:r>
          </w:p>
        </w:tc>
        <w:tc>
          <w:tcPr>
            <w:tcW w:type="dxa" w:w="316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Absent CC on all sequences; parallel ('racing car') ventricles; colpocephaly (posterior &gt; anterior horn dilation); interhemispheric cysts common; absent cingulate gyrus → gyri radiate from roof of 3rd ventricle ('sunburst' or 'spokes of wheel' pattern on coronal)</w:t>
            </w:r>
          </w:p>
        </w:tc>
        <w:tc>
          <w:tcPr>
            <w:tcW w:type="dxa" w:w="42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Highly heterogeneous outcome: ~20% of isolated ACC detected prenatally has normal neurodevelopment; ~50% have intellectual disability or ASD features when detected postnatally due to ascertainment bias. Genetic workup essential: chromosomal microarray + WES. Associated: Aicardi syndrome (girls: ACC + chorioretinal lacunae + infantile spasms), Andermann syndrome (ACC + peripheral neuropathy, SLC12A6), L1CAM (X-linked, males).</w:t>
            </w:r>
          </w:p>
        </w:tc>
      </w:tr>
      <w:tr>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Partial / hypogenetic ACC</w:t>
            </w:r>
          </w:p>
        </w:tc>
        <w:tc>
          <w:tcPr>
            <w:tcW w:type="dxa" w:w="31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Partial absence — identify which segments are present. Developmental order: genu → body → splenium → rostrum (rostrum is LAST despite being anterior). Therefore: if only genu present → severe, early disruption. If genu + body present but no splenium/rostrum → mid-gestational. Rostrum absence alone = mild/late.</w:t>
            </w:r>
          </w:p>
        </w:tc>
        <w:tc>
          <w:tcPr>
            <w:tcW w:type="dxa" w:w="42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The 'which part is missing predicts timing of insult' rule applies. Partial ACC carries similar genetic heterogeneity to complete ACC. Isolated thin/hypoplastic CC (all segments present but thin) may be seen in prematurity, metabolic disorders, or as an isolated finding — clinical significance context-dependent.</w:t>
            </w:r>
          </w:p>
        </w:tc>
      </w:tr>
      <w:tr>
        <w:tc>
          <w:tcPr>
            <w:tcW w:type="dxa" w:w="20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Callosal dysgenesis with interhemispheric cyst</w:t>
            </w:r>
          </w:p>
        </w:tc>
        <w:tc>
          <w:tcPr>
            <w:tcW w:type="dxa" w:w="316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ACC or partial ACC + midline cyst that may or may not communicate with ventricles. Cyst can cause hydrocephalus or mass effect.</w:t>
            </w:r>
          </w:p>
        </w:tc>
        <w:tc>
          <w:tcPr>
            <w:tcW w:type="dxa" w:w="4200"/>
            <w:gridSpan w:val="1"/>
            <w:tcBorders>
              <w:top w:val="single" w:color="AAAAAA" w:sz="4"/>
              <w:left w:val="single" w:color="AAAAAA" w:sz="4"/>
              <w:bottom w:val="single" w:color="AAAAAA" w:sz="4"/>
              <w:right w:val="single" w:color="AAAAAA" w:sz="4"/>
            </w:tcBorders>
            <w:shd w:fill="D1F2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Associated with chromosomal anomalies (especially 8p inverted duplication). Neurosurgical referral if cyst causes hydrocephalus or progressive mass effect.</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10"/>
              <w:left w:val="single" w:color="1A5276" w:sz="10"/>
              <w:bottom w:val="single" w:color="1A5276" w:sz="10"/>
              <w:right w:val="single" w:color="1A5276" w:sz="10"/>
            </w:tcBorders>
            <w:shd w:fill="D1F2EB" w:val="clear"/>
            <w:tcMar>
              <w:top w:type="dxa" w:w="100"/>
              <w:left w:type="dxa" w:w="160"/>
              <w:bottom w:type="dxa" w:w="100"/>
              <w:right w:type="dxa" w:w="160"/>
            </w:tcMar>
          </w:tcPr>
          <w:p>
            <w:pPr>
              <w:spacing w:after="80" w:before="0"/>
            </w:pPr>
            <w:r>
              <w:rPr>
                <w:rFonts w:ascii="Arial" w:cs="Arial" w:eastAsia="Arial" w:hAnsi="Arial"/>
                <w:b/>
                <w:bCs/>
                <w:color w:val="1A5276"/>
                <w:sz w:val="20"/>
                <w:szCs w:val="20"/>
              </w:rPr>
              <w:t xml:space="preserve">ACC — Practical Points for Residents</w:t>
            </w:r>
          </w:p>
          <w:p>
            <w:pPr>
              <w:pStyle w:val="ListParagraph"/>
              <w:numPr>
                <w:ilvl w:val="0"/>
                <w:numId w:val="2"/>
              </w:numPr>
              <w:spacing w:after="30" w:before="30"/>
            </w:pPr>
            <w:r>
              <w:rPr>
                <w:rFonts w:ascii="Arial" w:cs="Arial" w:eastAsia="Arial" w:hAnsi="Arial"/>
                <w:sz w:val="17"/>
                <w:szCs w:val="17"/>
              </w:rPr>
              <w:t xml:space="preserve">Isolated ACC on prenatal MRI: counsel families that ~20% have normal neurodevelopment — but postnatal surveillance is essential as cognitive and social difficulties often emerge in school age.</w:t>
            </w:r>
          </w:p>
          <w:p>
            <w:pPr>
              <w:pStyle w:val="ListParagraph"/>
              <w:numPr>
                <w:ilvl w:val="0"/>
                <w:numId w:val="2"/>
              </w:numPr>
              <w:spacing w:after="30" w:before="30"/>
            </w:pPr>
            <w:r>
              <w:rPr>
                <w:rFonts w:ascii="Arial" w:cs="Arial" w:eastAsia="Arial" w:hAnsi="Arial"/>
                <w:sz w:val="17"/>
                <w:szCs w:val="17"/>
              </w:rPr>
              <w:t xml:space="preserve">The 'sunburst' or 'radial' gyral pattern on coronal MRI (gyri radiating from 3rd ventricle roof) is a reliable sign of ACC — the cingulate sulcus fails to form, so gyri run perpendicular to the midline rather than parallel.</w:t>
            </w:r>
          </w:p>
          <w:p>
            <w:pPr>
              <w:pStyle w:val="ListParagraph"/>
              <w:numPr>
                <w:ilvl w:val="0"/>
                <w:numId w:val="2"/>
              </w:numPr>
              <w:spacing w:after="30" w:before="30"/>
            </w:pPr>
            <w:r>
              <w:rPr>
                <w:rFonts w:ascii="Arial" w:cs="Arial" w:eastAsia="Arial" w:hAnsi="Arial"/>
                <w:sz w:val="17"/>
                <w:szCs w:val="17"/>
              </w:rPr>
              <w:t xml:space="preserve">Probst bundles: longitudinally oriented WM bundles that run parallel to the interhemispheric fissure — the axons that 'should have crossed' but didn't. They indent the medial walls of the lateral ventricles and are well seen on axial MRI.</w:t>
            </w:r>
          </w:p>
          <w:p>
            <w:pPr>
              <w:pStyle w:val="ListParagraph"/>
              <w:numPr>
                <w:ilvl w:val="0"/>
                <w:numId w:val="2"/>
              </w:numPr>
              <w:spacing w:after="30" w:before="30"/>
            </w:pPr>
            <w:r>
              <w:rPr>
                <w:rFonts w:ascii="Arial" w:cs="Arial" w:eastAsia="Arial" w:hAnsi="Arial"/>
                <w:sz w:val="17"/>
                <w:szCs w:val="17"/>
              </w:rPr>
              <w:t xml:space="preserve">Always send chromosomal microarray and consider WES for ACC — genetic yield is ~30–40% with comprehensive workup.</w:t>
            </w:r>
          </w:p>
          <w:p>
            <w:pPr>
              <w:pStyle w:val="ListParagraph"/>
              <w:numPr>
                <w:ilvl w:val="0"/>
                <w:numId w:val="2"/>
              </w:numPr>
              <w:spacing w:after="30" w:before="30"/>
            </w:pPr>
            <w:r>
              <w:rPr>
                <w:rFonts w:ascii="Arial" w:cs="Arial" w:eastAsia="Arial" w:hAnsi="Arial"/>
                <w:sz w:val="17"/>
                <w:szCs w:val="17"/>
              </w:rPr>
              <w:t xml:space="preserve">Aicardi syndrome: girls only (X-linked dominant, lethal in males); ACC + chorioretinal lacunae (pathognomonic) + infantile spasms. Always examine the retina in a girl with ACC.</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3. Forebrain Malformations: HPE and SOD</w:t>
      </w:r>
    </w:p>
    <w:p>
      <w:pPr>
        <w:spacing w:after="60" w:before="60"/>
      </w:pPr>
      <w:r>
        <w:rPr>
          <w:rFonts w:ascii="Arial" w:cs="Arial" w:eastAsia="Arial" w:hAnsi="Arial"/>
          <w:sz w:val="18"/>
          <w:szCs w:val="18"/>
        </w:rPr>
        <w:t xml:space="preserve">Holoprosencephaly (HPE) and septo-optic dysplasia (SOD) represent a clinical and genetic spectrum of forebrain induction failure. </w:t>
      </w:r>
      <w:r>
        <w:rPr>
          <w:rFonts w:ascii="Arial" w:cs="Arial" w:eastAsia="Arial" w:hAnsi="Arial"/>
          <w:b/>
          <w:bCs/>
          <w:sz w:val="18"/>
          <w:szCs w:val="18"/>
        </w:rPr>
        <w:t xml:space="preserve">SHH signaling</w:t>
      </w:r>
      <w:r>
        <w:rPr>
          <w:rFonts w:ascii="Arial" w:cs="Arial" w:eastAsia="Arial" w:hAnsi="Arial"/>
          <w:sz w:val="18"/>
          <w:szCs w:val="18"/>
        </w:rPr>
        <w:t xml:space="preserve"> is the central developmental pathway — mutations in SHH and its downstream effectors (ZIC2, SIX3, PTCH1, CDON) account for a significant proportion of familial HPE, though most cases remain without a molecular diagnosis. Trisomy 13 is the most common chromosomal cause of alobar HPE.</w:t>
      </w:r>
    </w:p>
    <w:p>
      <w:r>
        <w:rPr>
          <w:sz w:val="10"/>
          <w:szCs w:val="10"/>
        </w:rPr>
        <w:t xml:space="preserve"/>
      </w:r>
    </w:p>
    <w:p>
      <w:pPr>
        <w:spacing w:after="60" w:before="100"/>
      </w:pPr>
      <w:r>
        <w:rPr>
          <w:rFonts w:ascii="Arial" w:cs="Arial" w:eastAsia="Arial" w:hAnsi="Arial"/>
          <w:b/>
          <w:bCs/>
          <w:i/>
          <w:iCs/>
          <w:color w:val="5B2C6F"/>
          <w:sz w:val="19"/>
          <w:szCs w:val="19"/>
        </w:rPr>
        <w:t xml:space="preserve">Table 3. Holoprosencephaly Spectrum and Septo-Optic Dysplasia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360"/>
        <w:gridCol w:w="3400"/>
      </w:tblGrid>
      <w:tr>
        <w:trPr>
          <w:tblHeader/>
        </w:trPr>
        <w:tc>
          <w:tcPr>
            <w:tcW w:type="dxa" w:w="1600"/>
            <w:gridSpan w:val="1"/>
            <w:tcBorders>
              <w:top w:val="single" w:color="AAAAAA" w:sz="4"/>
              <w:left w:val="single" w:color="AAAAAA" w:sz="4"/>
              <w:bottom w:val="single" w:color="AAAAAA" w:sz="4"/>
              <w:right w:val="single" w:color="AAAAAA" w:sz="4"/>
            </w:tcBorders>
            <w:shd w:fill="5B2C6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MALFORMATION</w:t>
            </w:r>
          </w:p>
        </w:tc>
        <w:tc>
          <w:tcPr>
            <w:tcW w:type="dxa" w:w="2000"/>
            <w:gridSpan w:val="1"/>
            <w:tcBorders>
              <w:top w:val="single" w:color="AAAAAA" w:sz="4"/>
              <w:left w:val="single" w:color="AAAAAA" w:sz="4"/>
              <w:bottom w:val="single" w:color="AAAAAA" w:sz="4"/>
              <w:right w:val="single" w:color="AAAAAA" w:sz="4"/>
            </w:tcBorders>
            <w:shd w:fill="5B2C6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KEY IMAGING</w:t>
            </w:r>
          </w:p>
        </w:tc>
        <w:tc>
          <w:tcPr>
            <w:tcW w:type="dxa" w:w="2360"/>
            <w:gridSpan w:val="1"/>
            <w:tcBorders>
              <w:top w:val="single" w:color="AAAAAA" w:sz="4"/>
              <w:left w:val="single" w:color="AAAAAA" w:sz="4"/>
              <w:bottom w:val="single" w:color="AAAAAA" w:sz="4"/>
              <w:right w:val="single" w:color="AAAAAA" w:sz="4"/>
            </w:tcBorders>
            <w:shd w:fill="5B2C6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GENETICS / CAUSE</w:t>
            </w:r>
          </w:p>
        </w:tc>
        <w:tc>
          <w:tcPr>
            <w:tcW w:type="dxa" w:w="3400"/>
            <w:gridSpan w:val="1"/>
            <w:tcBorders>
              <w:top w:val="single" w:color="AAAAAA" w:sz="4"/>
              <w:left w:val="single" w:color="AAAAAA" w:sz="4"/>
              <w:bottom w:val="single" w:color="AAAAAA" w:sz="4"/>
              <w:right w:val="single" w:color="AAAAAA" w:sz="4"/>
            </w:tcBorders>
            <w:shd w:fill="5B2C6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CLINICAL FEATURES / PEARLS</w:t>
            </w:r>
          </w:p>
        </w:tc>
      </w:tr>
      <w:tr>
        <w:tc>
          <w:tcPr>
            <w:tcW w:type="dxa" w:w="16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Alobar HPE</w:t>
            </w:r>
          </w:p>
        </w:tc>
        <w:tc>
          <w:tcPr>
            <w:tcW w:type="dxa" w:w="20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Single monoventricle; fused thalami; absent falx, CC, olfactory bulbs, interhemispheric fissure; fused basal ganglia; holosphere</w:t>
            </w:r>
          </w:p>
        </w:tc>
        <w:tc>
          <w:tcPr>
            <w:tcW w:type="dxa" w:w="236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SHH (most common), ZIC2, SIX3, PTCH1, CDON; Trisomy 13 (most common chromosomal cause); Trisomy 18</w:t>
            </w:r>
          </w:p>
        </w:tc>
        <w:tc>
          <w:tcPr>
            <w:tcW w:type="dxa" w:w="34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Severe: profound intellectual disability, refractory epilepsy, endocrine dysfunction (DI, GH deficiency), temperature dysregulation. Associated with cyclopia/proboscis/midface anomalies. Prognosis very poor.</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Semilobar HPE</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Partial interhemispheric fissure (posterior present, anterior absent); partial temporal/occipital lobe formation; rudimentary posterior CC may be present; fused frontal lobes and thalami</w:t>
            </w:r>
          </w:p>
        </w:tc>
        <w:tc>
          <w:tcPr>
            <w:tcW w:type="dxa" w:w="2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Same gene spectrum as alobar; chromosomal anomalies less common than alobar</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Severe-moderate: significant DD, epilepsy, endocrine dysfunction. Spasticity. Better survival than alobar.</w:t>
            </w:r>
          </w:p>
        </w:tc>
      </w:tr>
      <w:tr>
        <w:tc>
          <w:tcPr>
            <w:tcW w:type="dxa" w:w="16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Lobar HPE</w:t>
            </w:r>
          </w:p>
        </w:tc>
        <w:tc>
          <w:tcPr>
            <w:tcW w:type="dxa" w:w="20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Near-complete hemisphere separation; absent or hypoplastic genu/rostrum of CC; fused cingulate gyrus; absent olfactory bulbs/sulci common; mild frontal lobe fusion</w:t>
            </w:r>
          </w:p>
        </w:tc>
        <w:tc>
          <w:tcPr>
            <w:tcW w:type="dxa" w:w="236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Often familial/genetic (SHH most common single-gene); may be isolated finding</w:t>
            </w:r>
          </w:p>
        </w:tc>
        <w:tc>
          <w:tcPr>
            <w:tcW w:type="dxa" w:w="34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Variable: may have near-normal cognition or mild-moderate DD. Epilepsy, behavioral issues, hypothalamic dysfunction possible. Diagnosis sometimes not made until school age.</w:t>
            </w:r>
          </w:p>
        </w:tc>
      </w:tr>
      <w:tr>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Middle interhemispheric (MIH) variant</w:t>
            </w:r>
          </w:p>
        </w:tc>
        <w:tc>
          <w:tcPr>
            <w:tcW w:type="dxa" w:w="20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Failure of posterior frontal/parietal interhemispheric separation; anterior and posterior brain separated normally; absent body of CC (genu and splenium present)</w:t>
            </w:r>
          </w:p>
        </w:tc>
        <w:tc>
          <w:tcPr>
            <w:tcW w:type="dxa" w:w="23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Genetic overlap with lobar HPE; some isolated cases</w:t>
            </w:r>
          </w:p>
        </w:tc>
        <w:tc>
          <w:tcPr>
            <w:tcW w:type="dxa" w:w="34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Milder phenotype: hypotonia, mild motor delay, mild cognitive issues. Often underdiagnosed — requires careful review of CC and posterior frontal region.</w:t>
            </w:r>
          </w:p>
        </w:tc>
      </w:tr>
      <w:tr>
        <w:tc>
          <w:tcPr>
            <w:tcW w:type="dxa" w:w="16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Septo-optic dysplasia (SOD)</w:t>
            </w:r>
          </w:p>
        </w:tc>
        <w:tc>
          <w:tcPr>
            <w:tcW w:type="dxa" w:w="20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Absent septum pellucidum (not universal) + small optic nerves/chiasm ± hypothalamic-pituitary axis anomalies ± cortical malformations (especially schizencephaly)</w:t>
            </w:r>
          </w:p>
        </w:tc>
        <w:tc>
          <w:tcPr>
            <w:tcW w:type="dxa" w:w="236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6"/>
                <w:szCs w:val="16"/>
              </w:rPr>
              <w:t xml:space="preserve">SOD is a clinical-radiological diagnosis, not a single genetic entity. HESX1, SOX2, OTX2 account for minority of cases; most are sporadic. Young maternal age association.</w:t>
            </w:r>
          </w:p>
        </w:tc>
        <w:tc>
          <w:tcPr>
            <w:tcW w:type="dxa" w:w="3400"/>
            <w:gridSpan w:val="1"/>
            <w:tcBorders>
              <w:top w:val="single" w:color="AAAAAA" w:sz="4"/>
              <w:left w:val="single" w:color="AAAAAA" w:sz="4"/>
              <w:bottom w:val="single" w:color="AAAAAA" w:sz="4"/>
              <w:right w:val="single" w:color="AAAAAA" w:sz="4"/>
            </w:tcBorders>
            <w:shd w:fill="EDE0F7"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Triad: visual impairment (nystagmus, poor acuity) + pituitary hormone deficiencies (GH most common, then hypothyroidism, then panhypopituitarism, DI) + absent SP. Endocrine evaluation essential — pituitary dysfunction can be life-threatening and may not be apparent at birth. Absent SP alone does not diagnose SOD.</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C6F" w:sz="10"/>
              <w:left w:val="single" w:color="5B2C6F" w:sz="10"/>
              <w:bottom w:val="single" w:color="5B2C6F" w:sz="10"/>
              <w:right w:val="single" w:color="5B2C6F" w:sz="10"/>
            </w:tcBorders>
            <w:shd w:fill="EDE0F7" w:val="clear"/>
            <w:tcMar>
              <w:top w:type="dxa" w:w="100"/>
              <w:left w:type="dxa" w:w="160"/>
              <w:bottom w:type="dxa" w:w="100"/>
              <w:right w:type="dxa" w:w="160"/>
            </w:tcMar>
          </w:tcPr>
          <w:p>
            <w:pPr>
              <w:spacing w:after="80" w:before="0"/>
            </w:pPr>
            <w:r>
              <w:rPr>
                <w:rFonts w:ascii="Arial" w:cs="Arial" w:eastAsia="Arial" w:hAnsi="Arial"/>
                <w:b/>
                <w:bCs/>
                <w:color w:val="5B2C6F"/>
                <w:sz w:val="20"/>
                <w:szCs w:val="20"/>
              </w:rPr>
              <w:t xml:space="preserve">HPE — Clinical Pearls for Residents</w:t>
            </w:r>
          </w:p>
          <w:p>
            <w:pPr>
              <w:pStyle w:val="ListParagraph"/>
              <w:numPr>
                <w:ilvl w:val="0"/>
                <w:numId w:val="2"/>
              </w:numPr>
              <w:spacing w:after="30" w:before="30"/>
            </w:pPr>
            <w:r>
              <w:rPr>
                <w:rFonts w:ascii="Arial" w:cs="Arial" w:eastAsia="Arial" w:hAnsi="Arial"/>
                <w:sz w:val="17"/>
                <w:szCs w:val="17"/>
              </w:rPr>
              <w:t xml:space="preserve">HPE and facial anomalies: 'the face predicts the brain' — midline facial defects (cyclopia, proboscis, hypotelorism, median cleft palate, single central incisor) scale with HPE severity. A single central maxillary incisor in an otherwise normal-appearing child should prompt brain MRI.</w:t>
            </w:r>
          </w:p>
          <w:p>
            <w:pPr>
              <w:pStyle w:val="ListParagraph"/>
              <w:numPr>
                <w:ilvl w:val="0"/>
                <w:numId w:val="2"/>
              </w:numPr>
              <w:spacing w:after="30" w:before="30"/>
            </w:pPr>
            <w:r>
              <w:rPr>
                <w:rFonts w:ascii="Arial" w:cs="Arial" w:eastAsia="Arial" w:hAnsi="Arial"/>
                <w:sz w:val="17"/>
                <w:szCs w:val="17"/>
              </w:rPr>
              <w:t xml:space="preserve">SOD endocrine urgency: GH deficiency in infancy causes hypoglycemia, which can be life-threatening. Any child with SOD requires urgent endocrine evaluation, even if asymptomatic at diagnosis. The triple triad of SOD is often incomplete — absent SP alone does not make the diagnosis.</w:t>
            </w:r>
          </w:p>
          <w:p>
            <w:pPr>
              <w:pStyle w:val="ListParagraph"/>
              <w:numPr>
                <w:ilvl w:val="0"/>
                <w:numId w:val="2"/>
              </w:numPr>
              <w:spacing w:after="30" w:before="30"/>
            </w:pPr>
            <w:r>
              <w:rPr>
                <w:rFonts w:ascii="Arial" w:cs="Arial" w:eastAsia="Arial" w:hAnsi="Arial"/>
                <w:sz w:val="17"/>
                <w:szCs w:val="17"/>
              </w:rPr>
              <w:t xml:space="preserve">HPE genetics: SHH mutations in familial HPE show markedly variable expressivity — a parent may carry an HPE-causing SHH mutation with only a single central incisor and normal brain imaging, while their child has alobar HPE. Genetic counseling is essential.</w:t>
            </w:r>
          </w:p>
          <w:p>
            <w:pPr>
              <w:pStyle w:val="ListParagraph"/>
              <w:numPr>
                <w:ilvl w:val="0"/>
                <w:numId w:val="2"/>
              </w:numPr>
              <w:spacing w:after="30" w:before="30"/>
            </w:pPr>
            <w:r>
              <w:rPr>
                <w:rFonts w:ascii="Arial" w:cs="Arial" w:eastAsia="Arial" w:hAnsi="Arial"/>
                <w:sz w:val="17"/>
                <w:szCs w:val="17"/>
              </w:rPr>
              <w:t xml:space="preserve">ZIC2 HPE: thalami often more severely fused than expected for the degree of cortical non-separation (semi-lobar HPE with near-complete thalamic fusion). ZIC2 mutations are rarely associated with facial anomalies — important for prenatal counseling.</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4. Neuronal Migration Disorders and Cortical Malformations</w:t>
      </w:r>
    </w:p>
    <w:p>
      <w:pPr>
        <w:spacing w:after="60" w:before="60"/>
      </w:pPr>
      <w:r>
        <w:rPr>
          <w:rFonts w:ascii="Arial" w:cs="Arial" w:eastAsia="Arial" w:hAnsi="Arial"/>
          <w:sz w:val="18"/>
          <w:szCs w:val="18"/>
        </w:rPr>
        <w:t xml:space="preserve">For MRI imaging features of MCD, see the Neuroradiology chapter. This section focuses on the genetic and mechanistic basis of the major migration and cortical organization disorders, which are essential for neurogenetics-oriented practice.</w:t>
      </w:r>
    </w:p>
    <w:p>
      <w:r>
        <w:rPr>
          <w:sz w:val="10"/>
          <w:szCs w:val="10"/>
        </w:rPr>
        <w:t xml:space="preserve"/>
      </w:r>
    </w:p>
    <w:p>
      <w:pPr>
        <w:spacing w:after="60" w:before="60"/>
      </w:pPr>
      <w:r>
        <w:rPr>
          <w:rFonts w:ascii="Arial" w:cs="Arial" w:eastAsia="Arial" w:hAnsi="Arial"/>
          <w:sz w:val="18"/>
          <w:szCs w:val="18"/>
        </w:rPr>
        <w:t xml:space="preserve">The dominant pathways disrupted in migration disorders are </w:t>
      </w:r>
      <w:r>
        <w:rPr>
          <w:rFonts w:ascii="Arial" w:cs="Arial" w:eastAsia="Arial" w:hAnsi="Arial"/>
          <w:b/>
          <w:bCs/>
          <w:sz w:val="18"/>
          <w:szCs w:val="18"/>
        </w:rPr>
        <w:t xml:space="preserve">microtubule dynamics (LIS1, DCX, TUBA1A)</w:t>
      </w:r>
      <w:r>
        <w:rPr>
          <w:rFonts w:ascii="Arial" w:cs="Arial" w:eastAsia="Arial" w:hAnsi="Arial"/>
          <w:sz w:val="18"/>
          <w:szCs w:val="18"/>
        </w:rPr>
        <w:t xml:space="preserve">, </w:t>
      </w:r>
      <w:r>
        <w:rPr>
          <w:rFonts w:ascii="Arial" w:cs="Arial" w:eastAsia="Arial" w:hAnsi="Arial"/>
          <w:b/>
          <w:bCs/>
          <w:sz w:val="18"/>
          <w:szCs w:val="18"/>
        </w:rPr>
        <w:t xml:space="preserve">dystroglycan glycosylation (cobblestone disorders)</w:t>
      </w:r>
      <w:r>
        <w:rPr>
          <w:rFonts w:ascii="Arial" w:cs="Arial" w:eastAsia="Arial" w:hAnsi="Arial"/>
          <w:sz w:val="18"/>
          <w:szCs w:val="18"/>
        </w:rPr>
        <w:t xml:space="preserve">, </w:t>
      </w:r>
      <w:r>
        <w:rPr>
          <w:rFonts w:ascii="Arial" w:cs="Arial" w:eastAsia="Arial" w:hAnsi="Arial"/>
          <w:b/>
          <w:bCs/>
          <w:sz w:val="18"/>
          <w:szCs w:val="18"/>
        </w:rPr>
        <w:t xml:space="preserve">cytoskeletal actin regulation (FLNA → PNH)</w:t>
      </w:r>
      <w:r>
        <w:rPr>
          <w:rFonts w:ascii="Arial" w:cs="Arial" w:eastAsia="Arial" w:hAnsi="Arial"/>
          <w:sz w:val="18"/>
          <w:szCs w:val="18"/>
        </w:rPr>
        <w:t xml:space="preserve">, and </w:t>
      </w:r>
      <w:r>
        <w:rPr>
          <w:rFonts w:ascii="Arial" w:cs="Arial" w:eastAsia="Arial" w:hAnsi="Arial"/>
          <w:b/>
          <w:bCs/>
          <w:sz w:val="18"/>
          <w:szCs w:val="18"/>
        </w:rPr>
        <w:t xml:space="preserve">mTOR pathway (PMG, HME, FCD)</w:t>
      </w:r>
      <w:r>
        <w:rPr>
          <w:rFonts w:ascii="Arial" w:cs="Arial" w:eastAsia="Arial" w:hAnsi="Arial"/>
          <w:sz w:val="18"/>
          <w:szCs w:val="18"/>
        </w:rPr>
        <w:t xml:space="preserve">. Recognizing which pathway is likely disrupted guides targeted gene panel selection.</w:t>
      </w:r>
    </w:p>
    <w:p>
      <w:r>
        <w:rPr>
          <w:sz w:val="10"/>
          <w:szCs w:val="10"/>
        </w:rPr>
        <w:t xml:space="preserve"/>
      </w:r>
    </w:p>
    <w:p>
      <w:pPr>
        <w:spacing w:after="60" w:before="100"/>
      </w:pPr>
      <w:r>
        <w:rPr>
          <w:rFonts w:ascii="Arial" w:cs="Arial" w:eastAsia="Arial" w:hAnsi="Arial"/>
          <w:b/>
          <w:bCs/>
          <w:i/>
          <w:iCs/>
          <w:color w:val="2E5FA3"/>
          <w:sz w:val="19"/>
          <w:szCs w:val="19"/>
        </w:rPr>
        <w:t xml:space="preserve">Table 4. Neuronal Migration Disorders — Genetics, Mechanism, and Clinical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600"/>
        <w:gridCol w:w="1800"/>
        <w:gridCol w:w="2960"/>
      </w:tblGrid>
      <w:tr>
        <w:trPr>
          <w:tblHeader/>
        </w:trPr>
        <w:tc>
          <w:tcPr>
            <w:tcW w:type="dxa" w:w="17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MALFORMATION</w:t>
            </w:r>
          </w:p>
        </w:tc>
        <w:tc>
          <w:tcPr>
            <w:tcW w:type="dxa" w:w="13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GENE(S)</w:t>
            </w:r>
          </w:p>
        </w:tc>
        <w:tc>
          <w:tcPr>
            <w:tcW w:type="dxa" w:w="16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MECHANISM</w:t>
            </w:r>
          </w:p>
        </w:tc>
        <w:tc>
          <w:tcPr>
            <w:tcW w:type="dxa" w:w="180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IMAGING GRADIENT / PATTERN</w:t>
            </w:r>
          </w:p>
        </w:tc>
        <w:tc>
          <w:tcPr>
            <w:tcW w:type="dxa" w:w="2960"/>
            <w:gridSpan w:val="1"/>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CLINICAL / PEARLS</w:t>
            </w:r>
          </w:p>
        </w:tc>
      </w:tr>
      <w:tr>
        <w:tc>
          <w:tcPr>
            <w:tcW w:type="dxa" w:w="1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Classic lissencephaly (Type 1 / LCH)</w:t>
            </w:r>
          </w:p>
        </w:tc>
        <w:tc>
          <w:tcPr>
            <w:tcW w:type="dxa" w:w="13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LIS1 (PAFAH1B1)
DCX
TUBA1A
ARX (X-linked, males)</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Dynein-mediated radial migration failure; microtubule dysfunction</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LIS1: posterior &gt; anterior (P-A gradient). DCX: anterior &gt; posterior (A-P gradient) in males. TUBA1A: variable, often with CC dysgenesis. ARX: lissencephaly + ambiguous genitalia (males).</w:t>
            </w:r>
          </w:p>
        </w:tc>
        <w:tc>
          <w:tcPr>
            <w:tcW w:type="dxa" w:w="2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Severe: hypotonia at birth → spasticity; refractory epilepsy (infantile spasms, Lennox-Gastaut); severe-profound intellectual disability. DCX females: subcortical band heterotopia (milder phenotype). TUBA1A: often with brainstem and cerebellar hypoplasia.</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Subcortical band heterotopia (SBH)</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DCX (X-linked, females)
LIS1 (rare)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Partial neuronal migration arrest — neurons stop mid-journey</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Smooth band of gray matter signal between ventricle and cortex; separated by thin WM layers; overlying cortex relatively normal or mildly simplified</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Classic DCX females: band heterotopia + mild-moderate epilepsy + variable cognitive outcomes (milder than lissencephaly males with same DCX mutation). Males with DCX: lissencephaly. Classic X-linked inheritance in family history is clue.</w:t>
            </w:r>
          </w:p>
        </w:tc>
      </w:tr>
      <w:tr>
        <w:tc>
          <w:tcPr>
            <w:tcW w:type="dxa" w:w="1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Periventricular nodular heterotopia (PNH)</w:t>
            </w:r>
          </w:p>
        </w:tc>
        <w:tc>
          <w:tcPr>
            <w:tcW w:type="dxa" w:w="13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FLNA (X-linked)
ARFGEF2
Many others (heterogeneous)</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Failure of neuronal departure from germinal matrix — neurons never begin migration</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Nodules isointense to gray matter on ALL sequences lining lateral ventricle walls; no signal change; bilateral or unilateral</w:t>
            </w:r>
          </w:p>
        </w:tc>
        <w:tc>
          <w:tcPr>
            <w:tcW w:type="dxa" w:w="2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FLNA: X-linked, females (males often lethal prenatally); cardiovascular anomalies (patent ductus, valvular), connective tissue features. Epilepsy often in 2nd decade. IQ variable. Distinguish from TSC subependymal nodules (which are NOT isointense to cortex — T1-bright/FLAIR-bright).</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Cobblestone lissencephaly (Type 2)</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POMT1, POMT2
POMGNT1
FKTN (Fukuyama)
FKRP
LARGE1</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Dystroglycanopathy — failure of α-dystroglycan O-mannosylation; disruption of glia limitans → overmigration</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Cobblestone cortex (irregular bumpy surface, cortex appears too thick with irregular outer margin); lissencephalic-appearing but mechanistically distinct. Often with brainstem/cerebellar hypoplasia and eye anomalies.</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Walker-Warburg (most severe): agyria + eye anomalies (microphthalmia, cataract, retinal dysplasia) + CMD; neonatal presentation; very poor prognosis. Fukuyama CMD (FKTN): common in Japan; CMD + cortical dysplasia; cardiomyopathy. Muscle-eye-brain (POMGNT1): intermediate. Serum CK often elevated. Send dystroglycanopathy panel.</w:t>
            </w:r>
          </w:p>
        </w:tc>
      </w:tr>
      <w:tr>
        <w:tc>
          <w:tcPr>
            <w:tcW w:type="dxa" w:w="17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Polymicrogyria (PMG)</w:t>
            </w:r>
          </w:p>
        </w:tc>
        <w:tc>
          <w:tcPr>
            <w:tcW w:type="dxa" w:w="13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PIK3R2, TUBB2B, GPR56, COL18A1, ADGRV1
Also: TORCH, ischemia, metabolic</w:t>
            </w:r>
          </w:p>
        </w:tc>
        <w:tc>
          <w:tcPr>
            <w:tcW w:type="dxa" w:w="16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Post-migrational cortical organization failure — multiple small fused gyri; unlayered cortex</w:t>
            </w:r>
          </w:p>
        </w:tc>
        <w:tc>
          <w:tcPr>
            <w:tcW w:type="dxa" w:w="180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Irregular cortical surface; apparent cortical thickening on low-resolution; perisylvian most common distribution (bilateral perisylvian PMG syndrome). Mimics pachygyria on low-res MRI.</w:t>
            </w:r>
          </w:p>
        </w:tc>
        <w:tc>
          <w:tcPr>
            <w:tcW w:type="dxa" w:w="2960"/>
            <w:gridSpan w:val="1"/>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Bilateral perisylvian PMG: pseudobulbar palsy, drooling, dysarthria + epilepsy ± cognitive impairment. PIK3R2: associated with megalencephaly-PMG-polydactyly-hydrocephalus (MPPH). TUBB2B: often asymmetric. Genetic testing yield ~30% — chromosomal microarray + targeted gene panel or WES.</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Hemimegalencephaly (HME)</w:t>
            </w:r>
          </w:p>
        </w:tc>
        <w:tc>
          <w:tcPr>
            <w:tcW w:type="dxa" w:w="13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Somatic mosaic: PIK3CA, AKT3, MTOR
(germline rare)</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Somatic mTOR pathway activation in progenitor cells → excessive, dysplastic proliferation of one hemisphere</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Unilateral hemisphere overgrowth with abnormal signal; ipsilateral ventricle often enlarged and dysmorphic; cortical dysplasia throughout affected hemisphere; WM signal abnormal; midline shift variable</w:t>
            </w:r>
          </w:p>
        </w:tc>
        <w:tc>
          <w:tcPr>
            <w:tcW w:type="dxa" w:w="29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Macrocephaly (asymmetric) or normal HC; contralateral hemiplegia; refractory focal epilepsy beginning in infancy — often epileptic encephalopathy. Hemispherotomy is the primary epilepsy treatment for medically refractory cases. FISH or SNP array on resected tissue for somatic mosaicism. Associated with epidermal nevus syndrome and other segmental overgrowth disorders.</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10"/>
              <w:left w:val="single" w:color="375623" w:sz="10"/>
              <w:bottom w:val="single" w:color="375623" w:sz="10"/>
              <w:right w:val="single" w:color="375623" w:sz="10"/>
            </w:tcBorders>
            <w:shd w:fill="E2EFDA" w:val="clear"/>
            <w:tcMar>
              <w:top w:type="dxa" w:w="100"/>
              <w:left w:type="dxa" w:w="160"/>
              <w:bottom w:type="dxa" w:w="100"/>
              <w:right w:type="dxa" w:w="160"/>
            </w:tcMar>
          </w:tcPr>
          <w:p>
            <w:pPr>
              <w:spacing w:after="80" w:before="0"/>
            </w:pPr>
            <w:r>
              <w:rPr>
                <w:rFonts w:ascii="Arial" w:cs="Arial" w:eastAsia="Arial" w:hAnsi="Arial"/>
                <w:b/>
                <w:bCs/>
                <w:color w:val="375623"/>
                <w:sz w:val="20"/>
                <w:szCs w:val="20"/>
              </w:rPr>
              <w:t xml:space="preserve">mTOR Pathway — A Unifying Framework</w:t>
            </w:r>
          </w:p>
          <w:p>
            <w:pPr>
              <w:pStyle w:val="ListParagraph"/>
              <w:numPr>
                <w:ilvl w:val="0"/>
                <w:numId w:val="2"/>
              </w:numPr>
              <w:spacing w:after="30" w:before="30"/>
            </w:pPr>
            <w:r>
              <w:rPr>
                <w:rFonts w:ascii="Arial" w:cs="Arial" w:eastAsia="Arial" w:hAnsi="Arial"/>
                <w:sz w:val="17"/>
                <w:szCs w:val="17"/>
              </w:rPr>
              <w:t xml:space="preserve">The mTOR (mechanistic target of rapamycin) pathway regulates cell growth, proliferation, and differentiation. Germline gain-of-function mutations → megalencephaly syndromes (MCAP, MPPH). Somatic mosaic mutations → focal cortical dysplasia, hemimegalencephaly, focal overgrowth.</w:t>
            </w:r>
          </w:p>
          <w:p>
            <w:pPr>
              <w:pStyle w:val="ListParagraph"/>
              <w:numPr>
                <w:ilvl w:val="0"/>
                <w:numId w:val="2"/>
              </w:numPr>
              <w:spacing w:after="30" w:before="30"/>
            </w:pPr>
            <w:r>
              <w:rPr>
                <w:rFonts w:ascii="Arial" w:cs="Arial" w:eastAsia="Arial" w:hAnsi="Arial"/>
                <w:sz w:val="17"/>
                <w:szCs w:val="17"/>
              </w:rPr>
              <w:t xml:space="preserve">The somatic vs. germline distinction explains why HME and FCD can occur without a family history — the mutation is present only in a subset of cells.</w:t>
            </w:r>
          </w:p>
          <w:p>
            <w:pPr>
              <w:pStyle w:val="ListParagraph"/>
              <w:numPr>
                <w:ilvl w:val="0"/>
                <w:numId w:val="2"/>
              </w:numPr>
              <w:spacing w:after="30" w:before="30"/>
            </w:pPr>
            <w:r>
              <w:rPr>
                <w:rFonts w:ascii="Arial" w:cs="Arial" w:eastAsia="Arial" w:hAnsi="Arial"/>
                <w:sz w:val="17"/>
                <w:szCs w:val="17"/>
              </w:rPr>
              <w:t xml:space="preserve">mTOR inhibitors (rapamycin/everolimus) have demonstrated efficacy in TSC — rationale for clinical trials in other mTOR-related epilepsies.</w:t>
            </w:r>
          </w:p>
          <w:p>
            <w:pPr>
              <w:pStyle w:val="ListParagraph"/>
              <w:numPr>
                <w:ilvl w:val="0"/>
                <w:numId w:val="2"/>
              </w:numPr>
              <w:spacing w:after="30" w:before="30"/>
            </w:pPr>
            <w:r>
              <w:rPr>
                <w:rFonts w:ascii="Arial" w:cs="Arial" w:eastAsia="Arial" w:hAnsi="Arial"/>
                <w:sz w:val="17"/>
                <w:szCs w:val="17"/>
              </w:rPr>
              <w:t xml:space="preserve">When sending gene testing for FCD or HME, standard blood DNA may miss somatic variants with low allele fraction — brain tissue (surgical specimen) or saliva/urinary sediment for alternative cell sources improves yield.</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5. Posterior Fossa Malformations and Joubert Syndrome</w:t>
      </w:r>
    </w:p>
    <w:p>
      <w:pPr>
        <w:spacing w:after="60" w:before="60"/>
      </w:pPr>
      <w:r>
        <w:rPr>
          <w:rFonts w:ascii="Arial" w:cs="Arial" w:eastAsia="Arial" w:hAnsi="Arial"/>
          <w:sz w:val="18"/>
          <w:szCs w:val="18"/>
        </w:rPr>
        <w:t xml:space="preserve">Posterior fossa malformations range from incidental variants (mega cisterna magna — see Neuroradiology chapter) to severe disorders with major neurodevelopmental and multiorgan implications. Joubert syndrome is the paradigmatic </w:t>
      </w:r>
      <w:r>
        <w:rPr>
          <w:rFonts w:ascii="Arial" w:cs="Arial" w:eastAsia="Arial" w:hAnsi="Arial"/>
          <w:b/>
          <w:bCs/>
          <w:sz w:val="18"/>
          <w:szCs w:val="18"/>
        </w:rPr>
        <w:t xml:space="preserve">ciliopathy</w:t>
      </w:r>
      <w:r>
        <w:rPr>
          <w:rFonts w:ascii="Arial" w:cs="Arial" w:eastAsia="Arial" w:hAnsi="Arial"/>
          <w:sz w:val="18"/>
          <w:szCs w:val="18"/>
        </w:rPr>
        <w:t xml:space="preserve"> — understanding its pathogenesis contextualizes why a cerebellar malformation produces retinal dystrophy, renal disease, and hepatic fibrosis.</w:t>
      </w:r>
    </w:p>
    <w:p>
      <w:r>
        <w:rPr>
          <w:sz w:val="10"/>
          <w:szCs w:val="10"/>
        </w:rPr>
        <w:t xml:space="preserve"/>
      </w:r>
    </w:p>
    <w:p>
      <w:pPr>
        <w:spacing w:after="60" w:before="100"/>
      </w:pPr>
      <w:r>
        <w:rPr>
          <w:rFonts w:ascii="Arial" w:cs="Arial" w:eastAsia="Arial" w:hAnsi="Arial"/>
          <w:b/>
          <w:bCs/>
          <w:i/>
          <w:iCs/>
          <w:color w:val="C55A11"/>
          <w:sz w:val="19"/>
          <w:szCs w:val="19"/>
        </w:rPr>
        <w:t xml:space="preserve">Table 5. Posterior Fossa Malformations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100"/>
        <w:gridCol w:w="3760"/>
      </w:tblGrid>
      <w:tr>
        <w:trPr>
          <w:tblHeader/>
        </w:trPr>
        <w:tc>
          <w:tcPr>
            <w:tcW w:type="dxa" w:w="17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MALFORMATION</w:t>
            </w:r>
          </w:p>
        </w:tc>
        <w:tc>
          <w:tcPr>
            <w:tcW w:type="dxa" w:w="18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MRI HALLMARK</w:t>
            </w:r>
          </w:p>
        </w:tc>
        <w:tc>
          <w:tcPr>
            <w:tcW w:type="dxa" w:w="210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GENETICS</w:t>
            </w:r>
          </w:p>
        </w:tc>
        <w:tc>
          <w:tcPr>
            <w:tcW w:type="dxa" w:w="3760"/>
            <w:gridSpan w:val="1"/>
            <w:tcBorders>
              <w:top w:val="single" w:color="AAAAAA" w:sz="4"/>
              <w:left w:val="single" w:color="AAAAAA" w:sz="4"/>
              <w:bottom w:val="single" w:color="AAAAAA" w:sz="4"/>
              <w:right w:val="single" w:color="AAAAAA" w:sz="4"/>
            </w:tcBorders>
            <w:shd w:fill="C55A11"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CLINICAL FEATURES / PEARLS</w:t>
            </w:r>
          </w:p>
        </w:tc>
      </w:tr>
      <w:tr>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Joubert syndrome (JBTS) and related disorders (JSRD)</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Molar tooth sign (MTS): axial MRI shows elongated, thickened superior cerebellar peduncles + deepened interpeduncular fossa + vermian hypoplasia → resembles a molar tooth. Vermian hypoplasia on sagittal.</w:t>
            </w:r>
          </w:p>
        </w:tc>
        <w:tc>
          <w:tcPr>
            <w:tcW w:type="dxa" w:w="21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Highly genetically heterogeneous: &gt;40 genes (CC2D2A, CEP290, RPGRIP1L, AHI1, NPHP1, TMEM67, others). All encode proteins of the primary cilium or basal body. Autosomal recessive (most); X-linked rare (OFD1).</w:t>
            </w:r>
          </w:p>
        </w:tc>
        <w:tc>
          <w:tcPr>
            <w:tcW w:type="dxa" w:w="37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pPr>
            <w:r>
              <w:rPr>
                <w:rFonts w:ascii="Arial" w:cs="Arial" w:eastAsia="Arial" w:hAnsi="Arial"/>
                <w:sz w:val="16"/>
                <w:szCs w:val="16"/>
              </w:rPr>
              <w:t xml:space="preserve"/>
            </w:r>
          </w:p>
          <w:p>
            <w:pPr>
              <w:pStyle w:val="ListParagraph"/>
              <w:numPr>
                <w:ilvl w:val="0"/>
                <w:numId w:val="2"/>
              </w:numPr>
              <w:spacing w:after="28" w:before="28"/>
            </w:pPr>
            <w:r>
              <w:rPr>
                <w:rFonts w:ascii="Arial" w:cs="Arial" w:eastAsia="Arial" w:hAnsi="Arial"/>
                <w:sz w:val="15"/>
                <w:szCs w:val="15"/>
              </w:rPr>
              <w:t xml:space="preserve">Core features: hypotonia, oculomotor apraxia, neonatal breathing dysregulation (episodic hyperpnea/apnea — pathognomonic when present), developmental delay, ataxia.</w:t>
            </w:r>
          </w:p>
          <w:p>
            <w:pPr>
              <w:pStyle w:val="ListParagraph"/>
              <w:numPr>
                <w:ilvl w:val="0"/>
                <w:numId w:val="2"/>
              </w:numPr>
              <w:spacing w:after="28" w:before="28"/>
            </w:pPr>
            <w:r>
              <w:rPr>
                <w:rFonts w:ascii="Arial" w:cs="Arial" w:eastAsia="Arial" w:hAnsi="Arial"/>
                <w:sz w:val="15"/>
                <w:szCs w:val="15"/>
              </w:rPr>
              <w:t xml:space="preserve">The MTS is required for diagnosis — it is not seen in Dandy-Walker or simple vermian hypoplasia.</w:t>
            </w:r>
          </w:p>
          <w:p>
            <w:pPr>
              <w:pStyle w:val="ListParagraph"/>
              <w:numPr>
                <w:ilvl w:val="0"/>
                <w:numId w:val="2"/>
              </w:numPr>
              <w:spacing w:after="28" w:before="28"/>
            </w:pPr>
            <w:r>
              <w:rPr>
                <w:rFonts w:ascii="Arial" w:cs="Arial" w:eastAsia="Arial" w:hAnsi="Arial"/>
                <w:sz w:val="15"/>
                <w:szCs w:val="15"/>
              </w:rPr>
              <w:t xml:space="preserve">Ciliopathy framework: primary cilia coordinate developmental signaling (Hedgehog, Wnt, PDGF). Dysfunction → multiorgan disease. Evaluate ALL Joubert patients for: retinal dystrophy (Leber congenital amaurosis / NPHP-related — ophthalmology); nephronophthisis (renal ultrasound + creatinine annually); hepatic fibrosis (LFTs + ultrasound); polydactyly (Meckel-Gruber overlap in severe forms).</w:t>
            </w:r>
          </w:p>
          <w:p>
            <w:pPr>
              <w:pStyle w:val="ListParagraph"/>
              <w:numPr>
                <w:ilvl w:val="0"/>
                <w:numId w:val="2"/>
              </w:numPr>
              <w:spacing w:after="28" w:before="28"/>
            </w:pPr>
            <w:r>
              <w:rPr>
                <w:rFonts w:ascii="Arial" w:cs="Arial" w:eastAsia="Arial" w:hAnsi="Arial"/>
                <w:sz w:val="15"/>
                <w:szCs w:val="15"/>
              </w:rPr>
              <w:t xml:space="preserve">Genotype-phenotype correlations exist: CEP290 → higher risk of Leber CGA; TMEM67 → hepatic fibrosis (COACH syndrome); AHI1 → retinal involvement; NPHP1 → renal disease.</w:t>
            </w:r>
          </w:p>
          <w:p>
            <w:pPr>
              <w:pStyle w:val="ListParagraph"/>
              <w:numPr>
                <w:ilvl w:val="0"/>
                <w:numId w:val="2"/>
              </w:numPr>
              <w:spacing w:after="28" w:before="28"/>
            </w:pPr>
            <w:r>
              <w:rPr>
                <w:rFonts w:ascii="Arial" w:cs="Arial" w:eastAsia="Arial" w:hAnsi="Arial"/>
                <w:sz w:val="15"/>
                <w:szCs w:val="15"/>
              </w:rPr>
              <w:t xml:space="preserve">Send JSRD/Joubert gene panel or WES — single-gene testing is low yield given heterogeneity.</w:t>
            </w:r>
          </w:p>
        </w:tc>
      </w:tr>
      <w:tr>
        <w:tc>
          <w:tcPr>
            <w:tcW w:type="dxa" w:w="17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Dandy-Walker malformation (DWM)</w:t>
            </w:r>
          </w:p>
        </w:tc>
        <w:tc>
          <w:tcPr>
            <w:tcW w:type="dxa" w:w="18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Vermian hypoplasia + rotation; cystic dilation of 4th ventricle; enlarged posterior fossa; elevated tentorium/torcula (torcular-lambdoid inversion). Hydrocephalus common.</w:t>
            </w:r>
          </w:p>
        </w:tc>
        <w:tc>
          <w:tcPr>
            <w:tcW w:type="dxa" w:w="2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Chromosomal anomalies in ~30% (monosomy X, Trisomy 18, 13, 21). Single gene causes: ZIC1/ZIC4 deletions (3q); FOXC1; many others. Often no genetic cause found.</w:t>
            </w:r>
          </w:p>
        </w:tc>
        <w:tc>
          <w:tcPr>
            <w:tcW w:type="dxa" w:w="37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Prognosis determined primarily by associated anomalies (ACC, cortical malformations, chromosomal) — not by DWM itself. Isolated DWM with normal remaining brain: variable outcome, often reasonable. Hydrocephalus requires monitoring; CSF diversion may be needed. Do not conflate with mega cisterna magna or Blake's pouch cyst (see neuroradiology chapter).</w:t>
            </w:r>
          </w:p>
        </w:tc>
      </w:tr>
      <w:tr>
        <w:tc>
          <w:tcPr>
            <w:tcW w:type="dxa" w:w="17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6"/>
                <w:szCs w:val="16"/>
              </w:rPr>
              <w:t xml:space="preserve">Pontocerebellar hypoplasia (PCH)</w:t>
            </w:r>
          </w:p>
        </w:tc>
        <w:tc>
          <w:tcPr>
            <w:tcW w:type="dxa" w:w="18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Small pons and cerebellum — variable pattern. Type 2 (TSEN genes): 'dragonfly' cerebellar pattern (hypoplastic hemispheres with relatively preserved vermis). Type 1 (VRK1, exosome complex): cerebellar hypoplasia + anterior horn disease (SMA-like).</w:t>
            </w:r>
          </w:p>
        </w:tc>
        <w:tc>
          <w:tcPr>
            <w:tcW w:type="dxa" w:w="210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Heterogeneous: TSEN54 (most common, PCH2/4); RARS2 (PCH6, mitochondrial aminoacyl-tRNA); VRK1; CASK (X-linked, females, microcephaly + PCH). Autosomal recessive predominates.</w:t>
            </w:r>
          </w:p>
        </w:tc>
        <w:tc>
          <w:tcPr>
            <w:tcW w:type="dxa" w:w="3760"/>
            <w:gridSpan w:val="1"/>
            <w:tcBorders>
              <w:top w:val="single" w:color="AAAAAA" w:sz="4"/>
              <w:left w:val="single" w:color="AAAAAA" w:sz="4"/>
              <w:bottom w:val="single" w:color="AAAAAA" w:sz="4"/>
              <w:right w:val="single" w:color="AAAAAA" w:sz="4"/>
            </w:tcBorders>
            <w:shd w:fill="FCE4D6"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6"/>
                <w:szCs w:val="16"/>
              </w:rPr>
              <w:t xml:space="preserve">Severe neurodevelopmental impairment, microcephaly (often progressive), early-onset epilepsy, feeding difficulty, spasticity. PCH1 has additional anterior horn cell degeneration. Poor prognosis in most types. Brief coverage here — full PCH classification is complex; refer to Namavar et al. for detailed subtyping.</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55A11" w:sz="10"/>
              <w:left w:val="single" w:color="C55A11" w:sz="10"/>
              <w:bottom w:val="single" w:color="C55A11" w:sz="10"/>
              <w:right w:val="single" w:color="C55A11" w:sz="10"/>
            </w:tcBorders>
            <w:shd w:fill="FCE4D6" w:val="clear"/>
            <w:tcMar>
              <w:top w:type="dxa" w:w="100"/>
              <w:left w:type="dxa" w:w="160"/>
              <w:bottom w:type="dxa" w:w="100"/>
              <w:right w:type="dxa" w:w="160"/>
            </w:tcMar>
          </w:tcPr>
          <w:p>
            <w:pPr>
              <w:spacing w:after="80" w:before="0"/>
            </w:pPr>
            <w:r>
              <w:rPr>
                <w:rFonts w:ascii="Arial" w:cs="Arial" w:eastAsia="Arial" w:hAnsi="Arial"/>
                <w:b/>
                <w:bCs/>
                <w:color w:val="C55A11"/>
                <w:sz w:val="20"/>
                <w:szCs w:val="20"/>
              </w:rPr>
              <w:t xml:space="preserve">Joubert Syndrome — Multiorgan Surveillance Protocol</w:t>
            </w:r>
          </w:p>
          <w:p>
            <w:pPr>
              <w:pStyle w:val="ListParagraph"/>
              <w:numPr>
                <w:ilvl w:val="0"/>
                <w:numId w:val="2"/>
              </w:numPr>
              <w:spacing w:after="30" w:before="30"/>
            </w:pPr>
            <w:r>
              <w:rPr>
                <w:rFonts w:ascii="Arial" w:cs="Arial" w:eastAsia="Arial" w:hAnsi="Arial"/>
                <w:sz w:val="17"/>
                <w:szCs w:val="17"/>
              </w:rPr>
              <w:t xml:space="preserve">Ophthalmology: ERG and dilated fundus exam at diagnosis and annually. CEP290 mutations → high risk for Leber congenital amaurosis (may be treatable with gene therapy).</w:t>
            </w:r>
          </w:p>
          <w:p>
            <w:pPr>
              <w:pStyle w:val="ListParagraph"/>
              <w:numPr>
                <w:ilvl w:val="0"/>
                <w:numId w:val="2"/>
              </w:numPr>
              <w:spacing w:after="30" w:before="30"/>
            </w:pPr>
            <w:r>
              <w:rPr>
                <w:rFonts w:ascii="Arial" w:cs="Arial" w:eastAsia="Arial" w:hAnsi="Arial"/>
                <w:sz w:val="17"/>
                <w:szCs w:val="17"/>
              </w:rPr>
              <w:t xml:space="preserve">Renal: Renal ultrasound + creatinine/BUN at diagnosis and annually. Nephronophthisis (NPHP1 deletion most common) typically presents in adolescence with polyuria/polydipsia and progressive CKD.</w:t>
            </w:r>
          </w:p>
          <w:p>
            <w:pPr>
              <w:pStyle w:val="ListParagraph"/>
              <w:numPr>
                <w:ilvl w:val="0"/>
                <w:numId w:val="2"/>
              </w:numPr>
              <w:spacing w:after="30" w:before="30"/>
            </w:pPr>
            <w:r>
              <w:rPr>
                <w:rFonts w:ascii="Arial" w:cs="Arial" w:eastAsia="Arial" w:hAnsi="Arial"/>
                <w:sz w:val="17"/>
                <w:szCs w:val="17"/>
              </w:rPr>
              <w:t xml:space="preserve">Liver: LFTs + abdominal ultrasound at diagnosis. TMEM67 mutations → COACH syndrome (Coloboma, Oligophrenia, Ataxia, Cerebellar vermis hypoplasia, Hepatic fibrosis).</w:t>
            </w:r>
          </w:p>
          <w:p>
            <w:pPr>
              <w:pStyle w:val="ListParagraph"/>
              <w:numPr>
                <w:ilvl w:val="0"/>
                <w:numId w:val="2"/>
              </w:numPr>
              <w:spacing w:after="30" w:before="30"/>
            </w:pPr>
            <w:r>
              <w:rPr>
                <w:rFonts w:ascii="Arial" w:cs="Arial" w:eastAsia="Arial" w:hAnsi="Arial"/>
                <w:sz w:val="17"/>
                <w:szCs w:val="17"/>
              </w:rPr>
              <w:t xml:space="preserve">Breathing: Neonatal breathing dysregulation (episodic hyperpnea alternating with apnea) is pathognomonic when present but may be subtle. Pulse oximetry monitoring in neonatal period. Usually improves with age.</w:t>
            </w:r>
          </w:p>
          <w:p>
            <w:pPr>
              <w:pStyle w:val="ListParagraph"/>
              <w:numPr>
                <w:ilvl w:val="0"/>
                <w:numId w:val="2"/>
              </w:numPr>
              <w:spacing w:after="30" w:before="30"/>
            </w:pPr>
            <w:r>
              <w:rPr>
                <w:rFonts w:ascii="Arial" w:cs="Arial" w:eastAsia="Arial" w:hAnsi="Arial"/>
                <w:sz w:val="17"/>
                <w:szCs w:val="17"/>
              </w:rPr>
              <w:t xml:space="preserve">Genetics: Send comprehensive JSRD panel (40+ genes) or WES. Single-gene sequencing is low yield. Prenatal diagnosis and genetic counseling for future pregnancies.</w:t>
            </w:r>
          </w:p>
        </w:tc>
      </w:tr>
    </w:tbl>
    <w:p>
      <w:r>
        <w:rPr>
          <w:sz w:val="10"/>
          <w:szCs w:val="10"/>
        </w:rPr>
        <w:t xml:space="preserve"/>
      </w:r>
    </w:p>
    <w:p>
      <w:pPr>
        <w:pBdr>
          <w:bottom w:val="single" w:color="2E5FA3" w:sz="6" w:space="1"/>
        </w:pBdr>
        <w:spacing w:after="160" w:before="160"/>
      </w:pPr>
      <w:r>
        <w:t xml:space="preserve"/>
      </w:r>
    </w:p>
    <w:p>
      <w:pPr>
        <w:pStyle w:val="Heading1"/>
        <w:spacing w:after="140" w:before="320"/>
      </w:pPr>
      <w:r>
        <w:rPr>
          <w:rFonts w:ascii="Arial" w:cs="Arial" w:eastAsia="Arial" w:hAnsi="Arial"/>
          <w:b/>
          <w:bCs/>
          <w:color w:val="1F3864"/>
          <w:sz w:val="30"/>
          <w:szCs w:val="30"/>
        </w:rPr>
        <w:t xml:space="preserve">6. Craniosynostosis</w:t>
      </w:r>
    </w:p>
    <w:p>
      <w:pPr>
        <w:spacing w:after="60" w:before="60"/>
      </w:pPr>
      <w:r>
        <w:rPr>
          <w:rFonts w:ascii="Arial" w:cs="Arial" w:eastAsia="Arial" w:hAnsi="Arial"/>
          <w:sz w:val="18"/>
          <w:szCs w:val="18"/>
        </w:rPr>
        <w:t xml:space="preserve">Craniosynostosis — premature fusion of one or more cranial sutures — produces characteristic head shape abnormalities and carries risk of elevated intracranial pressure, especially in multi-suture and syndromic forms. The majority of syndromic craniosynostoses involve gain-of-function mutations in </w:t>
      </w:r>
      <w:r>
        <w:rPr>
          <w:rFonts w:ascii="Arial" w:cs="Arial" w:eastAsia="Arial" w:hAnsi="Arial"/>
          <w:b/>
          <w:bCs/>
          <w:sz w:val="18"/>
          <w:szCs w:val="18"/>
        </w:rPr>
        <w:t xml:space="preserve">FGFR1, FGFR2, or FGFR3</w:t>
      </w:r>
      <w:r>
        <w:rPr>
          <w:rFonts w:ascii="Arial" w:cs="Arial" w:eastAsia="Arial" w:hAnsi="Arial"/>
          <w:sz w:val="18"/>
          <w:szCs w:val="18"/>
        </w:rPr>
        <w:t xml:space="preserve"> (fibroblast growth factor receptors), with downstream effects on cranial suture ossification timing. The child neurology resident's primary roles are: (1) distinguish craniosynostosis from deformational plagiocephaly; (2) recognize signs of elevated ICP; (3) be aware of associated CNS anomalies in syndromic forms.</w:t>
      </w:r>
    </w:p>
    <w:p>
      <w:r>
        <w:rPr>
          <w:sz w:val="10"/>
          <w:szCs w:val="10"/>
        </w:rPr>
        <w:t xml:space="preserve"/>
      </w:r>
    </w:p>
    <w:p>
      <w:pPr>
        <w:spacing w:after="60" w:before="100"/>
      </w:pPr>
      <w:r>
        <w:rPr>
          <w:rFonts w:ascii="Arial" w:cs="Arial" w:eastAsia="Arial" w:hAnsi="Arial"/>
          <w:b/>
          <w:bCs/>
          <w:i/>
          <w:iCs/>
          <w:color w:val="6D2B2B"/>
          <w:sz w:val="19"/>
          <w:szCs w:val="19"/>
        </w:rPr>
        <w:t xml:space="preserve">Table 6. Syndromic Craniosynostosis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600"/>
        <w:gridCol w:w="1660"/>
        <w:gridCol w:w="3500"/>
      </w:tblGrid>
      <w:tr>
        <w:trPr>
          <w:tblHeader/>
        </w:trPr>
        <w:tc>
          <w:tcPr>
            <w:tcW w:type="dxa" w:w="1500"/>
            <w:gridSpan w:val="1"/>
            <w:tcBorders>
              <w:top w:val="single" w:color="AAAAAA" w:sz="4"/>
              <w:left w:val="single" w:color="AAAAAA" w:sz="4"/>
              <w:bottom w:val="single" w:color="AAAAAA" w:sz="4"/>
              <w:right w:val="single" w:color="AAAAAA" w:sz="4"/>
            </w:tcBorders>
            <w:shd w:fill="6D2B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SYNDROME</w:t>
            </w:r>
          </w:p>
        </w:tc>
        <w:tc>
          <w:tcPr>
            <w:tcW w:type="dxa" w:w="1100"/>
            <w:gridSpan w:val="1"/>
            <w:tcBorders>
              <w:top w:val="single" w:color="AAAAAA" w:sz="4"/>
              <w:left w:val="single" w:color="AAAAAA" w:sz="4"/>
              <w:bottom w:val="single" w:color="AAAAAA" w:sz="4"/>
              <w:right w:val="single" w:color="AAAAAA" w:sz="4"/>
            </w:tcBorders>
            <w:shd w:fill="6D2B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GENE / PATHWAY</w:t>
            </w:r>
          </w:p>
        </w:tc>
        <w:tc>
          <w:tcPr>
            <w:tcW w:type="dxa" w:w="1600"/>
            <w:gridSpan w:val="1"/>
            <w:tcBorders>
              <w:top w:val="single" w:color="AAAAAA" w:sz="4"/>
              <w:left w:val="single" w:color="AAAAAA" w:sz="4"/>
              <w:bottom w:val="single" w:color="AAAAAA" w:sz="4"/>
              <w:right w:val="single" w:color="AAAAAA" w:sz="4"/>
            </w:tcBorders>
            <w:shd w:fill="6D2B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SUTURES FUSED</w:t>
            </w:r>
          </w:p>
        </w:tc>
        <w:tc>
          <w:tcPr>
            <w:tcW w:type="dxa" w:w="1660"/>
            <w:gridSpan w:val="1"/>
            <w:tcBorders>
              <w:top w:val="single" w:color="AAAAAA" w:sz="4"/>
              <w:left w:val="single" w:color="AAAAAA" w:sz="4"/>
              <w:bottom w:val="single" w:color="AAAAAA" w:sz="4"/>
              <w:right w:val="single" w:color="AAAAAA" w:sz="4"/>
            </w:tcBorders>
            <w:shd w:fill="6D2B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HEAD SHAPE</w:t>
            </w:r>
          </w:p>
        </w:tc>
        <w:tc>
          <w:tcPr>
            <w:tcW w:type="dxa" w:w="3500"/>
            <w:gridSpan w:val="1"/>
            <w:tcBorders>
              <w:top w:val="single" w:color="AAAAAA" w:sz="4"/>
              <w:left w:val="single" w:color="AAAAAA" w:sz="4"/>
              <w:bottom w:val="single" w:color="AAAAAA" w:sz="4"/>
              <w:right w:val="single" w:color="AAAAAA" w:sz="4"/>
            </w:tcBorders>
            <w:shd w:fill="6D2B2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FFFFFF"/>
                <w:sz w:val="17"/>
                <w:szCs w:val="17"/>
              </w:rPr>
              <w:t xml:space="preserve">ASSOCIATED FEATURES / NEUROLOGY PEARLS</w:t>
            </w:r>
          </w:p>
        </w:tc>
      </w:tr>
      <w:tr>
        <w:tc>
          <w:tcPr>
            <w:tcW w:type="dxa" w:w="15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Non-syndromic (isolated)</w:t>
            </w:r>
          </w:p>
        </w:tc>
        <w:tc>
          <w:tcPr>
            <w:tcW w:type="dxa" w:w="11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Variable; TWIST1, EFNB1 in some</w:t>
            </w:r>
          </w:p>
        </w:tc>
        <w:tc>
          <w:tcPr>
            <w:tcW w:type="dxa" w:w="16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Single suture most common: sagittal (scaphocephaly, ~50%), coronal (plagiocephaly), metopic (trigonocephaly), lambdoid</w:t>
            </w:r>
          </w:p>
        </w:tc>
        <w:tc>
          <w:tcPr>
            <w:tcW w:type="dxa" w:w="166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Scaphocephaly (sagittal); anterior plagiocephaly (coronal); trigonocephaly (metopic); posterior plagiocephaly (lambdoid — distinguish from deformational)</w:t>
            </w:r>
          </w:p>
        </w:tc>
        <w:tc>
          <w:tcPr>
            <w:tcW w:type="dxa" w:w="35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Most isolated single-suture synostosis: normal neurodevelopment. Elevated ICP more common in multi-suture. Neurology role: distinguish craniosynostosis from positional plagiocephaly (no suture fusion, no ICP risk). Signs of raised ICP: papilledema, sun-setting, behavioral change, headache.</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Apert syndrome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FGFR2 p.Ser252Trp or p.Pro253Arg (gain-of-function)</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Bicoronal (brachycephaly); may involve other sutures</w:t>
            </w:r>
          </w:p>
        </w:tc>
        <w:tc>
          <w:tcPr>
            <w:tcW w:type="dxa" w:w="1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Brachycephaly; turribrachycephaly; midface hypoplasia; hypertelorism</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Complex syndactyly hands/feet (pathognomonic — 'mitten hands'); choanal atresia; cleft palate; intellectual disability (variable; ~50% moderate-severe); ACC and other CNS anomalies in ~10%. One of the more severe craniosynostosis syndromes neurologically. De novo in most.</w:t>
            </w:r>
          </w:p>
        </w:tc>
      </w:tr>
      <w:tr>
        <w:tc>
          <w:tcPr>
            <w:tcW w:type="dxa" w:w="15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Crouzon syndrome</w:t>
            </w:r>
          </w:p>
        </w:tc>
        <w:tc>
          <w:tcPr>
            <w:tcW w:type="dxa" w:w="11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FGFR2 (many variants); rarely FGFR3</w:t>
            </w:r>
          </w:p>
        </w:tc>
        <w:tc>
          <w:tcPr>
            <w:tcW w:type="dxa" w:w="16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Multi-suture (bicoronal most common); variable</w:t>
            </w:r>
          </w:p>
        </w:tc>
        <w:tc>
          <w:tcPr>
            <w:tcW w:type="dxa" w:w="166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Brachycephaly; midface hypoplasia; exorbitism (proptosis); beaked nose</w:t>
            </w:r>
          </w:p>
        </w:tc>
        <w:tc>
          <w:tcPr>
            <w:tcW w:type="dxa" w:w="35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Normal intelligence in most (key distinction from Apert). Risk of elevated ICP, obstructive sleep apnea (midface hypoplasia), Chiari I (cervical spine anomalies). Autosomal dominant — high penetrance, variable expressivity. Ophthalmology follow-up essential.</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Muenke syndrome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FGFR3 p.Pro250Arg (single recurrent mutation — most common syndromic craniosynostosis)</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Unicoronal or bicoronal; occasionally coronal variant without synostosis</w:t>
            </w:r>
          </w:p>
        </w:tc>
        <w:tc>
          <w:tcPr>
            <w:tcW w:type="dxa" w:w="1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Anterior plagiocephaly (unicoronal); brachycephaly (bicoronal)</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Most common syndromic craniosynostosis. Variable expressivity — same mutation causes unicoronal synostosis in one family member, learning disability without synostosis in another. Sensorineural hearing loss (~30%). Mild developmental delay in some. Autosomal dominant. Distinguish from non-syndromic coronal synostosis by FGFR3 testing.</w:t>
            </w:r>
          </w:p>
        </w:tc>
      </w:tr>
      <w:tr>
        <w:tc>
          <w:tcPr>
            <w:tcW w:type="dxa" w:w="15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Pfeiffer syndrome</w:t>
            </w:r>
          </w:p>
        </w:tc>
        <w:tc>
          <w:tcPr>
            <w:tcW w:type="dxa" w:w="11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FGFR1 p.Pro252Arg (type 1); FGFR2 (types 2/3)</w:t>
            </w:r>
          </w:p>
        </w:tc>
        <w:tc>
          <w:tcPr>
            <w:tcW w:type="dxa" w:w="16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Multi-suture; bicoronal predominant</w:t>
            </w:r>
          </w:p>
        </w:tc>
        <w:tc>
          <w:tcPr>
            <w:tcW w:type="dxa" w:w="166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Brachycephaly; turribrachycephaly (severe forms); Kleeblattschädel (cloverleaf skull) in type 2/3</w:t>
            </w:r>
          </w:p>
        </w:tc>
        <w:tc>
          <w:tcPr>
            <w:tcW w:type="dxa" w:w="3500"/>
            <w:gridSpan w:val="1"/>
            <w:tcBorders>
              <w:top w:val="single" w:color="AAAAAA" w:sz="4"/>
              <w:left w:val="single" w:color="AAAAAA" w:sz="4"/>
              <w:bottom w:val="single" w:color="AAAAAA" w:sz="4"/>
              <w:right w:val="single" w:color="AAAAAA" w:sz="4"/>
            </w:tcBorders>
            <w:shd w:fill="F9EBEB"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Broad thumbs/toes (pathognomonic). Type 1 (FGFR1): mild, normal intelligence. Types 2/3 (FGFR2): severe — cloverleaf skull, proptosis, airway compromise, hydrocephalus, significant intellectual disability. Chiari I/II association in severe forms. Neurosurgical and multidisciplinary craniofacial team management.</w:t>
            </w:r>
          </w:p>
        </w:tc>
      </w:tr>
      <w:tr>
        <w:tc>
          <w:tcPr>
            <w:tcW w:type="dxa" w:w="1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bCs/>
                <w:i w:val="false"/>
                <w:iCs w:val="false"/>
                <w:color w:val="000000"/>
                <w:sz w:val="15"/>
                <w:szCs w:val="15"/>
              </w:rPr>
              <w:t xml:space="preserve">Carpenter syndrome</w:t>
            </w:r>
          </w:p>
        </w:tc>
        <w:tc>
          <w:tcPr>
            <w:tcW w:type="dxa" w:w="11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iCs/>
                <w:color w:val="000000"/>
                <w:sz w:val="15"/>
                <w:szCs w:val="15"/>
              </w:rPr>
              <w:t xml:space="preserve">RAB23 (most); MEGF8</w:t>
            </w:r>
          </w:p>
        </w:tc>
        <w:tc>
          <w:tcPr>
            <w:tcW w:type="dxa" w:w="16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Multi-suture</w:t>
            </w:r>
          </w:p>
        </w:tc>
        <w:tc>
          <w:tcPr>
            <w:tcW w:type="dxa" w:w="166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Acrocephaly; variable</w:t>
            </w:r>
          </w:p>
        </w:tc>
        <w:tc>
          <w:tcPr>
            <w:tcW w:type="dxa" w:w="3500"/>
            <w:gridSpan w:val="1"/>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40" w:before="40"/>
              <w:jc w:val="left"/>
            </w:pPr>
            <w:r>
              <w:rPr>
                <w:rFonts w:ascii="Arial" w:cs="Arial" w:eastAsia="Arial" w:hAnsi="Arial"/>
                <w:b w:val="false"/>
                <w:bCs w:val="false"/>
                <w:i w:val="false"/>
                <w:iCs w:val="false"/>
                <w:color w:val="000000"/>
                <w:sz w:val="15"/>
                <w:szCs w:val="15"/>
              </w:rPr>
              <w:t xml:space="preserve">Poly/syndactyly; obesity; hypogonadism; intellectual disability (variable). CNS anomalies including ACC. Autosomal recessive — unlike most other syndromic craniosynostoses. Rare.</w:t>
            </w:r>
          </w:p>
        </w:tc>
      </w:tr>
    </w:tbl>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B2B" w:sz="10"/>
              <w:left w:val="single" w:color="6D2B2B" w:sz="10"/>
              <w:bottom w:val="single" w:color="6D2B2B" w:sz="10"/>
              <w:right w:val="single" w:color="6D2B2B" w:sz="10"/>
            </w:tcBorders>
            <w:shd w:fill="F9EBEB" w:val="clear"/>
            <w:tcMar>
              <w:top w:type="dxa" w:w="100"/>
              <w:left w:type="dxa" w:w="160"/>
              <w:bottom w:type="dxa" w:w="100"/>
              <w:right w:type="dxa" w:w="160"/>
            </w:tcMar>
          </w:tcPr>
          <w:p>
            <w:pPr>
              <w:spacing w:after="80" w:before="0"/>
            </w:pPr>
            <w:r>
              <w:rPr>
                <w:rFonts w:ascii="Arial" w:cs="Arial" w:eastAsia="Arial" w:hAnsi="Arial"/>
                <w:b/>
                <w:bCs/>
                <w:color w:val="6D2B2B"/>
                <w:sz w:val="20"/>
                <w:szCs w:val="20"/>
              </w:rPr>
              <w:t xml:space="preserve">Craniosynostosis — Neurology Pearls</w:t>
            </w:r>
          </w:p>
          <w:p>
            <w:pPr>
              <w:pStyle w:val="ListParagraph"/>
              <w:numPr>
                <w:ilvl w:val="0"/>
                <w:numId w:val="2"/>
              </w:numPr>
              <w:spacing w:after="30" w:before="30"/>
            </w:pPr>
            <w:r>
              <w:rPr>
                <w:rFonts w:ascii="Arial" w:cs="Arial" w:eastAsia="Arial" w:hAnsi="Arial"/>
                <w:sz w:val="17"/>
                <w:szCs w:val="17"/>
              </w:rPr>
              <w:t xml:space="preserve">Deformational vs. synostotic plagiocephaly: deformational posterior plagiocephaly (positional) is common (no suture fusion, no ICP risk, parallelogram-shaped head, ipsilateral ear anterior); lambdoid synostosis is rare (trapezoid head, ipsilateral ear posterior, mastoid bulge, palpable ridge). The distinction matters — deformational requires repositioning/helmet, not surgery.</w:t>
            </w:r>
          </w:p>
          <w:p>
            <w:pPr>
              <w:pStyle w:val="ListParagraph"/>
              <w:numPr>
                <w:ilvl w:val="0"/>
                <w:numId w:val="2"/>
              </w:numPr>
              <w:spacing w:after="30" w:before="30"/>
            </w:pPr>
            <w:r>
              <w:rPr>
                <w:rFonts w:ascii="Arial" w:cs="Arial" w:eastAsia="Arial" w:hAnsi="Arial"/>
                <w:sz w:val="17"/>
                <w:szCs w:val="17"/>
              </w:rPr>
              <w:t xml:space="preserve">Elevated ICP signs in craniosynostosis: papilledema (requires formal ophthalmologic exam), sun-setting gaze, behavioral change, headache, nausea/vomiting, accelerating head growth. All children with multi-suture synostosis should have ophthalmologic screening.</w:t>
            </w:r>
          </w:p>
          <w:p>
            <w:pPr>
              <w:pStyle w:val="ListParagraph"/>
              <w:numPr>
                <w:ilvl w:val="0"/>
                <w:numId w:val="2"/>
              </w:numPr>
              <w:spacing w:after="30" w:before="30"/>
            </w:pPr>
            <w:r>
              <w:rPr>
                <w:rFonts w:ascii="Arial" w:cs="Arial" w:eastAsia="Arial" w:hAnsi="Arial"/>
                <w:sz w:val="17"/>
                <w:szCs w:val="17"/>
              </w:rPr>
              <w:t xml:space="preserve">Chiari I association: seen in Crouzon, Pfeiffer, and other FGFR-related syndromes — likely due to posterior fossa underdevelopment. Screen with MRI.</w:t>
            </w:r>
          </w:p>
          <w:p>
            <w:pPr>
              <w:pStyle w:val="ListParagraph"/>
              <w:numPr>
                <w:ilvl w:val="0"/>
                <w:numId w:val="2"/>
              </w:numPr>
              <w:spacing w:after="30" w:before="30"/>
            </w:pPr>
            <w:r>
              <w:rPr>
                <w:rFonts w:ascii="Arial" w:cs="Arial" w:eastAsia="Arial" w:hAnsi="Arial"/>
                <w:sz w:val="17"/>
                <w:szCs w:val="17"/>
              </w:rPr>
              <w:t xml:space="preserve">Muenke syndrome: FGFR3 p.Pro250Arg is a single recurrent mutation worth knowing — it is the most common single-gene cause of syndromic craniosynostosis. SNHL in ~30% warrants audiology referral.</w:t>
            </w:r>
          </w:p>
        </w:tc>
      </w:tr>
    </w:tbl>
    <w:p>
      <w:r>
        <w:rPr>
          <w:sz w:val="10"/>
          <w:szCs w:val="10"/>
        </w:rPr>
        <w:t xml:space="preserve"/>
      </w:r>
    </w:p>
    <w:p>
      <w:r>
        <w:rPr>
          <w:sz w:val="10"/>
          <w:szCs w:val="10"/>
        </w:rPr>
        <w:t xml:space="preserve"/>
      </w:r>
    </w:p>
    <w:p>
      <w:pPr>
        <w:pBdr>
          <w:top w:val="single" w:color="AAAAAA" w:sz="4" w:space="6"/>
        </w:pBdr>
        <w:spacing w:after="60" w:before="120"/>
      </w:pPr>
      <w:r>
        <w:rPr>
          <w:rFonts w:ascii="Arial" w:cs="Arial" w:eastAsia="Arial" w:hAnsi="Arial"/>
          <w:i/>
          <w:iCs/>
          <w:color w:val="888888"/>
          <w:sz w:val="16"/>
          <w:szCs w:val="16"/>
        </w:rPr>
        <w:t xml:space="preserve">Child Neurology Residency Manual  |  Brain Development and Malformations  |  PGY-3/4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Jc w:val="left"/>
      <w:pPr>
        <w:ind w:left="560" w:hanging="280"/>
      </w:p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2026-03-08T03:18:39.451Z</dcterms:created>
  <dcterms:modified xsi:type="dcterms:W3CDTF">2026-03-08T03:18:39.452Z</dcterms:modified>
</cp:coreProperties>
</file>

<file path=docProps/custom.xml><?xml version="1.0" encoding="utf-8"?>
<Properties xmlns="http://schemas.openxmlformats.org/officeDocument/2006/custom-properties" xmlns:vt="http://schemas.openxmlformats.org/officeDocument/2006/docPropsVTypes"/>
</file>