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40"/>
          <w:szCs w:val="40"/>
        </w:rPr>
        <w:t xml:space="preserve">Cerebral Palsy</w:t>
      </w:r>
    </w:p>
    <w:p>
      <w:pPr>
        <w:spacing w:after="40" w:before="0"/>
      </w:pPr>
      <w:r>
        <w:rPr>
          <w:rFonts w:ascii="Arial" w:cs="Arial" w:eastAsia="Arial" w:hAnsi="Arial"/>
          <w:i/>
          <w:iCs/>
          <w:color w:val="666666"/>
          <w:sz w:val="20"/>
          <w:szCs w:val="20"/>
        </w:rPr>
        <w:t xml:space="preserve">Child Neurology Residency Manual  |  PGY-3/4 Reference</w:t>
      </w:r>
    </w:p>
    <w:p>
      <w:pPr>
        <w:pBdr>
          <w:bottom w:val="single" w:color="2E5FA3" w:sz="6" w:space="1"/>
        </w:pBdr>
        <w:spacing w:after="160" w:before="160"/>
      </w:pPr>
      <w:r>
        <w:t xml:space="preserve"/>
      </w:r>
    </w:p>
    <w:p>
      <w:pPr>
        <w:pStyle w:val="Heading1"/>
        <w:spacing w:after="140" w:before="320"/>
      </w:pPr>
      <w:r>
        <w:rPr>
          <w:rFonts w:ascii="Arial" w:cs="Arial" w:eastAsia="Arial" w:hAnsi="Arial"/>
          <w:b/>
          <w:bCs/>
          <w:color w:val="1F3864"/>
          <w:sz w:val="30"/>
          <w:szCs w:val="30"/>
        </w:rPr>
        <w:t xml:space="preserve">1. Definition and Conceptual Framework</w:t>
      </w:r>
    </w:p>
    <w:p>
      <w:pPr>
        <w:spacing w:after="60" w:before="60"/>
      </w:pPr>
      <w:r>
        <w:rPr>
          <w:rFonts w:ascii="Arial" w:cs="Arial" w:eastAsia="Arial" w:hAnsi="Arial"/>
          <w:sz w:val="18"/>
          <w:szCs w:val="18"/>
        </w:rPr>
        <w:t xml:space="preserve">The current consensus definition of CP (Rosenbaum et al., 2007) is: </w:t>
      </w:r>
      <w:r>
        <w:rPr>
          <w:rFonts w:ascii="Arial" w:cs="Arial" w:eastAsia="Arial" w:hAnsi="Arial"/>
          <w:b/>
          <w:bCs/>
          <w:i/>
          <w:iCs/>
          <w:sz w:val="18"/>
          <w:szCs w:val="18"/>
        </w:rPr>
        <w:t xml:space="preserve">"Cerebral palsy describes a group of permanent disorders of the development of movement and posture, causing activity limitation, that are attributed to non-progressive disturbances that occurred in the developing fetal or infant brain."</w:t>
      </w:r>
      <w:r>
        <w:rPr>
          <w:rFonts w:ascii="Arial" w:cs="Arial" w:eastAsia="Arial" w:hAnsi="Arial"/>
          <w:sz w:val="18"/>
          <w:szCs w:val="18"/>
        </w:rPr>
        <w:t xml:space="preserve"> The motor disorders of CP are often accompanied by disturbances of sensation, perception, cognition, communication, and behaviour, by epilepsy, and by secondary musculoskeletal problems.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0"/>
              <w:left w:val="single" w:color="2E5FA3" w:sz="10"/>
              <w:bottom w:val="single" w:color="2E5FA3" w:sz="10"/>
              <w:right w:val="single" w:color="2E5FA3" w:sz="10"/>
            </w:tcBorders>
            <w:shd w:fill="EBF3FB" w:val="clear"/>
            <w:tcMar>
              <w:top w:type="dxa" w:w="100"/>
              <w:left w:type="dxa" w:w="160"/>
              <w:bottom w:type="dxa" w:w="100"/>
              <w:right w:type="dxa" w:w="160"/>
            </w:tcMar>
          </w:tcPr>
          <w:p>
            <w:pPr>
              <w:spacing w:after="80" w:before="0"/>
            </w:pPr>
            <w:r>
              <w:rPr>
                <w:rFonts w:ascii="Arial" w:cs="Arial" w:eastAsia="Arial" w:hAnsi="Arial"/>
                <w:b/>
                <w:bCs/>
                <w:color w:val="2E5FA3"/>
                <w:sz w:val="20"/>
                <w:szCs w:val="20"/>
              </w:rPr>
              <w:t xml:space="preserve">CP Is a Clinical Description, Not an Etiological Diagnosis — This Matters</w:t>
            </w:r>
          </w:p>
          <w:p>
            <w:pPr>
              <w:pStyle w:val="ListParagraph"/>
              <w:numPr>
                <w:ilvl w:val="0"/>
                <w:numId w:val="2"/>
              </w:numPr>
              <w:spacing w:after="30" w:before="30"/>
            </w:pPr>
            <w:r>
              <w:rPr>
                <w:rFonts w:ascii="Arial" w:cs="Arial" w:eastAsia="Arial" w:hAnsi="Arial"/>
                <w:sz w:val="17"/>
                <w:szCs w:val="17"/>
              </w:rPr>
              <w:t xml:space="preserve">The 2007 definition deliberately frames CP as a clinical descriptor, not a disease entity with a single cause. This was a paradigm shift from earlier frameworks that treated CP as a unified diagnosis.</w:t>
            </w:r>
          </w:p>
          <w:p>
            <w:pPr>
              <w:pStyle w:val="ListParagraph"/>
              <w:numPr>
                <w:ilvl w:val="0"/>
                <w:numId w:val="2"/>
              </w:numPr>
              <w:spacing w:after="30" w:before="30"/>
            </w:pPr>
            <w:r>
              <w:rPr>
                <w:rFonts w:ascii="Arial" w:cs="Arial" w:eastAsia="Arial" w:hAnsi="Arial"/>
                <w:sz w:val="17"/>
                <w:szCs w:val="17"/>
              </w:rPr>
              <w:t xml:space="preserve">Receiving a CP label should always prompt the question: WHY does this child have CP? The etiology is not established by the clinical diagnosis alone.</w:t>
            </w:r>
          </w:p>
          <w:p>
            <w:pPr>
              <w:pStyle w:val="ListParagraph"/>
              <w:numPr>
                <w:ilvl w:val="0"/>
                <w:numId w:val="2"/>
              </w:numPr>
              <w:spacing w:after="30" w:before="30"/>
            </w:pPr>
            <w:r>
              <w:rPr>
                <w:rFonts w:ascii="Arial" w:cs="Arial" w:eastAsia="Arial" w:hAnsi="Arial"/>
                <w:sz w:val="17"/>
                <w:szCs w:val="17"/>
              </w:rPr>
              <w:t xml:space="preserve">Etiological workup is not optional. MRI, and in many cases genetic testing, is part of the standard of care evaluation for CP — not something done only when the diagnosis is in doubt.</w:t>
            </w:r>
          </w:p>
          <w:p>
            <w:pPr>
              <w:pStyle w:val="ListParagraph"/>
              <w:numPr>
                <w:ilvl w:val="0"/>
                <w:numId w:val="2"/>
              </w:numPr>
              <w:spacing w:after="30" w:before="30"/>
            </w:pPr>
            <w:r>
              <w:rPr>
                <w:rFonts w:ascii="Arial" w:cs="Arial" w:eastAsia="Arial" w:hAnsi="Arial"/>
                <w:sz w:val="17"/>
                <w:szCs w:val="17"/>
              </w:rPr>
              <w:t xml:space="preserve">The clinical utility of establishing an etiology: (1) recurrence risk counseling; (2) identification of treatable mimickers; (3) prognosis refinement; (4) targeted therapy (e.g., mTOR inhibitors in TSC-related spasticity); (5) access to condition-specific resources and research.</w:t>
            </w:r>
          </w:p>
          <w:p>
            <w:pPr>
              <w:pStyle w:val="ListParagraph"/>
              <w:numPr>
                <w:ilvl w:val="0"/>
                <w:numId w:val="2"/>
              </w:numPr>
              <w:spacing w:after="30" w:before="30"/>
            </w:pPr>
            <w:r>
              <w:rPr>
                <w:rFonts w:ascii="Arial" w:cs="Arial" w:eastAsia="Arial" w:hAnsi="Arial"/>
                <w:sz w:val="17"/>
                <w:szCs w:val="17"/>
              </w:rPr>
              <w:t xml:space="preserve">A normal MRI in a child with apparent CP is not reassuring — it is a red flag that should prompt reconsideration of the diagnosis and formal neurogenetic evaluation.</w:t>
            </w:r>
          </w:p>
        </w:tc>
      </w:tr>
    </w:tbl>
    <w:p>
      <w:r>
        <w:rPr>
          <w:sz w:val="10"/>
          <w:szCs w:val="10"/>
        </w:rPr>
        <w:t xml:space="preserve"/>
      </w:r>
    </w:p>
    <w:p>
      <w:pPr>
        <w:pStyle w:val="Heading2"/>
        <w:spacing w:after="100" w:before="220"/>
      </w:pPr>
      <w:r>
        <w:rPr>
          <w:rFonts w:ascii="Arial" w:cs="Arial" w:eastAsia="Arial" w:hAnsi="Arial"/>
          <w:b/>
          <w:bCs/>
          <w:color w:val="2E5FA3"/>
          <w:sz w:val="22"/>
          <w:szCs w:val="22"/>
        </w:rPr>
        <w:t xml:space="preserve">Key Definitional Features</w:t>
      </w:r>
    </w:p>
    <w:p>
      <w:pPr>
        <w:spacing w:after="60" w:before="60"/>
      </w:pPr>
      <w:r>
        <w:rPr>
          <w:rFonts w:ascii="Arial" w:cs="Arial" w:eastAsia="Arial" w:hAnsi="Arial"/>
          <w:b/>
          <w:bCs/>
          <w:sz w:val="18"/>
          <w:szCs w:val="18"/>
        </w:rPr>
        <w:t xml:space="preserve">Non-progressive: </w:t>
      </w:r>
      <w:r>
        <w:rPr>
          <w:rFonts w:ascii="Arial" w:cs="Arial" w:eastAsia="Arial" w:hAnsi="Arial"/>
          <w:sz w:val="18"/>
          <w:szCs w:val="18"/>
        </w:rPr>
        <w:t xml:space="preserve">The brain injury is static. Motor function may improve with development, therapy, and intervention, and may worsen with aging, musculoskeletal complications, or fatigue — but the underlying neurological lesion does not progress. </w:t>
      </w:r>
      <w:r>
        <w:rPr>
          <w:rFonts w:ascii="Arial" w:cs="Arial" w:eastAsia="Arial" w:hAnsi="Arial"/>
          <w:b/>
          <w:bCs/>
          <w:color w:val="C00000"/>
          <w:sz w:val="18"/>
          <w:szCs w:val="18"/>
        </w:rPr>
        <w:t xml:space="preserve">Any child with CP who is losing motor skills must be re-evaluated for a progressive disorder.</w:t>
      </w:r>
    </w:p>
    <w:p>
      <w:r>
        <w:rPr>
          <w:sz w:val="10"/>
          <w:szCs w:val="10"/>
        </w:rPr>
        <w:t xml:space="preserve"/>
      </w:r>
    </w:p>
    <w:p>
      <w:pPr>
        <w:spacing w:after="60" w:before="60"/>
      </w:pPr>
      <w:r>
        <w:rPr>
          <w:rFonts w:ascii="Arial" w:cs="Arial" w:eastAsia="Arial" w:hAnsi="Arial"/>
          <w:b/>
          <w:bCs/>
          <w:sz w:val="18"/>
          <w:szCs w:val="18"/>
        </w:rPr>
        <w:t xml:space="preserve">Developing brain: </w:t>
      </w:r>
      <w:r>
        <w:rPr>
          <w:rFonts w:ascii="Arial" w:cs="Arial" w:eastAsia="Arial" w:hAnsi="Arial"/>
          <w:sz w:val="18"/>
          <w:szCs w:val="18"/>
        </w:rPr>
        <w:t xml:space="preserve">The injury occurs in the fetal or infant brain (by convention, up to age 2–3 years). Acquired brain injuries after this window produce neurological deficits but are not classified as CP.</w:t>
      </w:r>
    </w:p>
    <w:p>
      <w:r>
        <w:rPr>
          <w:sz w:val="10"/>
          <w:szCs w:val="10"/>
        </w:rPr>
        <w:t xml:space="preserve"/>
      </w:r>
    </w:p>
    <w:p>
      <w:pPr>
        <w:spacing w:after="60" w:before="60"/>
      </w:pPr>
      <w:r>
        <w:rPr>
          <w:rFonts w:ascii="Arial" w:cs="Arial" w:eastAsia="Arial" w:hAnsi="Arial"/>
          <w:b/>
          <w:bCs/>
          <w:sz w:val="18"/>
          <w:szCs w:val="18"/>
        </w:rPr>
        <w:t xml:space="preserve">Etiological agnosticism: </w:t>
      </w:r>
      <w:r>
        <w:rPr>
          <w:rFonts w:ascii="Arial" w:cs="Arial" w:eastAsia="Arial" w:hAnsi="Arial"/>
          <w:sz w:val="18"/>
          <w:szCs w:val="18"/>
        </w:rPr>
        <w:t xml:space="preserve">The definition does not specify a cause. Prematurity, HIE, stroke, infection, malformation, and genetic disorders can all produce CP. The relative contribution of genetic factors to CP is increasingly recognized — up to 30% of CP cases may have a contributing genetic variant identified with modern genomic tools.</w:t>
      </w:r>
    </w:p>
    <w:p>
      <w:r>
        <w:rPr>
          <w:sz w:val="10"/>
          <w:szCs w:val="10"/>
        </w:rPr>
        <w:t xml:space="preserve"/>
      </w:r>
    </w:p>
    <w:p>
      <w:pPr>
        <w:pBdr>
          <w:bottom w:val="single" w:color="2E5FA3" w:sz="6" w:space="1"/>
        </w:pBdr>
        <w:spacing w:after="160" w:before="160"/>
      </w:pPr>
      <w:r>
        <w:t xml:space="preserve"/>
      </w:r>
    </w:p>
    <w:p>
      <w:pPr>
        <w:pStyle w:val="Heading1"/>
        <w:spacing w:after="140" w:before="320"/>
      </w:pPr>
      <w:r>
        <w:rPr>
          <w:rFonts w:ascii="Arial" w:cs="Arial" w:eastAsia="Arial" w:hAnsi="Arial"/>
          <w:b/>
          <w:bCs/>
          <w:color w:val="1F3864"/>
          <w:sz w:val="30"/>
          <w:szCs w:val="30"/>
        </w:rPr>
        <w:t xml:space="preserve">2. Classification: Subtypes and Functional Severity</w:t>
      </w:r>
    </w:p>
    <w:p>
      <w:pPr>
        <w:pStyle w:val="Heading2"/>
        <w:spacing w:after="100" w:before="220"/>
      </w:pPr>
      <w:r>
        <w:rPr>
          <w:rFonts w:ascii="Arial" w:cs="Arial" w:eastAsia="Arial" w:hAnsi="Arial"/>
          <w:b/>
          <w:bCs/>
          <w:color w:val="2E5FA3"/>
          <w:sz w:val="22"/>
          <w:szCs w:val="22"/>
        </w:rPr>
        <w:t xml:space="preserve">Motor Subtypes</w:t>
      </w:r>
    </w:p>
    <w:p>
      <w:pPr>
        <w:spacing w:after="60" w:before="60"/>
      </w:pPr>
      <w:r>
        <w:rPr>
          <w:rFonts w:ascii="Arial" w:cs="Arial" w:eastAsia="Arial" w:hAnsi="Arial"/>
          <w:sz w:val="18"/>
          <w:szCs w:val="18"/>
        </w:rPr>
        <w:t xml:space="preserve">CP is classified by the predominant motor tone/movement abnormality and topographic distribution. Correct subtype identification is clinically important because it guides treatment selection — particularly distinguishing spasticity from dystonia.</w:t>
      </w:r>
    </w:p>
    <w:p>
      <w:r>
        <w:rPr>
          <w:sz w:val="10"/>
          <w:szCs w:val="10"/>
        </w:rPr>
        <w:t xml:space="preserve"/>
      </w:r>
    </w:p>
    <w:p>
      <w:pPr>
        <w:spacing w:after="60" w:before="100"/>
      </w:pPr>
      <w:r>
        <w:rPr>
          <w:rFonts w:ascii="Arial" w:cs="Arial" w:eastAsia="Arial" w:hAnsi="Arial"/>
          <w:b/>
          <w:bCs/>
          <w:i/>
          <w:iCs/>
          <w:color w:val="2E5FA3"/>
          <w:sz w:val="19"/>
          <w:szCs w:val="19"/>
        </w:rPr>
        <w:t xml:space="preserve">Table 1. CP Motor Subtypes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800"/>
        <w:gridCol w:w="2060"/>
        <w:gridCol w:w="2400"/>
      </w:tblGrid>
      <w:tr>
        <w:trPr>
          <w:tblHeader/>
        </w:trPr>
        <w:tc>
          <w:tcPr>
            <w:tcW w:type="dxa" w:w="160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SUBTYPE</w:t>
            </w:r>
          </w:p>
        </w:tc>
        <w:tc>
          <w:tcPr>
            <w:tcW w:type="dxa" w:w="150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MOTOR TOPOGRAPHY</w:t>
            </w:r>
          </w:p>
        </w:tc>
        <w:tc>
          <w:tcPr>
            <w:tcW w:type="dxa" w:w="180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PREDOMINANT TONE/MOVEMENT</w:t>
            </w:r>
          </w:p>
        </w:tc>
        <w:tc>
          <w:tcPr>
            <w:tcW w:type="dxa" w:w="206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COMMON MRI CORRELATES</w:t>
            </w:r>
          </w:p>
        </w:tc>
        <w:tc>
          <w:tcPr>
            <w:tcW w:type="dxa" w:w="240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CLINICAL PEARLS</w:t>
            </w:r>
          </w:p>
        </w:tc>
      </w:tr>
      <w:tr>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Spastic CP
(~80% of CP)</w:t>
            </w:r>
          </w:p>
        </w:tc>
        <w:tc>
          <w:tcPr>
            <w:tcW w:type="dxa" w:w="15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Diplegia (LE &gt; UE); hemiplegia (unilateral); quadriplegia/bilateral</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Spasticity (velocity-dependent increased tone); hyperreflexia; clonus; Babinski; scissoring gait (diplegia); circumduction (hemiplegia)</w:t>
            </w:r>
          </w:p>
        </w:tc>
        <w:tc>
          <w:tcPr>
            <w:tcW w:type="dxa" w:w="20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Diplegia: periventricular WM injury (PVL) — preterm. Hemiplegia: focal cortical/subcortical lesion, MCA infarct, periventricular injury. Quadriplegia: diffuse cortical injury, HIE central pattern, malformation.</w:t>
            </w:r>
          </w:p>
        </w:tc>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Diplegia most common in prematurity — PVL disrupts periventricular fibers to LE. Hemiplegia: ~50% term, ~50% preterm; important to image to exclude structural cause or mimicker. Quadriplegia: worst functional prognosis; highest comorbidity burden.</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Dyskinetic CP
(~15% of CP)</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Predominantly truncal and limb; often whole-body</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Dystonia (sustained/patterned twisting, often action-induced) ± choreoathetosis (involuntary writhing/flowing). Tone fluctuates. May coexist with spasticity.</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Bilateral basal ganglia and/or thalamic signal change: term HIE (central/profound pattern → putaminal + VPL thalamic injury). Kernicterus → globus pallidus T1-bright (neonatal), later T2-bright; auditory neuropathy.</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Pure dystonia CP: always consider dopa-responsive dystonia (DRD/GCH1) — a treatable mimic. Levodopa trial is warranted. Kernicterus triad: dystonia + hearing loss (auditory neuropathy spectrum) + upward gaze palsy. Ask about neonatal hyperbilirubinemia.</w:t>
            </w:r>
          </w:p>
        </w:tc>
      </w:tr>
      <w:tr>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Ataxic CP
(~5% of CP)</w:t>
            </w:r>
          </w:p>
        </w:tc>
        <w:tc>
          <w:tcPr>
            <w:tcW w:type="dxa" w:w="15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Predominantly truncal and appendicular</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Cerebellar ataxia; hypotonia; dysmetria; intention tremor; dysdiadochokinesia. Tone low rather than increased.</w:t>
            </w:r>
          </w:p>
        </w:tc>
        <w:tc>
          <w:tcPr>
            <w:tcW w:type="dxa" w:w="20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Cerebellar hypoplasia/atrophy; posterior fossa malformation; diffuse WM injury</w:t>
            </w:r>
          </w:p>
        </w:tc>
        <w:tc>
          <w:tcPr>
            <w:tcW w:type="dxa" w:w="2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Ataxic CP is a diagnosis of exclusion — cerebellar ataxia in a child warrants thorough consideration of progressive ataxias (ATXN, ATM, POLG, SCA types) before labeling as CP. MRI and genetic workup are essential. Non-progressive course required for CP diagnosis.</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Mixed CP</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Variable</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Features of more than one subtype — most commonly spasticity + dystonia</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Variable; reflects mixed mechanisms of injury</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Spasticity and dystonia co-occur frequently — distinguishing them on exam matters because treatment differs. Spasticity: velocity-dependent, clasp-knife; dystonia: patterned, action-induced, posture-dependent. Incorrect identification leads to wrong treatment selection.</w:t>
            </w:r>
          </w:p>
        </w:tc>
      </w:tr>
    </w:tbl>
    <w:p>
      <w:r>
        <w:rPr>
          <w:sz w:val="10"/>
          <w:szCs w:val="10"/>
        </w:rPr>
        <w:t xml:space="preserve"/>
      </w:r>
    </w:p>
    <w:p>
      <w:pPr>
        <w:pStyle w:val="Heading2"/>
        <w:spacing w:after="100" w:before="220"/>
      </w:pPr>
      <w:r>
        <w:rPr>
          <w:rFonts w:ascii="Arial" w:cs="Arial" w:eastAsia="Arial" w:hAnsi="Arial"/>
          <w:b/>
          <w:bCs/>
          <w:color w:val="2E5FA3"/>
          <w:sz w:val="22"/>
          <w:szCs w:val="22"/>
        </w:rPr>
        <w:t xml:space="preserve">Gross Motor Function Classification System (GMFCS)</w:t>
      </w:r>
    </w:p>
    <w:p>
      <w:pPr>
        <w:spacing w:after="60" w:before="60"/>
      </w:pPr>
      <w:r>
        <w:rPr>
          <w:rFonts w:ascii="Arial" w:cs="Arial" w:eastAsia="Arial" w:hAnsi="Arial"/>
          <w:sz w:val="18"/>
          <w:szCs w:val="18"/>
        </w:rPr>
        <w:t xml:space="preserve">The GMFCS is the standard functional classification system for CP motor severity, described by Palisano et al. (1997) and validated across populations. It classifies children into five levels based on self-initiated movement with emphasis on sitting, transfers, and mobility. </w:t>
      </w:r>
      <w:r>
        <w:rPr>
          <w:rFonts w:ascii="Arial" w:cs="Arial" w:eastAsia="Arial" w:hAnsi="Arial"/>
          <w:b/>
          <w:bCs/>
          <w:sz w:val="18"/>
          <w:szCs w:val="18"/>
        </w:rPr>
        <w:t xml:space="preserve">GMFCS level should be documented at every clinic visit</w:t>
      </w:r>
      <w:r>
        <w:rPr>
          <w:rFonts w:ascii="Arial" w:cs="Arial" w:eastAsia="Arial" w:hAnsi="Arial"/>
          <w:sz w:val="18"/>
          <w:szCs w:val="18"/>
        </w:rPr>
        <w:t xml:space="preserve"> — it drives treatment decisions, equipment prescription, surveillance protocols (particularly hip X-ray surveillance), and prognosis communication. GMFCS is age-specific (different descriptors for &lt;2 years, 2–4, 4–6, 6–12, 12–18 years).</w:t>
      </w:r>
    </w:p>
    <w:p>
      <w:r>
        <w:rPr>
          <w:sz w:val="10"/>
          <w:szCs w:val="10"/>
        </w:rPr>
        <w:t xml:space="preserve"/>
      </w:r>
    </w:p>
    <w:p>
      <w:pPr>
        <w:spacing w:after="60" w:before="100"/>
      </w:pPr>
      <w:r>
        <w:rPr>
          <w:rFonts w:ascii="Arial" w:cs="Arial" w:eastAsia="Arial" w:hAnsi="Arial"/>
          <w:b/>
          <w:bCs/>
          <w:i/>
          <w:iCs/>
          <w:color w:val="1A5276"/>
          <w:sz w:val="19"/>
          <w:szCs w:val="19"/>
        </w:rPr>
        <w:t xml:space="preserve">Table 2. GMFCS Levels — Summary and Clinical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3960"/>
      </w:tblGrid>
      <w:tr>
        <w:trPr>
          <w:tblHeader/>
        </w:trPr>
        <w:tc>
          <w:tcPr>
            <w:tcW w:type="dxa" w:w="800"/>
            <w:gridSpan w:val="1"/>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LEVEL</w:t>
            </w:r>
          </w:p>
        </w:tc>
        <w:tc>
          <w:tcPr>
            <w:tcW w:type="dxa" w:w="2200"/>
            <w:gridSpan w:val="1"/>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FUNCTIONAL DESCRIPTION</w:t>
            </w:r>
          </w:p>
        </w:tc>
        <w:tc>
          <w:tcPr>
            <w:tcW w:type="dxa" w:w="2400"/>
            <w:gridSpan w:val="1"/>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MOBILITY</w:t>
            </w:r>
          </w:p>
        </w:tc>
        <w:tc>
          <w:tcPr>
            <w:tcW w:type="dxa" w:w="3960"/>
            <w:gridSpan w:val="1"/>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CLINICAL IMPLICATIONS</w:t>
            </w:r>
          </w:p>
        </w:tc>
      </w:tr>
      <w:tr>
        <w:tc>
          <w:tcPr>
            <w:tcW w:type="dxa" w:w="80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000000"/>
                <w:sz w:val="17"/>
                <w:szCs w:val="17"/>
              </w:rPr>
              <w:t xml:space="preserve">I</w:t>
            </w:r>
          </w:p>
        </w:tc>
        <w:tc>
          <w:tcPr>
            <w:tcW w:type="dxa" w:w="220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Walks without limitations</w:t>
            </w:r>
          </w:p>
        </w:tc>
        <w:tc>
          <w:tcPr>
            <w:tcW w:type="dxa" w:w="240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Community ambulation; runs and climbs with reduced speed/balance/coordination</w:t>
            </w:r>
          </w:p>
        </w:tc>
        <w:tc>
          <w:tcPr>
            <w:tcW w:type="dxa" w:w="396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Subtle deficits may only manifest during demanding activities. May not require mobility aids. Functional limitations often underappreciated by family and providers.</w:t>
            </w:r>
          </w:p>
        </w:tc>
      </w:tr>
      <w:tr>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000000"/>
                <w:sz w:val="17"/>
                <w:szCs w:val="17"/>
              </w:rPr>
              <w:t xml:space="preserve">II</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Walks with limitations</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Community ambulation with limitations; difficulty on uneven surfaces, inclines, crowds; may use assistive device outdoors</w:t>
            </w:r>
          </w:p>
        </w:tc>
        <w:tc>
          <w:tcPr>
            <w:tcW w:type="dxa" w:w="3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Gait aids (walker, crutches) often helpful outdoors. Fatigue is significant. Falls risk. Physiotherapy focus on endurance and fall prevention.</w:t>
            </w:r>
          </w:p>
        </w:tc>
      </w:tr>
      <w:tr>
        <w:tc>
          <w:tcPr>
            <w:tcW w:type="dxa" w:w="80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000000"/>
                <w:sz w:val="17"/>
                <w:szCs w:val="17"/>
              </w:rPr>
              <w:t xml:space="preserve">III</w:t>
            </w:r>
          </w:p>
        </w:tc>
        <w:tc>
          <w:tcPr>
            <w:tcW w:type="dxa" w:w="220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Walks using a hand-held mobility device</w:t>
            </w:r>
          </w:p>
        </w:tc>
        <w:tc>
          <w:tcPr>
            <w:tcW w:type="dxa" w:w="240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Indoor ambulation with assistive device; may use manual wheelchair for distances</w:t>
            </w:r>
          </w:p>
        </w:tc>
        <w:tc>
          <w:tcPr>
            <w:tcW w:type="dxa" w:w="396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Power mobility may improve independence. Wheelchair seating prescription needed. Spasticity management often most impactful at this level to optimize assistive device use.</w:t>
            </w:r>
          </w:p>
        </w:tc>
      </w:tr>
      <w:tr>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000000"/>
                <w:sz w:val="17"/>
                <w:szCs w:val="17"/>
              </w:rPr>
              <w:t xml:space="preserve">IV</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Self-mobility with limitations; may use powered mobility</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Primarily wheelchair-dependent; may achieve some standing transfers; powered chair for independence</w:t>
            </w:r>
          </w:p>
        </w:tc>
        <w:tc>
          <w:tcPr>
            <w:tcW w:type="dxa" w:w="3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Seating and positioning are high priority — scoliosis risk, hip displacement, skin integrity. Intrathecal baclofen often most beneficial at levels III–IV to reduce tone for care and comfort.</w:t>
            </w:r>
          </w:p>
        </w:tc>
      </w:tr>
      <w:tr>
        <w:tc>
          <w:tcPr>
            <w:tcW w:type="dxa" w:w="80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000000"/>
                <w:sz w:val="17"/>
                <w:szCs w:val="17"/>
              </w:rPr>
              <w:t xml:space="preserve">V</w:t>
            </w:r>
          </w:p>
        </w:tc>
        <w:tc>
          <w:tcPr>
            <w:tcW w:type="dxa" w:w="220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Transported in manual wheelchair</w:t>
            </w:r>
          </w:p>
        </w:tc>
        <w:tc>
          <w:tcPr>
            <w:tcW w:type="dxa" w:w="240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No independent self-mobility; transported; very limited head/trunk control</w:t>
            </w:r>
          </w:p>
        </w:tc>
        <w:tc>
          <w:tcPr>
            <w:tcW w:type="dxa" w:w="396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Highest comorbidity burden: scoliosis (near universal), hip dislocation, GERD, respiratory compromise, feeding dysfunction, communication impairment. Pain management and quality of life are central goals. ITB for comfort, ease of care, pain.</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6608" w:sz="10"/>
              <w:left w:val="single" w:color="7D6608" w:sz="10"/>
              <w:bottom w:val="single" w:color="7D6608" w:sz="10"/>
              <w:right w:val="single" w:color="7D6608" w:sz="10"/>
            </w:tcBorders>
            <w:shd w:fill="FEF9E7" w:val="clear"/>
            <w:tcMar>
              <w:top w:type="dxa" w:w="100"/>
              <w:left w:type="dxa" w:w="160"/>
              <w:bottom w:type="dxa" w:w="100"/>
              <w:right w:type="dxa" w:w="160"/>
            </w:tcMar>
          </w:tcPr>
          <w:p>
            <w:pPr>
              <w:spacing w:after="80" w:before="0"/>
            </w:pPr>
            <w:r>
              <w:rPr>
                <w:rFonts w:ascii="Arial" w:cs="Arial" w:eastAsia="Arial" w:hAnsi="Arial"/>
                <w:b/>
                <w:bCs/>
                <w:color w:val="7D6608"/>
                <w:sz w:val="20"/>
                <w:szCs w:val="20"/>
              </w:rPr>
              <w:t xml:space="preserve">MACS — Manual Ability Classification System</w:t>
            </w:r>
          </w:p>
          <w:p>
            <w:pPr>
              <w:pStyle w:val="ListParagraph"/>
              <w:numPr>
                <w:ilvl w:val="0"/>
                <w:numId w:val="2"/>
              </w:numPr>
              <w:spacing w:after="30" w:before="30"/>
            </w:pPr>
            <w:r>
              <w:rPr>
                <w:rFonts w:ascii="Arial" w:cs="Arial" w:eastAsia="Arial" w:hAnsi="Arial"/>
                <w:sz w:val="17"/>
                <w:szCs w:val="17"/>
              </w:rPr>
              <w:t xml:space="preserve">The MACS classifies how children with CP use their hands to handle objects in daily activities — the upper extremity analog of GMFCS.</w:t>
            </w:r>
          </w:p>
          <w:p>
            <w:pPr>
              <w:pStyle w:val="ListParagraph"/>
              <w:numPr>
                <w:ilvl w:val="0"/>
                <w:numId w:val="2"/>
              </w:numPr>
              <w:spacing w:after="30" w:before="30"/>
            </w:pPr>
            <w:r>
              <w:rPr>
                <w:rFonts w:ascii="Arial" w:cs="Arial" w:eastAsia="Arial" w:hAnsi="Arial"/>
                <w:sz w:val="17"/>
                <w:szCs w:val="17"/>
              </w:rPr>
              <w:t xml:space="preserve">Five levels: I (handles objects easily) → V (does not handle objects; severely limited).</w:t>
            </w:r>
          </w:p>
          <w:p>
            <w:pPr>
              <w:pStyle w:val="ListParagraph"/>
              <w:numPr>
                <w:ilvl w:val="0"/>
                <w:numId w:val="2"/>
              </w:numPr>
              <w:spacing w:after="30" w:before="30"/>
            </w:pPr>
            <w:r>
              <w:rPr>
                <w:rFonts w:ascii="Arial" w:cs="Arial" w:eastAsia="Arial" w:hAnsi="Arial"/>
                <w:sz w:val="17"/>
                <w:szCs w:val="17"/>
              </w:rPr>
              <w:t xml:space="preserve">Document MACS in children with UE involvement. It is distinct from GMFCS and provides complementary functional information.</w:t>
            </w:r>
          </w:p>
          <w:p>
            <w:pPr>
              <w:pStyle w:val="ListParagraph"/>
              <w:numPr>
                <w:ilvl w:val="0"/>
                <w:numId w:val="2"/>
              </w:numPr>
              <w:spacing w:after="30" w:before="30"/>
            </w:pPr>
            <w:r>
              <w:rPr>
                <w:rFonts w:ascii="Arial" w:cs="Arial" w:eastAsia="Arial" w:hAnsi="Arial"/>
                <w:sz w:val="17"/>
                <w:szCs w:val="17"/>
              </w:rPr>
              <w:t xml:space="preserve">CFCS (Communication Function Classification System) is also available for children with communication impairment — worth knowing exists.</w:t>
            </w:r>
          </w:p>
        </w:tc>
      </w:tr>
    </w:tbl>
    <w:p>
      <w:r>
        <w:rPr>
          <w:sz w:val="10"/>
          <w:szCs w:val="10"/>
        </w:rPr>
        <w:t xml:space="preserve"/>
      </w:r>
    </w:p>
    <w:p>
      <w:pPr>
        <w:pBdr>
          <w:bottom w:val="single" w:color="2E5FA3" w:sz="6" w:space="1"/>
        </w:pBdr>
        <w:spacing w:after="160" w:before="160"/>
      </w:pPr>
      <w:r>
        <w:t xml:space="preserve"/>
      </w:r>
    </w:p>
    <w:p>
      <w:pPr>
        <w:pStyle w:val="Heading1"/>
        <w:spacing w:after="140" w:before="320"/>
      </w:pPr>
      <w:r>
        <w:rPr>
          <w:rFonts w:ascii="Arial" w:cs="Arial" w:eastAsia="Arial" w:hAnsi="Arial"/>
          <w:b/>
          <w:bCs/>
          <w:color w:val="1F3864"/>
          <w:sz w:val="30"/>
          <w:szCs w:val="30"/>
        </w:rPr>
        <w:t xml:space="preserve">3. Clinical Examination in CP</w:t>
      </w:r>
    </w:p>
    <w:p>
      <w:pPr>
        <w:spacing w:after="60" w:before="60"/>
      </w:pPr>
      <w:r>
        <w:rPr>
          <w:rFonts w:ascii="Arial" w:cs="Arial" w:eastAsia="Arial" w:hAnsi="Arial"/>
          <w:sz w:val="18"/>
          <w:szCs w:val="18"/>
        </w:rPr>
        <w:t xml:space="preserve">The neurological examination in CP requires deliberate attention to tone quality, reflex pattern, movement character, and functional implications. The most common resident error is performing a standard adult-style neurological exam and missing the nuanced tone and movement findings that distinguish CP subtypes and guide management.</w:t>
      </w:r>
    </w:p>
    <w:p>
      <w:r>
        <w:rPr>
          <w:sz w:val="10"/>
          <w:szCs w:val="10"/>
        </w:rPr>
        <w:t xml:space="preserve"/>
      </w:r>
    </w:p>
    <w:p>
      <w:pPr>
        <w:spacing w:after="60" w:before="100"/>
      </w:pPr>
      <w:r>
        <w:rPr>
          <w:rFonts w:ascii="Arial" w:cs="Arial" w:eastAsia="Arial" w:hAnsi="Arial"/>
          <w:b/>
          <w:bCs/>
          <w:i/>
          <w:iCs/>
          <w:color w:val="6D2B2B"/>
          <w:sz w:val="19"/>
          <w:szCs w:val="19"/>
        </w:rPr>
        <w:t xml:space="preserve">Table 3. Examination Findings in CP — Key Domains, Findings, and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gridSpan w:val="1"/>
            <w:tcBorders>
              <w:top w:val="single" w:color="AAAAAA" w:sz="4"/>
              <w:left w:val="single" w:color="AAAAAA" w:sz="4"/>
              <w:bottom w:val="single" w:color="AAAAAA" w:sz="4"/>
              <w:right w:val="single" w:color="AAAAAA" w:sz="4"/>
            </w:tcBorders>
            <w:shd w:fill="6D2B2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EXAM DOMAIN</w:t>
            </w:r>
          </w:p>
        </w:tc>
        <w:tc>
          <w:tcPr>
            <w:tcW w:type="dxa" w:w="3480"/>
            <w:gridSpan w:val="1"/>
            <w:tcBorders>
              <w:top w:val="single" w:color="AAAAAA" w:sz="4"/>
              <w:left w:val="single" w:color="AAAAAA" w:sz="4"/>
              <w:bottom w:val="single" w:color="AAAAAA" w:sz="4"/>
              <w:right w:val="single" w:color="AAAAAA" w:sz="4"/>
            </w:tcBorders>
            <w:shd w:fill="6D2B2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FINDINGS IN CP</w:t>
            </w:r>
          </w:p>
        </w:tc>
        <w:tc>
          <w:tcPr>
            <w:tcW w:type="dxa" w:w="3680"/>
            <w:gridSpan w:val="1"/>
            <w:tcBorders>
              <w:top w:val="single" w:color="AAAAAA" w:sz="4"/>
              <w:left w:val="single" w:color="AAAAAA" w:sz="4"/>
              <w:bottom w:val="single" w:color="AAAAAA" w:sz="4"/>
              <w:right w:val="single" w:color="AAAAAA" w:sz="4"/>
            </w:tcBorders>
            <w:shd w:fill="6D2B2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EXAM TIPS / PITFALLS</w:t>
            </w:r>
          </w:p>
        </w:tc>
      </w:tr>
      <w:tr>
        <w:tc>
          <w:tcPr>
            <w:tcW w:type="dxa" w:w="220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Tone assessment</w:t>
            </w:r>
          </w:p>
        </w:tc>
        <w:tc>
          <w:tcPr>
            <w:tcW w:type="dxa" w:w="348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Spasticity: velocity-dependent resistance; clasp-knife catch at end-range; more pronounced with fast passive movement. Dystonia: sustained patterned posturing; often action-induced or triggered by intent; may appear normal at rest. Rigidity: uniform lead-pipe resistance throughout ROM (less common in CP; think extrapyramidal disorders if prominent).</w:t>
            </w:r>
          </w:p>
        </w:tc>
        <w:tc>
          <w:tcPr>
            <w:tcW w:type="dxa" w:w="368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Always assess tone at REST and with MOVEMENT. Spasticity is absent at rest — assess during fast passive limb movement. Dystonia may be absent at rest and only emerge with voluntary action or startle. Asking child to walk, reach, or perform dual tasks unmasks movement-dependent tone changes that are invisible at rest.</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Reflexes</w:t>
            </w:r>
          </w:p>
        </w:tc>
        <w:tc>
          <w:tcPr>
            <w:tcW w:type="dxa" w:w="34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Hyperreflexia; clonus (sustained or unsustained); Babinski (extensor plantar) and other pathological reflexes; spread of reflexes; jaw jerk (supratentorial bilateral disease).</w:t>
            </w:r>
          </w:p>
        </w:tc>
        <w:tc>
          <w:tcPr>
            <w:tcW w:type="dxa" w:w="368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Clonus: distinguish sustained (≥3 beats) from unsustained — sustained clonus more reliably pathological. Asymmetric hyperreflexia in an infant is always abnormal and warrants MRI. Hyporeflexia in apparent 'CP' should raise concern for a peripheral process or mimicker.</w:t>
            </w:r>
          </w:p>
        </w:tc>
      </w:tr>
      <w:tr>
        <w:tc>
          <w:tcPr>
            <w:tcW w:type="dxa" w:w="220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Primitive reflexes</w:t>
            </w:r>
          </w:p>
        </w:tc>
        <w:tc>
          <w:tcPr>
            <w:tcW w:type="dxa" w:w="348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Persistence of primitive reflexes beyond expected age: ATNR (asymmetric tonic neck reflex — fencer posture, persists &gt;6 months), Moro (persists &gt;6 months), STNR (symmetric tonic neck reflex), tonic labyrinthine reflex.</w:t>
            </w:r>
          </w:p>
        </w:tc>
        <w:tc>
          <w:tcPr>
            <w:tcW w:type="dxa" w:w="368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Persistent ATNR beyond 6 months interferes with midline hand use and rolling. Obligate primitive reflexes (child cannot break out of reflex posture) are more clinically significant than non-obligate. Note whether reflexes interfere with function.</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Gait and motor patterns</w:t>
            </w:r>
          </w:p>
        </w:tc>
        <w:tc>
          <w:tcPr>
            <w:tcW w:type="dxa" w:w="34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Diplegic: scissoring (hip adductor spasticity), toe-walking (equinus), crouched gait, internal rotation. Hemiplegic: circumduction, equinovarus foot, arm flexion posturing. Dyskinetic: fluctuating, twisting, overflow movements worsened by intention.</w:t>
            </w:r>
          </w:p>
        </w:tc>
        <w:tc>
          <w:tcPr>
            <w:tcW w:type="dxa" w:w="368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Observe gait in both directions, on toes, heels, tandem. Ask child to run — abnormal patterns often more apparent. Unilateral toe-walking requires MRI to exclude focal hemispheric lesion. Document which features are functional limitations vs. merely present.</w:t>
            </w:r>
          </w:p>
        </w:tc>
      </w:tr>
      <w:tr>
        <w:tc>
          <w:tcPr>
            <w:tcW w:type="dxa" w:w="220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Upper limb function</w:t>
            </w:r>
          </w:p>
        </w:tc>
        <w:tc>
          <w:tcPr>
            <w:tcW w:type="dxa" w:w="348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Hemiplegia: fisting, thumb-in-palm, wrist flexion, pronation posturing; cortical hand signs (fine motor &gt; gross motor disparity). Diplegia: usually preserved UE function. Quadriplegia: variable bilateral UE involvement.</w:t>
            </w:r>
          </w:p>
        </w:tc>
        <w:tc>
          <w:tcPr>
            <w:tcW w:type="dxa" w:w="368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The MACS (Manual Ability Classification System) is the UE equivalent of GMFCS — know it exists. Bimanual CP: in hemiplegia, examine for hand preference before 18 months, which is always abnormal and should prompt MRI.</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Comorbidities to assess at every visit</w:t>
            </w:r>
          </w:p>
        </w:tc>
        <w:tc>
          <w:tcPr>
            <w:tcW w:type="dxa" w:w="34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Cognitive/intellectual disability (~50% of CP overall; higher in quadriplegia). Epilepsy (~35–50%). Communication impairment. Vision (strabismus, CVI, refractive error). Hearing. Feeding/swallowing dysfunction (GERD, aspiration). Bladder dysfunction. Pain. Mental health (anxiety, depression).</w:t>
            </w:r>
          </w:p>
        </w:tc>
        <w:tc>
          <w:tcPr>
            <w:tcW w:type="dxa" w:w="368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CVI (cortical/cerebral visual impairment) is the most common cause of childhood visual impairment in high-income countries and is under-recognized in CP. Features: better peripheral than central vision, visual fatigue, crowding phenomenon, preference for familiar objects. Formal CVI assessment by functional vision specialist, not standard acuity chart.</w:t>
            </w:r>
          </w:p>
        </w:tc>
      </w:tr>
      <w:tr>
        <w:tc>
          <w:tcPr>
            <w:tcW w:type="dxa" w:w="220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Hip surveillance</w:t>
            </w:r>
          </w:p>
        </w:tc>
        <w:tc>
          <w:tcPr>
            <w:tcW w:type="dxa" w:w="348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Hip displacement/dislocation occurs in up to 35% of children with CP overall; approaches 90% at GMFCS IV–V. Painless early, painful late — windswept deformity, pelvic obliquity.</w:t>
            </w:r>
          </w:p>
        </w:tc>
        <w:tc>
          <w:tcPr>
            <w:tcW w:type="dxa" w:w="368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Hip surveillance X-ray (migration percentage) is standard of care for all children with CP: every 6 months for GMFCS III–V until skeletal maturity; annually for GMFCS II. Do NOT rely on clinical exam alone — early hip displacement is clinically silent. Missed hip dislocation is a source of chronic pain and functional loss.</w:t>
            </w:r>
          </w:p>
        </w:tc>
      </w:tr>
    </w:tbl>
    <w:p>
      <w:r>
        <w:rPr>
          <w:sz w:val="10"/>
          <w:szCs w:val="10"/>
        </w:rPr>
        <w:t xml:space="preserve"/>
      </w:r>
    </w:p>
    <w:p>
      <w:pPr>
        <w:pBdr>
          <w:bottom w:val="single" w:color="2E5FA3" w:sz="6" w:space="1"/>
        </w:pBdr>
        <w:spacing w:after="160" w:before="160"/>
      </w:pPr>
      <w:r>
        <w:t xml:space="preserve"/>
      </w:r>
    </w:p>
    <w:p>
      <w:pPr>
        <w:pStyle w:val="Heading1"/>
        <w:spacing w:after="140" w:before="320"/>
      </w:pPr>
      <w:r>
        <w:rPr>
          <w:rFonts w:ascii="Arial" w:cs="Arial" w:eastAsia="Arial" w:hAnsi="Arial"/>
          <w:b/>
          <w:bCs/>
          <w:color w:val="1F3864"/>
          <w:sz w:val="30"/>
          <w:szCs w:val="30"/>
        </w:rPr>
        <w:t xml:space="preserve">4. Etiological Workup</w:t>
      </w:r>
    </w:p>
    <w:p>
      <w:pPr>
        <w:spacing w:after="60" w:before="60"/>
      </w:pPr>
      <w:r>
        <w:rPr>
          <w:rFonts w:ascii="Arial" w:cs="Arial" w:eastAsia="Arial" w:hAnsi="Arial"/>
          <w:sz w:val="18"/>
          <w:szCs w:val="18"/>
        </w:rPr>
        <w:t xml:space="preserve">Brain MRI identifies a cause in approximately 80% of CP cases overall. The remaining ~20% — particularly those with normal MRI — have a significantly higher yield for genetic diagnoses and mimickers. Etiological workup is not a secondary concern; it is part of the standard evaluation of every child with CP.</w:t>
      </w:r>
    </w:p>
    <w:p>
      <w:r>
        <w:rPr>
          <w:sz w:val="10"/>
          <w:szCs w:val="10"/>
        </w:rPr>
        <w:t xml:space="preserve"/>
      </w:r>
    </w:p>
    <w:p>
      <w:pPr>
        <w:spacing w:after="60" w:before="100"/>
      </w:pPr>
      <w:r>
        <w:rPr>
          <w:rFonts w:ascii="Arial" w:cs="Arial" w:eastAsia="Arial" w:hAnsi="Arial"/>
          <w:b/>
          <w:bCs/>
          <w:i/>
          <w:iCs/>
          <w:color w:val="2E5FA3"/>
          <w:sz w:val="19"/>
          <w:szCs w:val="19"/>
        </w:rPr>
        <w:t xml:space="preserve">Table 4. Etiological Workup by Clinical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CLINICAL SCENARIO</w:t>
            </w:r>
          </w:p>
        </w:tc>
        <w:tc>
          <w:tcPr>
            <w:tcW w:type="dxa" w:w="348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RECOMMENDED WORKUP</w:t>
            </w:r>
          </w:p>
        </w:tc>
        <w:tc>
          <w:tcPr>
            <w:tcW w:type="dxa" w:w="368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RATIONALE / NOTES</w:t>
            </w:r>
          </w:p>
        </w:tc>
      </w:tr>
      <w:tr>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All children with CP</w:t>
            </w:r>
          </w:p>
        </w:tc>
        <w:tc>
          <w:tcPr>
            <w:tcW w:type="dxa" w:w="34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Brain MRI (if not already done). Consider repeat if initial was in neonatal period or quality suboptimal.</w:t>
            </w:r>
          </w:p>
        </w:tc>
        <w:tc>
          <w:tcPr>
            <w:tcW w:type="dxa" w:w="36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MRI identifies etiology in ~80% of CP cases. A normal MRI in CP warrants serious consideration of mimickers and genetic workup — normal MRI + CP phenotype is not a reassuring combination, it is a diagnostic red flag.</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Normal MRI or MRI not explaining clinical phenotype</w:t>
            </w:r>
          </w:p>
        </w:tc>
        <w:tc>
          <w:tcPr>
            <w:tcW w:type="dxa" w:w="34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Chromosomal microarray. Epilepsy gene panel or WES/WGS (especially if treatment-refractory epilepsy or regression). Metabolic screen (plasma amino acids, acylcarnitines, urine organic acids, lactate) if not previously done.</w:t>
            </w:r>
          </w:p>
        </w:tc>
        <w:tc>
          <w:tcPr>
            <w:tcW w:type="dxa" w:w="3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A normal MRI in apparent CP has a meaningful genetic yield. In one systematic review, ~14% of children with CP had a genetic cause identified — many with normal or non-specific MRI findings.</w:t>
            </w:r>
          </w:p>
        </w:tc>
      </w:tr>
      <w:tr>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Dyskinetic/dystonic CP with normal MRI</w:t>
            </w:r>
          </w:p>
        </w:tc>
        <w:tc>
          <w:tcPr>
            <w:tcW w:type="dxa" w:w="34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Levodopa trial (mandatory). CSF neurotransmitters (HVA, 5-HIAA, pterins, 5-MTHF) if levodopa response incomplete. GCH1/TH gene testing. Plasma amino acids (arginine for ARG1 deficiency).</w:t>
            </w:r>
          </w:p>
        </w:tc>
        <w:tc>
          <w:tcPr>
            <w:tcW w:type="dxa" w:w="36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DRD is the single most important treatable mimic of dyskinetic CP — it must be excluded with a levodopa trial in every child with dystonia and a normal MRI before a diagnosis of dyskinetic CP is considered secure.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Family history of similar disorder; consanguinity; dysmorphic features</w:t>
            </w:r>
          </w:p>
        </w:tc>
        <w:tc>
          <w:tcPr>
            <w:tcW w:type="dxa" w:w="34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Chromosomal microarray first; WES/WGS if microarray unrevealing. Consider targeted gene panels based on phenotype.</w:t>
            </w:r>
          </w:p>
        </w:tc>
        <w:tc>
          <w:tcPr>
            <w:tcW w:type="dxa" w:w="3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Positive family history, parental consanguinity, or dysmorphic features substantially raise the prior probability of a genetic diagnosis. These children warrant comprehensive genetic evaluation even if MRI is abnormal.</w:t>
            </w:r>
          </w:p>
        </w:tc>
      </w:tr>
      <w:tr>
        <w:tc>
          <w:tcPr>
            <w:tcW w:type="dxa" w:w="22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Progressive course or developmental regression</w:t>
            </w:r>
          </w:p>
        </w:tc>
        <w:tc>
          <w:tcPr>
            <w:tcW w:type="dxa" w:w="34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Stop and reconsider the CP diagnosis. Initiate metabolic screen + WES/WGS. Refer to neurogenetics.</w:t>
            </w:r>
          </w:p>
        </w:tc>
        <w:tc>
          <w:tcPr>
            <w:tcW w:type="dxa" w:w="368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CP by definition is non-progressive. Any child with apparent CP who is losing skills is NOT CP until proven otherwise.</w:t>
            </w:r>
          </w:p>
        </w:tc>
      </w:tr>
    </w:tbl>
    <w:p>
      <w:r>
        <w:rPr>
          <w:sz w:val="10"/>
          <w:szCs w:val="10"/>
        </w:rPr>
        <w:t xml:space="preserve"/>
      </w:r>
    </w:p>
    <w:p>
      <w:pPr>
        <w:pBdr>
          <w:bottom w:val="single" w:color="2E5FA3" w:sz="6" w:space="1"/>
        </w:pBdr>
        <w:spacing w:after="160" w:before="160"/>
      </w:pPr>
      <w:r>
        <w:t xml:space="preserve"/>
      </w:r>
    </w:p>
    <w:p>
      <w:pPr>
        <w:pStyle w:val="Heading1"/>
        <w:spacing w:after="140" w:before="320"/>
      </w:pPr>
      <w:r>
        <w:rPr>
          <w:rFonts w:ascii="Arial" w:cs="Arial" w:eastAsia="Arial" w:hAnsi="Arial"/>
          <w:b/>
          <w:bCs/>
          <w:color w:val="1F3864"/>
          <w:sz w:val="30"/>
          <w:szCs w:val="30"/>
        </w:rPr>
        <w:t xml:space="preserve">5. CP Mimickers — When to Reconsider the Diagnosis</w:t>
      </w:r>
    </w:p>
    <w:p>
      <w:pPr>
        <w:spacing w:after="60" w:before="60"/>
      </w:pPr>
      <w:r>
        <w:rPr>
          <w:rFonts w:ascii="Arial" w:cs="Arial" w:eastAsia="Arial" w:hAnsi="Arial"/>
          <w:sz w:val="18"/>
          <w:szCs w:val="18"/>
        </w:rPr>
        <w:t xml:space="preserve">CP is a clinical diagnosis of inclusion — but it should only be made after treatable and progressive disorders have been considered. The following red flags should prompt reconsideration:</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0"/>
              <w:left w:val="single" w:color="C00000" w:sz="10"/>
              <w:bottom w:val="single" w:color="C00000" w:sz="10"/>
              <w:right w:val="single" w:color="C00000" w:sz="10"/>
            </w:tcBorders>
            <w:shd w:fill="FFCCCC" w:val="clear"/>
            <w:tcMar>
              <w:top w:type="dxa" w:w="100"/>
              <w:left w:type="dxa" w:w="160"/>
              <w:bottom w:type="dxa" w:w="100"/>
              <w:right w:type="dxa" w:w="160"/>
            </w:tcMar>
          </w:tcPr>
          <w:p>
            <w:pPr>
              <w:spacing w:after="80" w:before="0"/>
            </w:pPr>
            <w:r>
              <w:rPr>
                <w:rFonts w:ascii="Arial" w:cs="Arial" w:eastAsia="Arial" w:hAnsi="Arial"/>
                <w:b/>
                <w:bCs/>
                <w:color w:val="C00000"/>
                <w:sz w:val="20"/>
                <w:szCs w:val="20"/>
              </w:rPr>
              <w:t xml:space="preserve">Red Flags That Should Make You Reconsider a CP Diagnosis</w:t>
            </w:r>
          </w:p>
          <w:p>
            <w:pPr>
              <w:pStyle w:val="ListParagraph"/>
              <w:numPr>
                <w:ilvl w:val="0"/>
                <w:numId w:val="2"/>
              </w:numPr>
              <w:spacing w:after="30" w:before="30"/>
            </w:pPr>
            <w:r>
              <w:rPr>
                <w:rFonts w:ascii="Arial" w:cs="Arial" w:eastAsia="Arial" w:hAnsi="Arial"/>
                <w:sz w:val="17"/>
                <w:szCs w:val="17"/>
              </w:rPr>
              <w:t xml:space="preserve">Progressive course: loss of motor milestones or worsening neurological function. CP does not progress — if it appears to, it is not CP.</w:t>
            </w:r>
          </w:p>
          <w:p>
            <w:pPr>
              <w:pStyle w:val="ListParagraph"/>
              <w:numPr>
                <w:ilvl w:val="0"/>
                <w:numId w:val="2"/>
              </w:numPr>
              <w:spacing w:after="30" w:before="30"/>
            </w:pPr>
            <w:r>
              <w:rPr>
                <w:rFonts w:ascii="Arial" w:cs="Arial" w:eastAsia="Arial" w:hAnsi="Arial"/>
                <w:sz w:val="17"/>
                <w:szCs w:val="17"/>
              </w:rPr>
              <w:t xml:space="preserve">Normal MRI: a normal MRI in apparent CP is a red flag, not reassurance. Genetic and metabolic evaluation is warranted.</w:t>
            </w:r>
          </w:p>
          <w:p>
            <w:pPr>
              <w:pStyle w:val="ListParagraph"/>
              <w:numPr>
                <w:ilvl w:val="0"/>
                <w:numId w:val="2"/>
              </w:numPr>
              <w:spacing w:after="30" w:before="30"/>
            </w:pPr>
            <w:r>
              <w:rPr>
                <w:rFonts w:ascii="Arial" w:cs="Arial" w:eastAsia="Arial" w:hAnsi="Arial"/>
                <w:sz w:val="17"/>
                <w:szCs w:val="17"/>
              </w:rPr>
              <w:t xml:space="preserve">Diurnal variation in tone or movement disorder: strongly suggests DRD — levodopa trial is mandatory.</w:t>
            </w:r>
          </w:p>
          <w:p>
            <w:pPr>
              <w:pStyle w:val="ListParagraph"/>
              <w:numPr>
                <w:ilvl w:val="0"/>
                <w:numId w:val="2"/>
              </w:numPr>
              <w:spacing w:after="30" w:before="30"/>
            </w:pPr>
            <w:r>
              <w:rPr>
                <w:rFonts w:ascii="Arial" w:cs="Arial" w:eastAsia="Arial" w:hAnsi="Arial"/>
                <w:sz w:val="17"/>
                <w:szCs w:val="17"/>
              </w:rPr>
              <w:t xml:space="preserve">Prominent dystonia + normal MRI: DRD, organic acidemias (GA1, ARG1), mitochondrial disease, NKH, Wilson disease.</w:t>
            </w:r>
          </w:p>
          <w:p>
            <w:pPr>
              <w:pStyle w:val="ListParagraph"/>
              <w:numPr>
                <w:ilvl w:val="0"/>
                <w:numId w:val="2"/>
              </w:numPr>
              <w:spacing w:after="30" w:before="30"/>
            </w:pPr>
            <w:r>
              <w:rPr>
                <w:rFonts w:ascii="Arial" w:cs="Arial" w:eastAsia="Arial" w:hAnsi="Arial"/>
                <w:sz w:val="17"/>
                <w:szCs w:val="17"/>
              </w:rPr>
              <w:t xml:space="preserve">Family history of similar disorder or consanguinity: raises prior probability of genetic etiology substantially.</w:t>
            </w:r>
          </w:p>
          <w:p>
            <w:pPr>
              <w:pStyle w:val="ListParagraph"/>
              <w:numPr>
                <w:ilvl w:val="0"/>
                <w:numId w:val="2"/>
              </w:numPr>
              <w:spacing w:after="30" w:before="30"/>
            </w:pPr>
            <w:r>
              <w:rPr>
                <w:rFonts w:ascii="Arial" w:cs="Arial" w:eastAsia="Arial" w:hAnsi="Arial"/>
                <w:sz w:val="17"/>
                <w:szCs w:val="17"/>
              </w:rPr>
              <w:t xml:space="preserve">Neonatal period was reportedly normal and symptom onset was later: CP typically has identifiable perinatal context.</w:t>
            </w:r>
          </w:p>
          <w:p>
            <w:pPr>
              <w:pStyle w:val="ListParagraph"/>
              <w:numPr>
                <w:ilvl w:val="0"/>
                <w:numId w:val="2"/>
              </w:numPr>
              <w:spacing w:after="30" w:before="30"/>
            </w:pPr>
            <w:r>
              <w:rPr>
                <w:rFonts w:ascii="Arial" w:cs="Arial" w:eastAsia="Arial" w:hAnsi="Arial"/>
                <w:sz w:val="17"/>
                <w:szCs w:val="17"/>
              </w:rPr>
              <w:t xml:space="preserve">Regression at any point: metabolic or degenerative disorder until proven otherwise.</w:t>
            </w:r>
          </w:p>
          <w:p>
            <w:pPr>
              <w:pStyle w:val="ListParagraph"/>
              <w:numPr>
                <w:ilvl w:val="0"/>
                <w:numId w:val="2"/>
              </w:numPr>
              <w:spacing w:after="30" w:before="30"/>
            </w:pPr>
            <w:r>
              <w:rPr>
                <w:rFonts w:ascii="Arial" w:cs="Arial" w:eastAsia="Arial" w:hAnsi="Arial"/>
                <w:sz w:val="17"/>
                <w:szCs w:val="17"/>
              </w:rPr>
              <w:t xml:space="preserve">Unexpected comorbidity pattern: vision loss out of proportion to motor findings, neuropathy, organomegaly — suggest systemic disorder.</w:t>
            </w:r>
          </w:p>
          <w:p>
            <w:pPr>
              <w:pStyle w:val="ListParagraph"/>
              <w:numPr>
                <w:ilvl w:val="0"/>
                <w:numId w:val="2"/>
              </w:numPr>
              <w:spacing w:after="30" w:before="30"/>
            </w:pPr>
            <w:r>
              <w:rPr>
                <w:rFonts w:ascii="Arial" w:cs="Arial" w:eastAsia="Arial" w:hAnsi="Arial"/>
                <w:sz w:val="17"/>
                <w:szCs w:val="17"/>
              </w:rPr>
              <w:t xml:space="preserve">Failure to follow expected natural history: GMFCS level worsening significantly, unexpected loss of hand function.</w:t>
            </w:r>
          </w:p>
        </w:tc>
      </w:tr>
    </w:tbl>
    <w:p>
      <w:r>
        <w:rPr>
          <w:sz w:val="10"/>
          <w:szCs w:val="10"/>
        </w:rPr>
        <w:t xml:space="preserve"/>
      </w:r>
    </w:p>
    <w:p>
      <w:pPr>
        <w:spacing w:after="60" w:before="100"/>
      </w:pPr>
      <w:r>
        <w:rPr>
          <w:rFonts w:ascii="Arial" w:cs="Arial" w:eastAsia="Arial" w:hAnsi="Arial"/>
          <w:b/>
          <w:bCs/>
          <w:i/>
          <w:iCs/>
          <w:color w:val="C00000"/>
          <w:sz w:val="19"/>
          <w:szCs w:val="19"/>
        </w:rPr>
        <w:t xml:space="preserve">Table 5. Common CP Mimickers — Red Flags, Features, and Don't-Miss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00"/>
        <w:gridCol w:w="2260"/>
        <w:gridCol w:w="1800"/>
      </w:tblGrid>
      <w:tr>
        <w:trPr>
          <w:tblHeader/>
        </w:trPr>
        <w:tc>
          <w:tcPr>
            <w:tcW w:type="dxa" w:w="1800"/>
            <w:gridSpan w:val="1"/>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DISORDER</w:t>
            </w:r>
          </w:p>
        </w:tc>
        <w:tc>
          <w:tcPr>
            <w:tcW w:type="dxa" w:w="1600"/>
            <w:gridSpan w:val="1"/>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CATEGORY</w:t>
            </w:r>
          </w:p>
        </w:tc>
        <w:tc>
          <w:tcPr>
            <w:tcW w:type="dxa" w:w="1900"/>
            <w:gridSpan w:val="1"/>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RED FLAGS SUGGESTING MIMICKER</w:t>
            </w:r>
          </w:p>
        </w:tc>
        <w:tc>
          <w:tcPr>
            <w:tcW w:type="dxa" w:w="2260"/>
            <w:gridSpan w:val="1"/>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KEY DISTINGUISHING FEATURES</w:t>
            </w:r>
          </w:p>
        </w:tc>
        <w:tc>
          <w:tcPr>
            <w:tcW w:type="dxa" w:w="1800"/>
            <w:gridSpan w:val="1"/>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DON'T-MISS TEST</w:t>
            </w:r>
          </w:p>
        </w:tc>
      </w:tr>
      <w:tr>
        <w:tc>
          <w:tcPr>
            <w:tcW w:type="dxa" w:w="18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Dopa-responsive dystonia (DRD / GCH1)</w:t>
            </w:r>
          </w:p>
        </w:tc>
        <w:tc>
          <w:tcPr>
            <w:tcW w:type="dxa" w:w="16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Treatable metabolic</w:t>
            </w:r>
          </w:p>
        </w:tc>
        <w:tc>
          <w:tcPr>
            <w:tcW w:type="dxa" w:w="19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Diurnal variation (worse in evening/with fatigue); dramatic response to small dose of levodopa; normal MRI; family history of dystonia or Parkinson</w:t>
            </w:r>
          </w:p>
        </w:tc>
        <w:tc>
          <w:tcPr>
            <w:tcW w:type="dxa" w:w="226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Autosomal dominant (GCH1) or recessive (TH gene). Dystonia often starts in LE, mimics spastic diplegia or dyskinetic CP. Toe-walking + dystonia + diurnal fluctuation = DRD until proven otherwise.</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Levodopa trial (mandatory in any child with dystonia + normal MRI); CSF neurotransmitters (low HVA, low biopterin); GCH1/TH gene testing</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Hereditary spastic paraplegia (HSP)</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Genetic / degenerative</w:t>
            </w:r>
          </w:p>
        </w:tc>
        <w:tc>
          <w:tcPr>
            <w:tcW w:type="dxa" w:w="1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Progressive spastic diplegia (CP should be non-progressive); family history; thin corpus callosum; normal birth/neonatal history; very brisk reflexes out of proportion to weakness</w:t>
            </w:r>
          </w:p>
        </w:tc>
        <w:tc>
          <w:tcPr>
            <w:tcW w:type="dxa" w:w="22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SPG4 (SPAST) most common autosomal dominant; &gt;80 HSP genes. Pure HSP: spastic gait + hyperreflexia + bladder dysfunction. Complicated HSP: adds cerebellar, cognitive, peripheral nerve features. Progressive course is key — CP does not progress.</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Brain/spinal MRI (thin CC, cord atrophy); HSP gene panel or WES; EMG if complicated form suspected</w:t>
            </w:r>
          </w:p>
        </w:tc>
      </w:tr>
      <w:tr>
        <w:tc>
          <w:tcPr>
            <w:tcW w:type="dxa" w:w="18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Alternating hemiplegia of childhood (ATP1A3)</w:t>
            </w:r>
          </w:p>
        </w:tc>
        <w:tc>
          <w:tcPr>
            <w:tcW w:type="dxa" w:w="16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Genetic / channelopathy</w:t>
            </w:r>
          </w:p>
        </w:tc>
        <w:tc>
          <w:tcPr>
            <w:tcW w:type="dxa" w:w="19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Episodic hemiplegia alternating sides; onset &lt;18 months; tonic/dystonic attacks; nystagmus; autonomic features; improvement with sleep</w:t>
            </w:r>
          </w:p>
        </w:tc>
        <w:tc>
          <w:tcPr>
            <w:tcW w:type="dxa" w:w="226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ATP1A3 mutations (also cause CAPOS, RECA). Episodes resolve with sleep — pathognomonic. Between episodes, exam may be normal early but progressive neurological deterioration occurs. MRI often normal early.</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ATP1A3 gene sequencing; flunarizine (treatment); avoid triggers (fever, stress, water immersion)</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Leukodystrophies (early / mild)</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Genetic / white matter</w:t>
            </w:r>
          </w:p>
        </w:tc>
        <w:tc>
          <w:tcPr>
            <w:tcW w:type="dxa" w:w="1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Progressive course; regression after apparent plateau; new white matter signal on MRI; family history; dysmorphic features; neuropathy</w:t>
            </w:r>
          </w:p>
        </w:tc>
        <w:tc>
          <w:tcPr>
            <w:tcW w:type="dxa" w:w="22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Many leukodystrophies present in infancy/early childhood with spasticity and can mimic spastic CP before the progressive course becomes apparent. Serial MRI is critical. X-ALD, MLD, Krabbe all have initial presentations that can be mistaken for CP.</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MRI with careful WM evaluation; metabolic screen; leukodystrophy gene panel (see Neurometabolic chapter)</w:t>
            </w:r>
          </w:p>
        </w:tc>
      </w:tr>
      <w:tr>
        <w:tc>
          <w:tcPr>
            <w:tcW w:type="dxa" w:w="18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Rett syndrome (MECP2)</w:t>
            </w:r>
          </w:p>
        </w:tc>
        <w:tc>
          <w:tcPr>
            <w:tcW w:type="dxa" w:w="16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Genetic / neurodevelopmental</w:t>
            </w:r>
          </w:p>
        </w:tc>
        <w:tc>
          <w:tcPr>
            <w:tcW w:type="dxa" w:w="19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Regression after period of normal development (12–18 months); hand stereotypies replacing purposeful hand use; loss of language; breathing irregularities; acquired microcephaly; almost exclusively females</w:t>
            </w:r>
          </w:p>
        </w:tc>
        <w:tc>
          <w:tcPr>
            <w:tcW w:type="dxa" w:w="226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Classic Rett is not a CP mimic in the traditional sense, but early-stage Rett with hypotonia and regression is sometimes initially considered CP. Hand stereotypies and breathing dysregulation distinguish it.</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MECP2 sequencing (females); CDKL5 (atypical/early-onset variant); FOXG1 (congenital variant)</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Arginase deficiency (ARG1)</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Treatable metabolic (UCD)</w:t>
            </w:r>
          </w:p>
        </w:tc>
        <w:tc>
          <w:tcPr>
            <w:tcW w:type="dxa" w:w="1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Progressive spastic diplegia/tetraplegia with onset in childhood; hyperammonemia (may be mild/intermittent); elevated plasma arginine; no clear perinatal injury</w:t>
            </w:r>
          </w:p>
        </w:tc>
        <w:tc>
          <w:tcPr>
            <w:tcW w:type="dxa" w:w="22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Urea cycle defect causing progressive spasticity — not encephalopathy as in other UCDs. Often misdiagnosed as CP for years. Plasma arginine markedly elevated. Treatable with dietary protein restriction + nitrogen scavengers.</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Plasma amino acids (elevated arginine); urine organic acids (orotic acid); ARG1 gene; serum ammonia</w:t>
            </w:r>
          </w:p>
        </w:tc>
      </w:tr>
      <w:tr>
        <w:tc>
          <w:tcPr>
            <w:tcW w:type="dxa" w:w="18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Glutaric aciduria type 1 (GCDH)</w:t>
            </w:r>
          </w:p>
        </w:tc>
        <w:tc>
          <w:tcPr>
            <w:tcW w:type="dxa" w:w="16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Treatable metabolic (organic acidemia)</w:t>
            </w:r>
          </w:p>
        </w:tc>
        <w:tc>
          <w:tcPr>
            <w:tcW w:type="dxa" w:w="19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Macrocephaly; bilateral striatal injury (caudate/putamen) after febrile encephalopathic crisis in infancy; dyskinetic/dystonic movement disorder; characteristic MRI (frontotemporal hypoplasia + striatal signal)</w:t>
            </w:r>
          </w:p>
        </w:tc>
        <w:tc>
          <w:tcPr>
            <w:tcW w:type="dxa" w:w="226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Macrocephaly + dyskinesia following acute encephalopathic crisis in infancy = GA1 until proven otherwise. MRI: frontotemporal volume loss + bilateral striatal lesions. Treatable with lysine-restricted diet + carnitine if caught pre-crisis (NBS in KY).</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Urine organic acids (glutarylcarnitine); acylcarnitine profile (C5-DC); GCDH gene; NBS (captured in KY)</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Niemann-Pick C (NPC1/NPC2)</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Metabolic / lysosomal</w:t>
            </w:r>
          </w:p>
        </w:tc>
        <w:tc>
          <w:tcPr>
            <w:tcW w:type="dxa" w:w="1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Vertical supranuclear gaze palsy; progressive ataxia + dystonia; cognitive regression; hepatosplenomegaly; gelastic cataplexy</w:t>
            </w:r>
          </w:p>
        </w:tc>
        <w:tc>
          <w:tcPr>
            <w:tcW w:type="dxa" w:w="22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VSGP is the clinical hallmark — test upgaze, downgaze, and lateral saccades in any child with unexplained movement disorder + cognitive decline. NPC is slowly progressive, not static.</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Plasma oxysterols (7-ketocholesterol); NPC1/NPC2 gene; filipin staining if needed</w:t>
            </w:r>
          </w:p>
        </w:tc>
      </w:tr>
      <w:tr>
        <w:tc>
          <w:tcPr>
            <w:tcW w:type="dxa" w:w="18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Mitochondrial disease (various)</w:t>
            </w:r>
          </w:p>
        </w:tc>
        <w:tc>
          <w:tcPr>
            <w:tcW w:type="dxa" w:w="16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Genetic / metabolic</w:t>
            </w:r>
          </w:p>
        </w:tc>
        <w:tc>
          <w:tcPr>
            <w:tcW w:type="dxa" w:w="19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Episodic decompensation; elevated lactate; multi-organ involvement; regression; Leigh syndrome pattern on MRI (symmetric basal ganglia/brainstem T2 signal)</w:t>
            </w:r>
          </w:p>
        </w:tc>
        <w:tc>
          <w:tcPr>
            <w:tcW w:type="dxa" w:w="226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Mitochondrial disease can produce spastic, ataxic, or dystonic phenotypes. Progressive course, multi-organ involvement, and MRI pattern distinguish from CP. MELAS: stroke-like episodes, not conforming to vascular territory.</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Serum/CSF lactate; acylcarnitines; mitochondrial gene panel/WES; MRI (Leigh pattern)</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Spinal cord abnormality (tethered cord, tumor, syrinx)</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Structural</w:t>
            </w:r>
          </w:p>
        </w:tc>
        <w:tc>
          <w:tcPr>
            <w:tcW w:type="dxa" w:w="1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Progressive spastic diplegia; bowel/bladder dysfunction; back pain; cutaneous spinal stigmata (sacral dimple, hair tuft, hemangioma); scoliosis</w:t>
            </w:r>
          </w:p>
        </w:tc>
        <w:tc>
          <w:tcPr>
            <w:tcW w:type="dxa" w:w="22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Spinal cord pathology can present identically to spastic diplegia — the brain MRI may be normal. Tethered cord, spinal cord tumor, cervical myelopathy from instability (Down syndrome, skeletal dysplasia) are important to exclude.</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Spine MRI (full spine); neurosurgical referral if tethered cord or compressive lesion identified</w:t>
            </w:r>
          </w:p>
        </w:tc>
      </w:tr>
    </w:tbl>
    <w:p>
      <w:r>
        <w:rPr>
          <w:sz w:val="10"/>
          <w:szCs w:val="10"/>
        </w:rPr>
        <w:t xml:space="preserve"/>
      </w:r>
    </w:p>
    <w:p>
      <w:pPr>
        <w:pBdr>
          <w:bottom w:val="single" w:color="2E5FA3" w:sz="6" w:space="1"/>
        </w:pBdr>
        <w:spacing w:after="160" w:before="160"/>
      </w:pPr>
      <w:r>
        <w:t xml:space="preserve"/>
      </w:r>
    </w:p>
    <w:p>
      <w:pPr>
        <w:pStyle w:val="Heading1"/>
        <w:spacing w:after="140" w:before="320"/>
      </w:pPr>
      <w:r>
        <w:rPr>
          <w:rFonts w:ascii="Arial" w:cs="Arial" w:eastAsia="Arial" w:hAnsi="Arial"/>
          <w:b/>
          <w:bCs/>
          <w:color w:val="1F3864"/>
          <w:sz w:val="30"/>
          <w:szCs w:val="30"/>
        </w:rPr>
        <w:t xml:space="preserve">6. Treatment of Spasticity and Dystonia</w:t>
      </w:r>
    </w:p>
    <w:p>
      <w:pPr>
        <w:spacing w:after="60" w:before="60"/>
      </w:pPr>
      <w:r>
        <w:rPr>
          <w:rFonts w:ascii="Arial" w:cs="Arial" w:eastAsia="Arial" w:hAnsi="Arial"/>
          <w:b/>
          <w:bCs/>
          <w:sz w:val="18"/>
          <w:szCs w:val="18"/>
        </w:rPr>
        <w:t xml:space="preserve">Before treating tone, identify what type of tone abnormality is present. </w:t>
      </w:r>
      <w:r>
        <w:rPr>
          <w:rFonts w:ascii="Arial" w:cs="Arial" w:eastAsia="Arial" w:hAnsi="Arial"/>
          <w:sz w:val="18"/>
          <w:szCs w:val="18"/>
        </w:rPr>
        <w:t xml:space="preserve">Spasticity and dystonia require different treatments — treating dystonia with an antispasticity agent alone is ineffective, and selecting SDR for a child with significant dystonia produces poor outcomes. Many children with CP have mixed tone (spasticity + dystonia), which requires a combined approach.</w:t>
      </w:r>
    </w:p>
    <w:p>
      <w:r>
        <w:rPr>
          <w:sz w:val="10"/>
          <w:szCs w:val="10"/>
        </w:rPr>
        <w:t xml:space="preserve"/>
      </w:r>
    </w:p>
    <w:p>
      <w:pPr>
        <w:spacing w:after="60" w:before="60"/>
      </w:pPr>
      <w:r>
        <w:rPr>
          <w:rFonts w:ascii="Arial" w:cs="Arial" w:eastAsia="Arial" w:hAnsi="Arial"/>
          <w:b/>
          <w:bCs/>
          <w:sz w:val="18"/>
          <w:szCs w:val="18"/>
        </w:rPr>
        <w:t xml:space="preserve">Treatment goals must be individualized: </w:t>
      </w:r>
      <w:r>
        <w:rPr>
          <w:rFonts w:ascii="Arial" w:cs="Arial" w:eastAsia="Arial" w:hAnsi="Arial"/>
          <w:sz w:val="18"/>
          <w:szCs w:val="18"/>
        </w:rPr>
        <w:t xml:space="preserve">for ambulatory children (GMFCS I–III), the goal is optimizing function and gait. For non-ambulatory children (GMFCS IV–V), the goals shift toward comfort, ease of care, pain reduction, positioning, and prevention of hip dislocation and scoliosis. These are different goals requiring different treatment approaches.</w:t>
      </w:r>
    </w:p>
    <w:p>
      <w:r>
        <w:rPr>
          <w:sz w:val="10"/>
          <w:szCs w:val="10"/>
        </w:rPr>
        <w:t xml:space="preserve"/>
      </w:r>
    </w:p>
    <w:p>
      <w:pPr>
        <w:spacing w:after="60" w:before="100"/>
      </w:pPr>
      <w:r>
        <w:rPr>
          <w:rFonts w:ascii="Arial" w:cs="Arial" w:eastAsia="Arial" w:hAnsi="Arial"/>
          <w:b/>
          <w:bCs/>
          <w:i/>
          <w:iCs/>
          <w:color w:val="375623"/>
          <w:sz w:val="19"/>
          <w:szCs w:val="19"/>
        </w:rPr>
        <w:t xml:space="preserve">Table 6. Pharmacological and Interventional Treatment of Spasticity and Dystonia in 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300"/>
        <w:gridCol w:w="1500"/>
        <w:gridCol w:w="2060"/>
        <w:gridCol w:w="1800"/>
      </w:tblGrid>
      <w:tr>
        <w:trPr>
          <w:tblHeader/>
        </w:trPr>
        <w:tc>
          <w:tcPr>
            <w:tcW w:type="dxa" w:w="1700"/>
            <w:gridSpan w:val="1"/>
            <w:tcBorders>
              <w:top w:val="single" w:color="AAAAAA" w:sz="4"/>
              <w:left w:val="single" w:color="AAAAAA" w:sz="4"/>
              <w:bottom w:val="single" w:color="AAAAAA" w:sz="4"/>
              <w:right w:val="single" w:color="AAAAAA" w:sz="4"/>
            </w:tcBorders>
            <w:shd w:fill="37562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AGENT</w:t>
            </w:r>
          </w:p>
        </w:tc>
        <w:tc>
          <w:tcPr>
            <w:tcW w:type="dxa" w:w="1000"/>
            <w:gridSpan w:val="1"/>
            <w:tcBorders>
              <w:top w:val="single" w:color="AAAAAA" w:sz="4"/>
              <w:left w:val="single" w:color="AAAAAA" w:sz="4"/>
              <w:bottom w:val="single" w:color="AAAAAA" w:sz="4"/>
              <w:right w:val="single" w:color="AAAAAA" w:sz="4"/>
            </w:tcBorders>
            <w:shd w:fill="37562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MECHANISM</w:t>
            </w:r>
          </w:p>
        </w:tc>
        <w:tc>
          <w:tcPr>
            <w:tcW w:type="dxa" w:w="1300"/>
            <w:gridSpan w:val="1"/>
            <w:tcBorders>
              <w:top w:val="single" w:color="AAAAAA" w:sz="4"/>
              <w:left w:val="single" w:color="AAAAAA" w:sz="4"/>
              <w:bottom w:val="single" w:color="AAAAAA" w:sz="4"/>
              <w:right w:val="single" w:color="AAAAAA" w:sz="4"/>
            </w:tcBorders>
            <w:shd w:fill="37562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TARGET TONE TYPE</w:t>
            </w:r>
          </w:p>
        </w:tc>
        <w:tc>
          <w:tcPr>
            <w:tcW w:type="dxa" w:w="1500"/>
            <w:gridSpan w:val="1"/>
            <w:tcBorders>
              <w:top w:val="single" w:color="AAAAAA" w:sz="4"/>
              <w:left w:val="single" w:color="AAAAAA" w:sz="4"/>
              <w:bottom w:val="single" w:color="AAAAAA" w:sz="4"/>
              <w:right w:val="single" w:color="AAAAAA" w:sz="4"/>
            </w:tcBorders>
            <w:shd w:fill="37562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DOSE / ROUTE</w:t>
            </w:r>
          </w:p>
        </w:tc>
        <w:tc>
          <w:tcPr>
            <w:tcW w:type="dxa" w:w="2060"/>
            <w:gridSpan w:val="1"/>
            <w:tcBorders>
              <w:top w:val="single" w:color="AAAAAA" w:sz="4"/>
              <w:left w:val="single" w:color="AAAAAA" w:sz="4"/>
              <w:bottom w:val="single" w:color="AAAAAA" w:sz="4"/>
              <w:right w:val="single" w:color="AAAAAA" w:sz="4"/>
            </w:tcBorders>
            <w:shd w:fill="37562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KEY INDICATIONS / CONSIDERATIONS</w:t>
            </w:r>
          </w:p>
        </w:tc>
        <w:tc>
          <w:tcPr>
            <w:tcW w:type="dxa" w:w="1800"/>
            <w:gridSpan w:val="1"/>
            <w:tcBorders>
              <w:top w:val="single" w:color="AAAAAA" w:sz="4"/>
              <w:left w:val="single" w:color="AAAAAA" w:sz="4"/>
              <w:bottom w:val="single" w:color="AAAAAA" w:sz="4"/>
              <w:right w:val="single" w:color="AAAAAA" w:sz="4"/>
            </w:tcBorders>
            <w:shd w:fill="37562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ADVERSE EFFECTS</w:t>
            </w:r>
          </w:p>
        </w:tc>
      </w:tr>
      <w:tr>
        <w:tc>
          <w:tcPr>
            <w:gridSpan w:val="6"/>
            <w:tcBorders>
              <w:top w:val="single" w:color="375623" w:sz="4"/>
              <w:left w:val="single" w:color="375623" w:sz="4"/>
              <w:bottom w:val="single" w:color="375623" w:sz="4"/>
              <w:right w:val="single" w:color="375623" w:sz="4"/>
            </w:tcBorders>
            <w:shd w:fill="E2EFDA"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375623"/>
                <w:sz w:val="17"/>
                <w:szCs w:val="17"/>
              </w:rPr>
              <w:t xml:space="preserve">ORAL AGENTS</w:t>
            </w:r>
          </w:p>
        </w:tc>
      </w:tr>
      <w:tr>
        <w:tc>
          <w:tcPr>
            <w:tcW w:type="dxa" w:w="17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Baclofen (oral)</w:t>
            </w:r>
          </w:p>
        </w:tc>
        <w:tc>
          <w:tcPr>
            <w:tcW w:type="dxa" w:w="10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4"/>
                <w:szCs w:val="14"/>
              </w:rPr>
              <w:t xml:space="preserve">GABA-B agonist → presynaptic inhibition of spinal reflex arc</w:t>
            </w:r>
          </w:p>
        </w:tc>
        <w:tc>
          <w:tcPr>
            <w:tcW w:type="dxa" w:w="13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Spasticity (spinal &gt; supraspinal)</w:t>
            </w:r>
          </w:p>
        </w:tc>
        <w:tc>
          <w:tcPr>
            <w:tcW w:type="dxa" w:w="15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Start 2.5–5 mg BID-TID; titrate slowly. Max ~60–80 mg/day (children). Weight-based in young children.</w:t>
            </w:r>
          </w:p>
        </w:tc>
        <w:tc>
          <w:tcPr>
            <w:tcW w:type="dxa" w:w="206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First-line oral antispasticity agent. Effective for lower extremity spasticity (diplegia). Useful for spasms and clonus. Has limited CNS penetration — intrathecal (ITB) achieves far higher spinal concentrations.</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Sedation (most common — dose-limiting); weakness; ABRUPT DISCONTINUATION → withdrawal (seizures, hallucinations, autonomic instability — potentially fatal). Taper slowly.</w:t>
            </w:r>
          </w:p>
        </w:tc>
      </w:tr>
      <w:tr>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Diazepam (oral)</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4"/>
                <w:szCs w:val="14"/>
              </w:rPr>
              <w:t xml:space="preserve">GABA-A positive allosteric modulator → enhances chloride conductance → spinal and supraspinal inhibition</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Spasticity; also useful for dystonia and spasm</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0.04–0.08 mg/kg/dose TID-QID; max ~0.8 mg/kg/day</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Useful for acute spasm, painful spasticity, and mixed spasticity-dystonia. Tolerance develops with chronic use. Valuable for short-term management and procedural/comfort use in severe CP.</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Sedation; tolerance; dependence; respiratory depression (caution with sleep-disordered breathing). Paradoxical agitation in some children.</w:t>
            </w:r>
          </w:p>
        </w:tc>
      </w:tr>
      <w:tr>
        <w:tc>
          <w:tcPr>
            <w:tcW w:type="dxa" w:w="17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Tizanidine</w:t>
            </w:r>
          </w:p>
        </w:tc>
        <w:tc>
          <w:tcPr>
            <w:tcW w:type="dxa" w:w="10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4"/>
                <w:szCs w:val="14"/>
              </w:rPr>
              <w:t xml:space="preserve">Alpha-2 adrenergic agonist → inhibits excitatory interneurons in spinal cord</w:t>
            </w:r>
          </w:p>
        </w:tc>
        <w:tc>
          <w:tcPr>
            <w:tcW w:type="dxa" w:w="13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Spasticity</w:t>
            </w:r>
          </w:p>
        </w:tc>
        <w:tc>
          <w:tcPr>
            <w:tcW w:type="dxa" w:w="15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Start 0.05 mg/kg/dose at night; titrate to TID. Off-label in children.</w:t>
            </w:r>
          </w:p>
        </w:tc>
        <w:tc>
          <w:tcPr>
            <w:tcW w:type="dxa" w:w="206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Alternative to baclofen; may be better tolerated in some. Hepatotoxicity risk — monitor LFTs at baseline and periodically. Less evidence in pediatric CP than baclofen.</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Sedation; hepatotoxicity (monitor LFTs); hypotension; dry mouth. Drug interactions (CYP1A2 inhibitors increase levels significantly).</w:t>
            </w:r>
          </w:p>
        </w:tc>
      </w:tr>
      <w:tr>
        <w:tc>
          <w:tcPr>
            <w:gridSpan w:val="6"/>
            <w:tcBorders>
              <w:top w:val="single" w:color="5B2C6F" w:sz="4"/>
              <w:left w:val="single" w:color="5B2C6F" w:sz="4"/>
              <w:bottom w:val="single" w:color="5B2C6F" w:sz="4"/>
              <w:right w:val="single" w:color="5B2C6F" w:sz="4"/>
            </w:tcBorders>
            <w:shd w:fill="EDE0F7"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5B2C6F"/>
                <w:sz w:val="17"/>
                <w:szCs w:val="17"/>
              </w:rPr>
              <w:t xml:space="preserve">AGENTS FOR DYSTONIA</w:t>
            </w:r>
          </w:p>
        </w:tc>
      </w:tr>
      <w:tr>
        <w:tc>
          <w:tcPr>
            <w:tcW w:type="dxa" w:w="170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Trihexyphenidyl (Artane)</w:t>
            </w:r>
          </w:p>
        </w:tc>
        <w:tc>
          <w:tcPr>
            <w:tcW w:type="dxa" w:w="100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4"/>
                <w:szCs w:val="14"/>
              </w:rPr>
              <w:t xml:space="preserve">Muscarinic anticholinergic → reduces thalamocortical and striatal cholinergic drive</w:t>
            </w:r>
          </w:p>
        </w:tc>
        <w:tc>
          <w:tcPr>
            <w:tcW w:type="dxa" w:w="130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Dystonia (primary and secondary)</w:t>
            </w:r>
          </w:p>
        </w:tc>
        <w:tc>
          <w:tcPr>
            <w:tcW w:type="dxa" w:w="150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Start 0.5–1 mg/day; titrate slowly over months to effect. Children often tolerate higher doses (mg/kg) than adults. Target 12–20 mg/day in older children.</w:t>
            </w:r>
          </w:p>
        </w:tc>
        <w:tc>
          <w:tcPr>
            <w:tcW w:type="dxa" w:w="206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Most established oral agent for childhood dystonia, including dyskinetic CP. Requires slow, gradual titration — rush titration → anticholinergic toxicity. More effective in younger children and primary dystonias than secondary (CP).</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Anticholinergic: dry mouth, urinary retention, constipation, blurred vision, cognitive impairment (dose-limiting), behavioral change. Reduce dose if cognition declines.</w:t>
            </w:r>
          </w:p>
        </w:tc>
      </w:tr>
      <w:tr>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Levodopa / carbidopa</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4"/>
                <w:szCs w:val="14"/>
              </w:rPr>
              <w:t xml:space="preserve">Dopamine precursor → restores dopaminergic tone in striatum</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Dystonia — especially DRD; partial benefit in some dyskinetic CP</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Start 1–2 mg/kg/day levodopa component divided TID. DRD: dramatic response to very low doses (1–2 mg/kg/day). Dyskinetic CP: trial warranted, less dramatic.</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MANDATORY trial in any child with dystonia and normal MRI — DRD (GCH1) is exquisitely responsive and clinically indistinguishable from dyskinetic CP without a trial. Low risk. Absence of response does not exclude DRD definitively (consider CSF neurotransmitter testing).</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Nausea (give with food); dyskinesia at higher doses (rare in DRD); hypotension; very rarely: dopamine dysregulation (high doses).</w:t>
            </w:r>
          </w:p>
        </w:tc>
      </w:tr>
      <w:tr>
        <w:tc>
          <w:tcPr>
            <w:tcW w:type="dxa" w:w="170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Clonazepam</w:t>
            </w:r>
          </w:p>
        </w:tc>
        <w:tc>
          <w:tcPr>
            <w:tcW w:type="dxa" w:w="100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4"/>
                <w:szCs w:val="14"/>
              </w:rPr>
              <w:t xml:space="preserve">GABA-A positive modulator (same as diazepam but longer-acting)</w:t>
            </w:r>
          </w:p>
        </w:tc>
        <w:tc>
          <w:tcPr>
            <w:tcW w:type="dxa" w:w="130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Dystonia; myoclonus; mixed tone disorders</w:t>
            </w:r>
          </w:p>
        </w:tc>
        <w:tc>
          <w:tcPr>
            <w:tcW w:type="dxa" w:w="150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0.01–0.05 mg/kg/day divided BID-TID; titrate slowly</w:t>
            </w:r>
          </w:p>
        </w:tc>
        <w:tc>
          <w:tcPr>
            <w:tcW w:type="dxa" w:w="206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Useful adjunct for dystonia, especially at night. Helpful for dystonic spasms and sleep-disrupting tone abnormalities. Myoclonus-dystonia overlap.</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Sedation; tolerance; hypersalivation (problematic in CP with dysphagia). Paradoxical agitation possible.</w:t>
            </w:r>
          </w:p>
        </w:tc>
      </w:tr>
      <w:tr>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Tetrabenazine / deutetrabenazine</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4"/>
                <w:szCs w:val="14"/>
              </w:rPr>
              <w:t xml:space="preserve">VMAT2 inhibitor → depletes presynaptic dopamine and monoamines</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Hyperkinetic movements: choreoathetosis, dystonia (variable), tics</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Tetrabenazine: start 12.5 mg/day; titrate. Deutetrabenazine (longer half-life): start 6 mg/day.</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More commonly used for chorea and choreoathetosis (Huntington, neuroacanthocytosis, dyskinetic CP with prominent chorea). Variable benefit for dystonia. Deutetrabenazine has improved tolerability profile.</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Depression/suicidality (screen; contraindicated in untreated depression); sedation; Parkinsonism (dose-dependent); QTc prolongation.</w:t>
            </w:r>
          </w:p>
        </w:tc>
      </w:tr>
      <w:tr>
        <w:tc>
          <w:tcPr>
            <w:gridSpan w:val="6"/>
            <w:tcBorders>
              <w:top w:val="single" w:color="7D6608" w:sz="4"/>
              <w:left w:val="single" w:color="7D6608" w:sz="4"/>
              <w:bottom w:val="single" w:color="7D6608" w:sz="4"/>
              <w:right w:val="single" w:color="7D6608" w:sz="4"/>
            </w:tcBorders>
            <w:shd w:fill="FEF9E7" w:val="clear"/>
            <w:tcMar>
              <w:top w:type="dxa" w:w="80"/>
              <w:left w:type="dxa" w:w="120"/>
              <w:bottom w:type="dxa" w:w="80"/>
              <w:right w:type="dxa" w:w="120"/>
            </w:tcMar>
            <w:vAlign w:val="top"/>
          </w:tcPr>
          <w:p>
            <w:pPr>
              <w:spacing w:after="40" w:before="40"/>
              <w:jc w:val="center"/>
            </w:pPr>
            <w:r>
              <w:rPr>
                <w:rFonts w:ascii="Arial" w:cs="Arial" w:eastAsia="Arial" w:hAnsi="Arial"/>
                <w:b/>
                <w:bCs/>
                <w:i w:val="false"/>
                <w:iCs w:val="false"/>
                <w:color w:val="7D6608"/>
                <w:sz w:val="17"/>
                <w:szCs w:val="17"/>
              </w:rPr>
              <w:t xml:space="preserve">FOCAL AND INTERVENTIONAL TREATMENTS</w:t>
            </w:r>
          </w:p>
        </w:tc>
      </w:tr>
      <w:tr>
        <w:tc>
          <w:tcPr>
            <w:tcW w:type="dxa" w:w="1700"/>
            <w:gridSpan w:val="1"/>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Botulinum toxin A (BoNT-A)
(onabotulinumtoxinA / abobotulinumtoxinA)</w:t>
            </w:r>
          </w:p>
        </w:tc>
        <w:tc>
          <w:tcPr>
            <w:tcW w:type="dxa" w:w="1000"/>
            <w:gridSpan w:val="1"/>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4"/>
                <w:szCs w:val="14"/>
              </w:rPr>
              <w:t xml:space="preserve">Blocks presynaptic ACh release at NMJ → focal chemodenervation → temporary reduction of muscle overactivity</w:t>
            </w:r>
          </w:p>
        </w:tc>
        <w:tc>
          <w:tcPr>
            <w:tcW w:type="dxa" w:w="1300"/>
            <w:gridSpan w:val="1"/>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Focal spasticity; focal dystonia</w:t>
            </w:r>
          </w:p>
        </w:tc>
        <w:tc>
          <w:tcPr>
            <w:tcW w:type="dxa" w:w="1500"/>
            <w:gridSpan w:val="1"/>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Dose per muscle group; total dose limits apply (onabotulinumtoxinA: ≤12–16 U/kg per session; abobotulinumtoxinA: ~3× conversion). IM injection, often with ultrasound guidance or EMG.</w:t>
            </w:r>
          </w:p>
        </w:tc>
        <w:tc>
          <w:tcPr>
            <w:tcW w:type="dxa" w:w="2060"/>
            <w:gridSpan w:val="1"/>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Most commonly used focal treatment in CP. Most evidence for equinus (gastrocnemius/soleus), scissoring (hip adductors), and UE spasticity. Effects last 3–6 months — repeat every 3–4 months with therapy to consolidate gains. Combine with casting and physiotherapy for optimal outcomes. Dystonia: less evidence but used for focal dystonia (writer's cramp, cervical dystonia analogs in CP).</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Injection site pain; weakness (excessive spread); dysphagia if neck muscles treated; very rare systemic spread (FDA black box — distant site weakness). Antibody formation with high-dose, high-frequency use (less common with onabotulinumtoxinA if intervals maintained).</w:t>
            </w:r>
          </w:p>
        </w:tc>
      </w:tr>
      <w:tr>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Intrathecal baclofen (ITB pump)</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4"/>
                <w:szCs w:val="14"/>
              </w:rPr>
              <w:t xml:space="preserve">Direct delivery of baclofen to CSF → high spinal concentration, minimal systemic exposure → potent reduction of spinal spasticity and some dystonia</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Severe spasticity (especially LE); dystonia (variable response); mixed tone</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Programmable pump implanted in abdominal wall; catheter to lumbar intrathecal space. Starting dose ~25–50 mcg/day; titrate over months. Bolus screening trial before implant.</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Indicated for severe, diffuse spasticity at GMFCS III–V not adequately managed with oral agents or BoNT. Significantly reduces tone, improves care (hygiene, positioning), reduces pain. Dystonic CP response is variable — less predictable than for spasticity. Goal may be comfort and care, not ambulation.</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PUMP/CATHETER MALFUNCTION → acute baclofen withdrawal (fever, altered mental status, seizures, autonomic instability — MEDICAL EMERGENCY). Infection (pump pocket, meningitis). Overdose → coma, respiratory arrest. Residents must recognize withdrawal syndrome urgently.</w:t>
            </w:r>
          </w:p>
        </w:tc>
      </w:tr>
      <w:tr>
        <w:tc>
          <w:tcPr>
            <w:tcW w:type="dxa" w:w="1700"/>
            <w:gridSpan w:val="1"/>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Selective dorsal rhizotomy (SDR)</w:t>
            </w:r>
          </w:p>
        </w:tc>
        <w:tc>
          <w:tcPr>
            <w:tcW w:type="dxa" w:w="1000"/>
            <w:gridSpan w:val="1"/>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4"/>
                <w:szCs w:val="14"/>
              </w:rPr>
              <w:t xml:space="preserve">Surgical sectioning of selective dorsal nerve rootlets (L1–S1) → permanently reduces afferent spasticity drive</w:t>
            </w:r>
          </w:p>
        </w:tc>
        <w:tc>
          <w:tcPr>
            <w:tcW w:type="dxa" w:w="1300"/>
            <w:gridSpan w:val="1"/>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Spasticity (permanent reduction — not dystonia)</w:t>
            </w:r>
          </w:p>
        </w:tc>
        <w:tc>
          <w:tcPr>
            <w:tcW w:type="dxa" w:w="1500"/>
            <w:gridSpan w:val="1"/>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Surgical procedure; not reversible</w:t>
            </w:r>
          </w:p>
        </w:tc>
        <w:tc>
          <w:tcPr>
            <w:tcW w:type="dxa" w:w="2060"/>
            <w:gridSpan w:val="1"/>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Best evidence for spastic diplegia at GMFCS II–III with good underlying muscle strength and minimal dystonia. Requires careful patient selection. Permanent reduction in LE spasticity. Combined with intensive post-operative physiotherapy. Does not benefit dystonia — misidentification of dystonia as spasticity leads to poor outcomes.</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4"/>
                <w:szCs w:val="14"/>
              </w:rPr>
              <w:t xml:space="preserve">Permanent (irreversible); post-operative weakness; bladder dysfunction (usually transient); spinal deformity risk long-term. Patient selection is critical — outcomes poor if significant dystonia component present.</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0"/>
              <w:left w:val="single" w:color="C00000" w:sz="10"/>
              <w:bottom w:val="single" w:color="C00000" w:sz="10"/>
              <w:right w:val="single" w:color="C00000" w:sz="10"/>
            </w:tcBorders>
            <w:shd w:fill="FFCCCC" w:val="clear"/>
            <w:tcMar>
              <w:top w:type="dxa" w:w="100"/>
              <w:left w:type="dxa" w:w="160"/>
              <w:bottom w:type="dxa" w:w="100"/>
              <w:right w:type="dxa" w:w="160"/>
            </w:tcMar>
          </w:tcPr>
          <w:p>
            <w:pPr>
              <w:spacing w:after="80" w:before="0"/>
            </w:pPr>
            <w:r>
              <w:rPr>
                <w:rFonts w:ascii="Arial" w:cs="Arial" w:eastAsia="Arial" w:hAnsi="Arial"/>
                <w:b/>
                <w:bCs/>
                <w:color w:val="C00000"/>
                <w:sz w:val="20"/>
                <w:szCs w:val="20"/>
              </w:rPr>
              <w:t xml:space="preserve">Baclofen Withdrawal — A Medical Emergency Residents Must Recognize</w:t>
            </w:r>
          </w:p>
          <w:p>
            <w:pPr>
              <w:pStyle w:val="ListParagraph"/>
              <w:numPr>
                <w:ilvl w:val="0"/>
                <w:numId w:val="2"/>
              </w:numPr>
              <w:spacing w:after="30" w:before="30"/>
            </w:pPr>
            <w:r>
              <w:rPr>
                <w:rFonts w:ascii="Arial" w:cs="Arial" w:eastAsia="Arial" w:hAnsi="Arial"/>
                <w:sz w:val="17"/>
                <w:szCs w:val="17"/>
              </w:rPr>
              <w:t xml:space="preserve">Acute baclofen withdrawal (oral or intrathecal pump failure) presents with: fever, altered mental status, severe spasticity/rigidity, seizures, autonomic instability (tachycardia, hypertension, diaphoresis).</w:t>
            </w:r>
          </w:p>
          <w:p>
            <w:pPr>
              <w:pStyle w:val="ListParagraph"/>
              <w:numPr>
                <w:ilvl w:val="0"/>
                <w:numId w:val="2"/>
              </w:numPr>
              <w:spacing w:after="30" w:before="30"/>
            </w:pPr>
            <w:r>
              <w:rPr>
                <w:rFonts w:ascii="Arial" w:cs="Arial" w:eastAsia="Arial" w:hAnsi="Arial"/>
                <w:sz w:val="17"/>
                <w:szCs w:val="17"/>
              </w:rPr>
              <w:t xml:space="preserve">It can be fatal if not recognized and treated promptly.</w:t>
            </w:r>
          </w:p>
          <w:p>
            <w:pPr>
              <w:pStyle w:val="ListParagraph"/>
              <w:numPr>
                <w:ilvl w:val="0"/>
                <w:numId w:val="2"/>
              </w:numPr>
              <w:spacing w:after="30" w:before="30"/>
            </w:pPr>
            <w:r>
              <w:rPr>
                <w:rFonts w:ascii="Arial" w:cs="Arial" w:eastAsia="Arial" w:hAnsi="Arial"/>
                <w:sz w:val="17"/>
                <w:szCs w:val="17"/>
              </w:rPr>
              <w:t xml:space="preserve">In ITB pump failure: the pump may alarm, or the catheter may kink/migrate. Do not assume 'the pump is fine' without interrogating it.</w:t>
            </w:r>
          </w:p>
          <w:p>
            <w:pPr>
              <w:pStyle w:val="ListParagraph"/>
              <w:numPr>
                <w:ilvl w:val="0"/>
                <w:numId w:val="2"/>
              </w:numPr>
              <w:spacing w:after="30" w:before="30"/>
            </w:pPr>
            <w:r>
              <w:rPr>
                <w:rFonts w:ascii="Arial" w:cs="Arial" w:eastAsia="Arial" w:hAnsi="Arial"/>
                <w:sz w:val="17"/>
                <w:szCs w:val="17"/>
              </w:rPr>
              <w:t xml:space="preserve">Treatment: high-dose oral or IV benzodiazepines (diazepam, lorazepam) bridge the gap while the pump is repaired. Oral baclofen does not achieve adequate spinal concentrations to substitute for ITB in severe cases — benzodiazepines are the acute treatment.</w:t>
            </w:r>
          </w:p>
          <w:p>
            <w:pPr>
              <w:pStyle w:val="ListParagraph"/>
              <w:numPr>
                <w:ilvl w:val="0"/>
                <w:numId w:val="2"/>
              </w:numPr>
              <w:spacing w:after="30" w:before="30"/>
            </w:pPr>
            <w:r>
              <w:rPr>
                <w:rFonts w:ascii="Arial" w:cs="Arial" w:eastAsia="Arial" w:hAnsi="Arial"/>
                <w:sz w:val="17"/>
                <w:szCs w:val="17"/>
              </w:rPr>
              <w:t xml:space="preserve">Cyproheptadine (serotonin antagonist) has been used as adjunctive treatment for ITB withdrawal but evidence is limited.</w:t>
            </w:r>
          </w:p>
          <w:p>
            <w:pPr>
              <w:pStyle w:val="ListParagraph"/>
              <w:numPr>
                <w:ilvl w:val="0"/>
                <w:numId w:val="2"/>
              </w:numPr>
              <w:spacing w:after="30" w:before="30"/>
            </w:pPr>
            <w:r>
              <w:rPr>
                <w:rFonts w:ascii="Arial" w:cs="Arial" w:eastAsia="Arial" w:hAnsi="Arial"/>
                <w:sz w:val="17"/>
                <w:szCs w:val="17"/>
              </w:rPr>
              <w:t xml:space="preserve">Any child with an ITB pump presenting with fever + altered mental status = baclofen withdrawal until proven otherwise. Call neurosurgery.</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10"/>
              <w:left w:val="single" w:color="375623" w:sz="10"/>
              <w:bottom w:val="single" w:color="375623" w:sz="10"/>
              <w:right w:val="single" w:color="375623" w:sz="10"/>
            </w:tcBorders>
            <w:shd w:fill="E2EFDA" w:val="clear"/>
            <w:tcMar>
              <w:top w:type="dxa" w:w="100"/>
              <w:left w:type="dxa" w:w="160"/>
              <w:bottom w:type="dxa" w:w="100"/>
              <w:right w:type="dxa" w:w="160"/>
            </w:tcMar>
          </w:tcPr>
          <w:p>
            <w:pPr>
              <w:spacing w:after="80" w:before="0"/>
            </w:pPr>
            <w:r>
              <w:rPr>
                <w:rFonts w:ascii="Arial" w:cs="Arial" w:eastAsia="Arial" w:hAnsi="Arial"/>
                <w:b/>
                <w:bCs/>
                <w:color w:val="375623"/>
                <w:sz w:val="20"/>
                <w:szCs w:val="20"/>
              </w:rPr>
              <w:t xml:space="preserve">Levodopa Trial — Mandatory in Dystonia with Normal MRI</w:t>
            </w:r>
          </w:p>
          <w:p>
            <w:pPr>
              <w:pStyle w:val="ListParagraph"/>
              <w:numPr>
                <w:ilvl w:val="0"/>
                <w:numId w:val="2"/>
              </w:numPr>
              <w:spacing w:after="30" w:before="30"/>
            </w:pPr>
            <w:r>
              <w:rPr>
                <w:rFonts w:ascii="Arial" w:cs="Arial" w:eastAsia="Arial" w:hAnsi="Arial"/>
                <w:sz w:val="17"/>
                <w:szCs w:val="17"/>
              </w:rPr>
              <w:t xml:space="preserve">Dopa-responsive dystonia (DRD) is clinically indistinguishable from dyskinetic CP without a levodopa trial.</w:t>
            </w:r>
          </w:p>
          <w:p>
            <w:pPr>
              <w:pStyle w:val="ListParagraph"/>
              <w:numPr>
                <w:ilvl w:val="0"/>
                <w:numId w:val="2"/>
              </w:numPr>
              <w:spacing w:after="30" w:before="30"/>
            </w:pPr>
            <w:r>
              <w:rPr>
                <w:rFonts w:ascii="Arial" w:cs="Arial" w:eastAsia="Arial" w:hAnsi="Arial"/>
                <w:sz w:val="17"/>
                <w:szCs w:val="17"/>
              </w:rPr>
              <w:t xml:space="preserve">Protocol: levodopa/carbidopa, starting at ~1 mg/kg/day levodopa component, divided TID, titrated over 2–4 weeks to 2–5 mg/kg/day.</w:t>
            </w:r>
          </w:p>
          <w:p>
            <w:pPr>
              <w:pStyle w:val="ListParagraph"/>
              <w:numPr>
                <w:ilvl w:val="0"/>
                <w:numId w:val="2"/>
              </w:numPr>
              <w:spacing w:after="30" w:before="30"/>
            </w:pPr>
            <w:r>
              <w:rPr>
                <w:rFonts w:ascii="Arial" w:cs="Arial" w:eastAsia="Arial" w:hAnsi="Arial"/>
                <w:sz w:val="17"/>
                <w:szCs w:val="17"/>
              </w:rPr>
              <w:t xml:space="preserve">DRD response: dramatic improvement, often within days to a few weeks. Diurnal variation disappears. Function may normalize remarkably.</w:t>
            </w:r>
          </w:p>
          <w:p>
            <w:pPr>
              <w:pStyle w:val="ListParagraph"/>
              <w:numPr>
                <w:ilvl w:val="0"/>
                <w:numId w:val="2"/>
              </w:numPr>
              <w:spacing w:after="30" w:before="30"/>
            </w:pPr>
            <w:r>
              <w:rPr>
                <w:rFonts w:ascii="Arial" w:cs="Arial" w:eastAsia="Arial" w:hAnsi="Arial"/>
                <w:sz w:val="17"/>
                <w:szCs w:val="17"/>
              </w:rPr>
              <w:t xml:space="preserve">Absence of dramatic response does not definitively exclude DRD — some cases respond only partially, or have the recessive TH gene form (requires higher doses). CSF neurotransmitters (low HVA, low biopterin) can support the diagnosis.</w:t>
            </w:r>
          </w:p>
          <w:p>
            <w:pPr>
              <w:pStyle w:val="ListParagraph"/>
              <w:numPr>
                <w:ilvl w:val="0"/>
                <w:numId w:val="2"/>
              </w:numPr>
              <w:spacing w:after="30" w:before="30"/>
            </w:pPr>
            <w:r>
              <w:rPr>
                <w:rFonts w:ascii="Arial" w:cs="Arial" w:eastAsia="Arial" w:hAnsi="Arial"/>
                <w:sz w:val="17"/>
                <w:szCs w:val="17"/>
              </w:rPr>
              <w:t xml:space="preserve">The levodopa trial is low-risk, inexpensive, and potentially life-changing. There is no acceptable reason not to perform it in a child with dystonia and a normal MRI.</w:t>
            </w:r>
          </w:p>
        </w:tc>
      </w:tr>
    </w:tbl>
    <w:p>
      <w:r>
        <w:rPr>
          <w:sz w:val="10"/>
          <w:szCs w:val="10"/>
        </w:rPr>
        <w:t xml:space="preserve"/>
      </w:r>
    </w:p>
    <w:p>
      <w:r>
        <w:rPr>
          <w:sz w:val="10"/>
          <w:szCs w:val="10"/>
        </w:rPr>
        <w:t xml:space="preserve"/>
      </w:r>
    </w:p>
    <w:p>
      <w:pPr>
        <w:pBdr>
          <w:top w:val="single" w:color="AAAAAA" w:sz="4" w:space="6"/>
        </w:pBdr>
        <w:spacing w:after="60" w:before="120"/>
      </w:pPr>
      <w:r>
        <w:rPr>
          <w:rFonts w:ascii="Arial" w:cs="Arial" w:eastAsia="Arial" w:hAnsi="Arial"/>
          <w:i/>
          <w:iCs/>
          <w:color w:val="888888"/>
          <w:sz w:val="16"/>
          <w:szCs w:val="16"/>
        </w:rPr>
        <w:t xml:space="preserve">Child Neurology Residency Manual  |  Cerebral Palsy  |  PGY-3/4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Jc w:val="left"/>
      <w:pPr>
        <w:ind w:left="560" w:hanging="280"/>
      </w:p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2026-03-08T04:04:01.568Z</dcterms:created>
  <dcterms:modified xsi:type="dcterms:W3CDTF">2026-03-08T04:04:01.569Z</dcterms:modified>
</cp:coreProperties>
</file>

<file path=docProps/custom.xml><?xml version="1.0" encoding="utf-8"?>
<Properties xmlns="http://schemas.openxmlformats.org/officeDocument/2006/custom-properties" xmlns:vt="http://schemas.openxmlformats.org/officeDocument/2006/docPropsVTypes"/>
</file>