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Movement Disorders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Child Neurology Residency Manual  |  PGY-3/4 Reference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The Movement Disorders Examination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Observe before touching. Use provocative maneuvers. Describe before diagnosing.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2E5FA3"/>
          <w:sz w:val="19"/>
          <w:szCs w:val="19"/>
        </w:rPr>
        <w:t xml:space="preserve">Table 1. Structured Movement Examination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 DOMAIN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MANEUVER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ABNORMAL FINDINGS / WHAT TO LOOK FOR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General Observation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Quiet sitting with and without suppression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Abnormal movements at rest; titubation (rhythmic head/trunk bobbing); spontaneous involuntary movements; suppressibility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Cranial Nerves — Gaze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Fixation of gaze; square wave jerks; smooth pursuit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Nystagmus; impaired gaze maintenance; square wave jerks (small involuntary saccades interrupting fixation); breakdown of smooth pursuit with catch-up saccades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Cranial Nerves — Saccades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Large saccades (horizontal and vertical); blink to initiate saccade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Overshoot (hypermetria) or undershoot (hypometria); slow saccades; blink-initiated saccades (oculomotor apraxia — Ataxia-telangiectasia, AOA1/2, Joubert)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Cranial Nerves — Speech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Coordination, quality, pronunciation, pitch modulation, inflection; sustained 'aah' and 'eeh'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Dysrhythmic/ataxic speech; dysarthria (labial, lingual, guttural); scanning speech / abnormal prosody; voice tremor; soft, strangulated, or breathy voice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Cranial Nerves — Tongue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Side-to-side tongue movements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Slow movements; fasciculations; atrophy (LMN); difficulty with alternating movements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Tone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Passive ROM all limbs at rest and with distraction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Spasticity (velocity-dependent); rigidity (lead-pipe, uniform); dystonia (patterned, action-induced); hypotonia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Posture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Arms extended with palms up, in, down, and out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Tremor; abnormal posturing; pronator drift; finger posture abnormalities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Rebound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Examiner briefly forces extended arms downward, then releases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Excessive rebound overshoot = cerebellar dysfunction; reduced rebound = upper motor neuron / spasticity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RAM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Rapid alternating movements (hand pronation/supination; finger taps)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Dysdiadochokinesia; irregular rhythm; diminishing amplitude; superimposed abnormal movements; slow speed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Finger-to-Nose / Toe-to-Finger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Standard FTN and TTF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Dysmetria; action tremor throughout movement; intention tremor (increases as approaching target); superimposed chorea or myoclonus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Motor — Writing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Observe grip, posture, and output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Abnormal hand posture; tremor during writing; writer's cramp (focal task-specific dystonia); superimposed involuntary movements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Gait — Observe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Body posture, base, stride, arm swing, heel-toe, path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Trunk flexed/extended; wide/narrow/scissored base; asymmetric stride; reduced arm swing; absent heel strike; meandering path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Gait — Provocative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Tandem, balance on one foot, reverse walking, sideways walking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impairment; abnormal foot posture; persistence or worsening of abnormal movements on provocative gait tasks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Gait — Movement Activation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Observe for movement changes during gait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Increased amplitude/frequency of abnormal movements; emergence of hyperkinetic movements (dystonia, chorea, tics) during walking or running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Describing Abnormal Movements — A Framework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Systematic description often points directly to diagnosis.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2E5FA3"/>
          <w:sz w:val="19"/>
          <w:szCs w:val="19"/>
        </w:rPr>
        <w:t xml:space="preserve">Table 2. Movement Description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QUESTIONS TO ASK / DESCRIBE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Hyper- vs. hypokinetic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 there excess movement (hyperkinetic: tremor, chorea, myoclonus, tics, dystonia) or reduction/poverty of movement (hypokinetic: Parkinsonism, bradykinesia)?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Frequency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 it continuous, intermittent, or paroxysmal? How often does it occur per unit time?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Duration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Brief (myoclonus, chorea — milliseconds to seconds); sustained (dystonia — seconds to minutes); rhythmic regular (tremor)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Voluntary vs. involuntary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 the patient initiate, modify, or stop the movement? Is there a premonitory urge (tics)?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Rest vs. action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Present at rest (resting tremor, severe dystonia/chorea); with posture held (postural tremor); with movement (action/intention tremor, dystonia); task-specific?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Suppressibility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 the patient suppress it voluntarily? For how long? With what effort? Tics are often suppressible with urge buildup; chorea is typically not.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Change over time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Does it worsen, improve, fluctuate? Diurnal variation (DRD)? Triggered by fever, fasting, stress, exercise, specific tasks?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Premonitory urge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Preceding sensory urge that is relieved by the movement = strongly suggests tics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Family history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Tremor, dystonia, tics, ataxia, Parkinson — critical for all movement disorders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0"/>
              <w:left w:val="single" w:color="2E5FA3" w:sz="10"/>
              <w:bottom w:val="single" w:color="2E5FA3" w:sz="10"/>
              <w:right w:val="single" w:color="2E5FA3" w:sz="1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Exam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Observe at rest before touching — contact suppresses many movements.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Dual task (count backwards, walk and talk): hyperkinetic movements increase; functional movements disappear.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Gait is among the best provocative maneuvers for dystonia, chorea, and ataxia.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Don't forget face and trunk — cranial dystonia and truncal titubation are commonly missed.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Ask about diurnal variation (worse in evening/with fatigue) — key clue for DRD.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Video with consent — invaluable for tracking change over time.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Tremor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Classify by when it occurs relative to movement and posture — not by frequency. Resting, postural, and intention tremors have distinct localizations and diagnostic implications.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5B2C6F"/>
          <w:sz w:val="19"/>
          <w:szCs w:val="19"/>
        </w:rPr>
        <w:t xml:space="preserve">Table 3. Tremor Classification and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TREMOR TYPE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CHARACTERISTICS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COMMON CAUSES IN CHILDREN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DIAGNOSTIC APPROACH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Postural &gt; Resting
(action tremor, regular)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Present when limb is held against gravity; absent or reduced at rest; regular rhythm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Familial essential tremor (AD, family history key); enhanced physiological tremor (caffeine, medications, anxiety, metabolic); early dystonic tremor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Family history → TFTs + electrolytes first; if no family history, add MRI brain. Regular postural tremor with family history = likely essential tremor.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Postural &gt; Resting
(irregular, jerky)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Irregular, non-rhythmic; may resemble myoclonus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Myoclonic tremor; dystonic tremor (focal, task-specific, directional — 'null point'); cortical myoclonus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Consider myoclonus-dystonia (SGCE); primary dystonia syndromes; EEG if cortical myoclonus suspected; back-averaging EEG for cortical myoclonus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Resting &gt; Postural
(resting tremor)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Present at rest; suppressed or reduced with action; 'pill-rolling' pattern in Parkinson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Conversion/functional tremor; drug-induced Parkinsonism (dopamine blockers); juvenile Parkinson (PARK genes, Wilson disease); very rare primary Parkinsonism in childhood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Wilson disease must be excluded in any child with resting tremor: copper, ceruloplasmin, slit-lamp, 24h urine copper. Medication review. MRI brain.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Intention tremor
(cerebellar/action)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Increases as limb approaches target; present during movement, worsens terminally; associated with dysmetria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Cerebellar disease (malformation, ataxia syndromes, posterior fossa tumor, MS); spinocerebellar ataxias; mitochondrial disease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MRI brain/posterior fossa; ataxia workup (see Section 3); vitamin E level; metabolic screen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Medication/toxin-induced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History of exposure; often postural or action; may be any pattern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Albuterol, VPA, amiodarone, caffeine, amphetamines, lithium, cyclosporine, stimulants, arsenic, lead, mercury, toluene, alcohol withdrawal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Medication reconciliation first; toxicology screen; heavy metal screen if exposure suspected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Metabolic tremor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Often postural; context of systemic illness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Hepatic encephalopathy (asterixis — actually a negative myoclonus), hyperthyroidism, hypocalcemia, hypoglycemia, hypomagnesemia, pheochromocytoma, mitochondrial disease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CMP, TFTs, ammonia, glucose, magnesium, calcium; urine catecholamines if pheochromocytoma suspected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10"/>
              <w:left w:val="single" w:color="5B2C6F" w:sz="10"/>
              <w:bottom w:val="single" w:color="5B2C6F" w:sz="10"/>
              <w:right w:val="single" w:color="5B2C6F" w:sz="10"/>
            </w:tcBorders>
            <w:shd w:fill="EDE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Tremor Pearls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Essential tremor: most common movement disorder at all ages. ~50–70% family history (AD). Postural &gt; resting; bilateral UE; worsens with action. Titubation 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Dystonic tremor: irregular, directional, position-sensitive; worst at null point of dystonic pull. Distinguished from ET by irregularity and co-occurring dystonic posturing.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Wilson disease: tremor + any of dysarthria, psychiatric symptoms, liver disease → copper, ceruloplasmin, slit-lamp. Treatable — missing it is not acceptable.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Asterixis ≠ tremor. It is negative myoclonus (brief postural lapse). Elicit with arms outstretched, wrists dorsiflexed. Causes: hepatic encephalopathy, uremia, CO2 retention, drugs.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Ataxia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Approach by tempo: acute, recurrent/episodic, or chronic/progressive. Each category has a largely distinct DDx. Distinguish cerebellar (most common), sensory (Romberg +, worse eyes closed), and frontal (wide base, intact cerebellar exam) ataxia.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Acute-Onset Ataxia in a Previously Healthy Child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C55A11"/>
          <w:sz w:val="19"/>
          <w:szCs w:val="19"/>
        </w:rPr>
        <w:t xml:space="preserve">Table 4. Differential Diagnosis — Acute Ataxia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ETIOLOGY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TYPICAL PRESENTATION / KEY DISTINGUISHING FEATURES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Drug / toxin ingestion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Most common cause of acute ataxia in young children (1–4 yo). Nystagmus and encephalopathy common. Urine toxicology screen first. Onset often sudden.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Acute cerebellitis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Acute severe ataxia ± encephalopathy ± cerebellar swelling on MRI; may follow viral URI (1–3 weeks prior). Can be severe with risk of herniation from cerebellar edema. MRI essential.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Basilar migraine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Ataxia with posterior circulation migrainous features: diplopia, vertigo, headache, photophobia, visual phenomena. Family history of migraine often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Benign paroxysmal vertigo of childhood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Migrainous variant: brief episodes of vertigo ± ataxia, often with nausea, pallor, fear; normal between episodes. Age 2–8 typically. No loss of consciousness.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Brainstem encephalitis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Cranial nerve dysfunction (diplopia, facial weakness, dysphagia), encephalopathy, seizures, vomiting. Consider autoimmune (anti-GQ1b in Miller-Fisher) and infectious causes.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Paraneoplastic — neuroblastoma (OMA)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Opsoclonus-myoclonus-ataxia syndrome: encephalopathy, irritability, opsoclonus (chaotic multidirectional saccades), distal myoclonus. Neuroblastoma workup mandatory: MIBG scan, urine HVA/VMA, CT chest/abdomen/pelvis.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Conversion / functional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Inconsistent exam; features that do not conform to anatomical localization; typically late first/early second decade; often female; improvement with distraction. Rule-IN based on positive exam signs — see FMD callout.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Trauma — hematoma / post-concussive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Antecedent head trauma history. Post-concussive ataxia: acute, usually resolves. Cerebellar/posterior fossa hematoma: headache, progressive symptoms, signs of raised ICP — CT urgently.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Vertebrobasilar occlusion / stroke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Locked-in syndrome pattern: mute, quadriplegia, aware, communicates with eyes. May have initial transient headache, hemiparesis, involuntary movements. MRI/MRA urgently.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Inflammatory — MS, Miller-Fisher GBS, Kawasaki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MS: first demyelinating event, look for other lesions on MRI. Miller-Fisher: CN palsies (ophthalmoplegia) + areflexia + ataxia; anti-GQ1b. Kawasaki: fever + characteristic skin/mucosal findings.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Cerebellar hemorrhage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Signs of raised ICP (headache, vomiting, altered mental status); neck stiffness; CT urgently — can cause rapid herniation.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Recurrent / Episodic Ataxia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1A5276"/>
          <w:sz w:val="19"/>
          <w:szCs w:val="19"/>
        </w:rPr>
        <w:t xml:space="preserve">Table 5. Differential Diagnosis — Recurrent Ataxia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ETIOLOGY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FEATURES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Episodic Ataxia Type 1 (KCNA1)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AD. Onset 5–7 yo. Attacks 10 min–6 hours. Myokymia (continuous muscle undulation/rippling) between attacks — pathognomonic. Triggered by startle, exercise, fever. Acetazolamide reduces attacks. Commercial gene testing available.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Episodic Ataxia Type 2 (CACNA1A)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AD. Onset late childhood/adolescence. Attacks last hours. Severe inability to maintain posture; vomiting. Interictal nystagmus common. Acetazolamide reduces attacks. Same gene as FHM1 and SCA6 — allelic. Commercial gene testing available.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GLUT1 Deficiency (SLC2A1)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Ataxia/movement disorder episodes provoked by fasting; may have accompanying lethargy, hypotonia, weakness, headache. ± Seizures, acquired microcephaly. CSF glucose &lt;40 mg/dL (or CSF:serum ratio &lt;0.45). Fasting CSF glucose is the key test. Ketogenic diet highly effective.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Pyruvate Dehydrogenase Deficiency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Episodes of ataxia, dysarthria ± weakness/lethargy; provoked by infection, stress, or high-carbohydrate meal. Duration hours to weeks. Elevated CSF lactate. Skin fibroblast studies (females may have false negative from mosaicism). Treat with ketogenic diet ± CoQ10, carnitine, vitamins E/C, alpha lipoic acid.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MSUD — Intermittent Form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Irritability, progressive lethargy; attacks provoked by infection, surgery, or protein meal. Onset 5 months–2 years. Maple syrup odor. Plasma amino acids (elevated BCAA). Aminoaciduria. Diet: arginine, benzoate, alpha-ketoacids.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Hartnup Disease (SLC6A19)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Slow development; photosensitive pellagra-like rash; episodic ataxia ± nystagmus ± mood changes/encephalopathy; increased tone and DTRs between episodes. Worsened by stress/infection. Aminoaciduria (neutral amino acids). Treat with niacin.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Migraine-associated ataxia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Ataxia as part of basilar/vestibular migraine. Other migrainous features present. Treat as classic migraine. Diagnosis of exclusion in a migraineur.</w:t>
            </w:r>
          </w:p>
        </w:tc>
      </w:tr>
      <w:tr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Pseudoataxia — epileptic</w:t>
            </w:r>
          </w:p>
        </w:tc>
        <w:tc>
          <w:tcPr>
            <w:tcW w:type="dxa" w:w="74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Sudden onset with associated confusion; no nystagmus; EEG suggestive of ictal or postictal state. Treat underlying epilepsy with AEDs.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Chronic / Progressive Ataxia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2E5FA3"/>
          <w:sz w:val="19"/>
          <w:szCs w:val="19"/>
        </w:rPr>
        <w:t xml:space="preserve">Table 6. Differential Diagnosis — Chronic Ataxia by Genetics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AUTOSOMAL RECESSIVE</w:t>
            </w:r>
          </w:p>
        </w:tc>
        <w:tc>
          <w:tcPr>
            <w:tcW w:type="dxa" w:w="23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AUTOSOMAL DOMINANT</w:t>
            </w:r>
          </w:p>
        </w:tc>
        <w:tc>
          <w:tcPr>
            <w:tcW w:type="dxa" w:w="23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X-LINKED / OTHER GENETIC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STRUCTURAL / ACQUIRED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Friedreich ataxia (FXN — GAA repeat; NOT on WES)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Ataxia-telangiectasia (ATM)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Ataxia with oculomotor apraxia 1 (APTX)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Ataxia with oculomotor apraxia 2 (SETX)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Ataxia with vitamin E deficiency (TTPA)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Abetalipoproteinemia / Bassen-Kornzweig (MTTP)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Hypobetalipoproteinemia + areflexia + RP (HARP/PANK2)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Ataxia with CNS hypomyelination / VWM (EIF2B genes)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GLUT1 deficiency (chronic 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Pyruvate dehydrogenase deficiency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Hartnup disease (SLC6A19)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MSUD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Multiple carboxylase deficiency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Juvenile sulfatide lipidosis / MLD (ARSA)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Juvenile GM2 gangliosidosis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Niemann-Pick / sea-blue histiocytosis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Ramsay Hunt syndrome (MERRF — also mito)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Refsum disease (PHYH — elevated phytanic acid)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Respiratory chain disorders (Complex I, III, IV)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Marinesco-Sjögren syndrome (SIL1)</w:t>
            </w:r>
          </w:p>
        </w:tc>
        <w:tc>
          <w:tcPr>
            <w:tcW w:type="dxa" w:w="23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Spinocerebellar ataxias (SCAs 1,2,3,6,7,17 — most are trinucleotide repeats NOT on WES)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Dentatorubral-pallidoluysian atrophy (DRPLA — repeat expansion)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Episodic ataxia type 1 (KCNA1)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Episodic ataxia type 2 (CACNA1A)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Hereditary spastic ataxias</w:t>
            </w:r>
          </w:p>
        </w:tc>
        <w:tc>
          <w:tcPr>
            <w:tcW w:type="dxa" w:w="23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X-linked adrenoleukodystrophy (ABCD1)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Pelizaeus-Merzbacher disease (PLP1)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Leber hereditary optic neuropathy (mitochondrial)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Fragile X tremor/ataxia syndrome (FMR1 premutation — NOT on WES)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Congenital cerebellar malformations (hypoplasia, aplasia, Chiari, Dandy-Walker)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Basilar impression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Cerebellar astrocytoma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Medulloblastoma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Ependymoma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Cerebellar hemangioblastoma (VHL)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Supratentorial tumors with cerebellar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Multiple sclerosis / inflammatory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Post-infectious / para-infectious cerebellitis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FF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Repeat Expansion Disorders — NOT Detected on WES/WGS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WES and WGS do NOT detect repeat expansions — send disease-specific testing separately.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Affected disorders: Friedreich ataxia (FXN GAA repeat), SCAs (&gt;25 types, various repeats), DRPLA, Fragile X tremor-ataxia (FMR1 premutation), myotonic dystrophy (DMPK).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negative WES does NOT exclude Friedreich ataxia or any SCA.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Friedreich ataxia: most common hereditary ataxia (1/50,000). Onset &lt;25 yr; progressive ataxia + areflexia + proprioceptive loss + cardiomyopathy + diabetes + scoliosis.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Workup for Cerebellar Dysfunction by Tempo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C55A11"/>
          <w:sz w:val="19"/>
          <w:szCs w:val="19"/>
        </w:rPr>
        <w:t xml:space="preserve">Table 7. Ataxia Workup by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INITIAL WORKUP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ADDITIONAL / TARGETED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Acute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CT head (exclude hemorrhage, mass); urine toxicology; CMP. MRI/MRA if concern for stroke or vascular lesion. LP if encephalopathic and negative scan, or if infectious/inflammatory etiology suspected.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If OMA suspected: MIBG scan, urine HVA/VMA, CT chest/abdomen/pelvis ± contrast; LP + serum paraneoplastic panels. Anti-GQ1b if Miller-Fisher pattern. Consider autoimmune encephalitis panel.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Recurrent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MRI brain ± MRA ± MRS. Fasting CSF glucose + simultaneous serum glucose (GLUT1). CSF lactate and pyruvate if PDH/mitochondrial suspected.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Additional genetic and metabolic testing guided by clinical features (see recurrent ataxia table). CACNA1A/KCNA1 gene testing for EA2/EA1 if episodic pattern.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Chronic / progressive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MRI brain ± MRA, MRS. Vitamin E level (AVED — underdiagnosed and treatable). LP: CSF glucose (GLUT1), OCB/IgG index (MS/inflammatory), lactate/pyruvate (mitochondrial).</w:t>
            </w:r>
          </w:p>
        </w:tc>
        <w:tc>
          <w:tcPr>
            <w:tcW w:type="dxa" w:w="3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Genetic panel: NOTE — most SCAs, Friedreich ataxia, DRPLA, and Fragile X are REPEAT EXPANSION disorders and are NOT detected on standard WES/WGS. Send disease-specific repeat expansion testing separately. Metabolic screen (amino acids, organic acids, VLCFA, lysosomal enzymes) based on clinical pattern.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Dystonia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Patterned, directional, action-induced posturing from simultaneous agonist/antagonist co-contraction. Affected limbs are typically strong. Sensory trick (geste antagoniste) — touching the body part transiently relieves it — is nearly pathognomonic.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10"/>
              <w:left w:val="single" w:color="5B2C6F" w:sz="10"/>
              <w:bottom w:val="single" w:color="5B2C6F" w:sz="10"/>
              <w:right w:val="single" w:color="5B2C6F" w:sz="10"/>
            </w:tcBorders>
            <w:shd w:fill="EDE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Primary vs. Secondary Dystonia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(isolated): dystonia only; normal MRI; genetic cause common (DYT-TOR1A, GCH1/DRD, DYT-THAP1, DYT-GNAL).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Secondary (combined): dystonia + other features or known brain injury (CP, HIE, kernicterus, metabolic disease).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Bilateral BG signal on MRI → GA1, Wilson, PKAN, NPC, CO toxicity, mitochondrial (Leigh), post-anoxic.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DRD (GCH1): diurnal variation is the hallmark; normal MRI; AD (family history may be negative). Levodopa response often dramatic within days. Trial is mandatory.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Treatment Goal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Reduce dystonia enough to improve function without causing worsened secretions, dysphagia, weakness, or sedation. Multimodal; benefit may take weeks to months.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Trihexyphenidyl (Artane) Titration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Titrate slowly — rushing causes anticholinergic toxicity. Allow 2–4 weeks at each level before assessing benefit.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5B2C6F"/>
          <w:sz w:val="19"/>
          <w:szCs w:val="19"/>
        </w:rPr>
        <w:t xml:space="preserve">Table 8. Trihexyphenidyl Titration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DOSE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1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0.05 mg/kg BID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2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0.05 mg/kg TID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3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0.1 mg/kg TID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4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0.15 mg/kg TID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5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0.2 mg/kg TID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Weeks 6+</w:t>
            </w:r>
          </w:p>
        </w:tc>
        <w:tc>
          <w:tcPr>
            <w:tcW w:type="dxa" w:w="7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0.25 mg/kg TID (target maintenance; may continue to titrate to effect up to 0.5 mg/kg TID)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Carbidopa/Levodopa (Sinemet) Titration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DRD: response within days–2 weeks. Secondary dystonia: allow 1–3 month trial. Last dose ≤1600 to reduce insomnia. Tabs: 25/100 mg; round to nearest ¼ tablet.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5B2C6F"/>
          <w:sz w:val="19"/>
          <w:szCs w:val="19"/>
        </w:rPr>
        <w:t xml:space="preserve">Table 9. Sinemet Titration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 POINT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BREAKFAST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DINNER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Start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1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2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3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4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5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½ tablet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Week 6+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  <w:tc>
          <w:tcPr>
            <w:tcW w:type="dxa" w:w="245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  <w:tc>
          <w:tcPr>
            <w:tcW w:type="dxa" w:w="245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tablet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Full Pharmacological Reference — Dystonia Medications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5B2C6F"/>
          <w:sz w:val="19"/>
          <w:szCs w:val="19"/>
        </w:rPr>
        <w:t xml:space="preserve">Table 10. Oral Medications for Dystonia — Dosing and Adverse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60"/>
        <w:gridCol w:w="1600"/>
        <w:gridCol w:w="1700"/>
        <w:gridCol w:w="1900"/>
        <w:gridCol w:w="14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MEDICATION / MOA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STARTING DOSE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TITRATION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GOAL DOSE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ADVERSE EFFECTS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NOTES</w:t>
            </w:r>
          </w:p>
        </w:tc>
      </w:tr>
      <w:tr>
        <w:tc>
          <w:tcPr>
            <w:gridSpan w:val="6"/>
            <w:tcBorders>
              <w:top w:val="single" w:color="5B2C6F" w:sz="4"/>
              <w:left w:val="single" w:color="5B2C6F" w:sz="4"/>
              <w:bottom w:val="single" w:color="5B2C6F" w:sz="4"/>
              <w:right w:val="single" w:color="5B2C6F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6F"/>
                <w:sz w:val="17"/>
                <w:szCs w:val="17"/>
              </w:rPr>
              <w:t xml:space="preserve">FIRST-LINE AGENTS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Trihexyphenidyl (Artane)
MOA: Anticholinergic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0.05 mg/kg/day daily–BID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Inc by 0.05–0.3 mg/kg/day weekly; titrate to TID over 5–6 weeks (see standard titration schedule)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0.05–0.5 mg/kg/day div TID (max 0.75 mg/kg/day; up to 2.6 mg/kg/day reported)
Tabs: 2 mg, 5 mg | Soln: 0.4 mg/mL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Central: dizziness, N/V, behavioral/cognitive changes, anxiety, chorea, insomnia, nightmares
Peripheral: constipation, urinary retention, dry mouth, blurred vision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CI: narrow-angle glaucoma. Paradoxical effects at low doses. 2–4 weeks to full benefit. Reduce dose if cognition declines.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Carbidopa/Levodopa (Sinemet)
MOA: Dopamine precursor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 mg/kg/day (levodopa component); start AM/noon doses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Inc by 1 mg/kg/day weekly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4–5 mg/kg/day div TID (6–10 mg/kg/day in AR-DRD; up to 16–20 mg/kg/day reported)
Tabs IR: 25/100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GI upset, nausea, orthostatic hypotension, fatigue, insomnia. Rare with dystonia dosing: constipation, dyskinesias, hallucinations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MANDATORY trial in dystonia + normal MRI. Avoid abrupt DC. Give last dose ≤1600 to reduce insomnia. Add carbidopa (Lodosyn) 12.5–25 mg TID for persistent nausea. Separate from iron by ≥2h.</w:t>
            </w:r>
          </w:p>
        </w:tc>
      </w:tr>
      <w:tr>
        <w:tc>
          <w:tcPr>
            <w:gridSpan w:val="6"/>
            <w:tcBorders>
              <w:top w:val="single" w:color="5B2C6F" w:sz="4"/>
              <w:left w:val="single" w:color="5B2C6F" w:sz="4"/>
              <w:bottom w:val="single" w:color="5B2C6F" w:sz="4"/>
              <w:right w:val="single" w:color="5B2C6F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6F"/>
                <w:sz w:val="17"/>
                <w:szCs w:val="17"/>
              </w:rPr>
              <w:t xml:space="preserve">ADJUNCTIVE AGENTS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Baclofen (Lioresal)
MOA: GABA-B agonist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&lt;2 yr: 2.5 mg qHS
2–7 yr: 2.5–5 mg qHS
≥8 yr: 5 mg qHS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2.5–5 mg/day q3 days–weekly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&lt;2 yr: max 40 mg/day
2–7 yr: max 60 mg/day
≥8 yr: max 200 mg/day
Tabs: 5, 10, 20 mg | Soln: 1, 5 mg/mL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dizziness, nausea, fatigue, trunk/head weakness, worsened swallowing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Avoid abrupt DC — withdrawal risk (seizures, autonomic instability). Works better for spasticity than dystonia; useful when mixed picture.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Clonazepam (Klonopin)
MOA: GABA-A positive modulator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&lt;30 kg: 0.01–0.03 mg/kg/day div TID-QID
≥30 kg: ≤0.25 mg/dose TID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&lt;30 kg: inc 0.01–0.03 mg/kg/day q3–5 days
≥30 kg: inc 0.5–1 mg/day q3–5 days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0.05–0.2 mg/kg/day div TID
Tabs: 0.5, 1, 2 mg | ODT available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depression, nocturnal drooling, behavioral disinhibition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Avoid abrupt DC. Useful adjunct at night for dystonic spasms.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Diazepam (Valium)
MOA: GABA-A positive modulator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0.1–0.3 mg/kg/day div BID-QID (max 10 mg/dose)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0.1 mg/kg/day weekly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0.8 mg/kg/day div BID-QID
&gt;12 yr: 2–10 mg/dose BID-QID
Tabs: 2, 5, 10 mg | Soln: 5 mg/mL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depression, nocturnal drooling, behavioral disinhibition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Avoid abrupt DC. Useful for acute dystonic spasm and comfort management.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Gabapentin (Neurontin)
MOA: α2-δ subunit voltage-gated Ca channel blocker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10–15 mg/kg/day div TID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Titrate to effective dose based on tolerability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Up to 60 mg/kg/day div TID (mean reported in dystonia: 18 mg/kg/dose TID)
Tabs: 300, 600, 800 mg | Soln: 250 mg/5 mL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emotional lability, nystagmus, tremor, ataxia, peripheral edema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Dose adjust in renal impairment. Higher doses may be needed for dystonia than for epilepsy/neuropathic pain.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Tetrabenazine (Xenazine)
MOA: Reversible VMAT2 inhibitor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3.125–12.5 mg/day (AM)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3.125–12.5 mg/day weekly, increasing to TID dosing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37.5–50 mg div TID (up to 200 mg/day reported)
Tabs: 12.5, 25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Parkinsonism, depression, akathisia, nervousness, insomnia, suicidal ideation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CYP2D6 genotyping recommended for doses &gt;50 mg/day.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Deutetrabenazine (Austedo)
MOA: VMAT2 inhibitor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6 mg daily (AM)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6 mg/day weekly to effect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Doses &gt;12 mg: divide BID
Max: 48 mg/day
Tabs: 6, 9, 12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Parkinsonism, depression, akathisia, nervousness, insomnia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Brand only. Baseline EKG; repeat after dose &gt;24 mg/day. Consider CYP2D6 genotyping.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Oxcarbazepine (Trileptal)
MOA: Na channel blocker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5 mg/kg/day daily (week 1)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5 mg/kg/day weekly to effect (div BID)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5–20 mg/kg/day div BID
Susp: 60 mg/mL | Tabs: 150, 300, 600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N/V, hyponatremia, rash; ataxia and diplopia at high levels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Generally patients respond to lower doses than with epilepsy. Weak CYP inducer (may decrease OCPs).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Clonidine (Catapres)
MOA: α2-adrenergic agonist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1–2 mcg/kg/dose qHS–TID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1–2 mcg/kg/day q3–5 days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2–4 mcg/kg/dose TID-QID (up to 20 mcg/kg/day div q4–6h reported)
Tabs: 0.1, 0.2, 0.3 mg | TTS patch available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bradycardia, hypotension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Avoid abrupt DC — rebound HTN. Patch useful for compliance.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Tizanidine (Zanaflex)
MOA: α2-adrenergic agonist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≥2–10 yr: 1 mg qHS
≥10 yr: 2 mg qHS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Titrate to effective dose based on tolerability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0.3–0.5 mg/kg/day div TID-QID
Max: 24 mg/day
Tabs/Caps: 2, 4, 6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hypotension, dizziness, dry mouth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Avoid abrupt DC. Dose adjust in hepatic impairment. Monitor LFTs.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Dantrolene (Dantrium)
MOA: Skeletal muscle relaxant (ryanodine receptor)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≥5 yr: 0.5 mg/kg/day qHS–BID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Inc 0.5–1 mg/kg/day weekly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12 mg/kg/day div TID-QID
Max: 400 mg/day
Caps: 25, 50, 100 mg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Sedation, dizziness, fatigue, diarrhea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Can mix capsule contents with juice/water. Hepatotoxicity risk — monitor LFTs.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10"/>
              <w:left w:val="single" w:color="5B2C6F" w:sz="10"/>
              <w:bottom w:val="single" w:color="5B2C6F" w:sz="10"/>
              <w:right w:val="single" w:color="5B2C6F" w:sz="10"/>
            </w:tcBorders>
            <w:shd w:fill="EDE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Procedural and Surgical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BoNT-A: focal chemodenervation; repeat q3–6 months. Effective for focal dystonia (cervical, limb, writer's cramp). Use with PT and casting. Ultrasound/EMG guidance improves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Phenol: stronger than BoNT; large LE muscle groups; requires anesthesia; longer duration; can combine with BoNT.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ITB: better for spasticity than dystonia — unpredictable for pure dystonia. Useful in mixed picture. Consider test dose before pump implant.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DBS (GPi): best for mobile dystonia without fixed contractures. Primary dystonia (DYT-TOR1A, DYT-THAP1) responds best. Secondary dystonia response variable. Programming takes weeks to months.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Chorea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Rapid, irregular, non-patterned, flowing movements. No premonitory urge; not suppressible; worst distally at rest; worsens with voluntary movement. Hardest to distinguish from cortical myoclonus.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Differential Diagnosis — Acute / Subacute Chorea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375623"/>
          <w:sz w:val="19"/>
          <w:szCs w:val="19"/>
        </w:rPr>
        <w:t xml:space="preserve">Table 11. Acute/Subacute Chorea — Differential 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 / ETIOLOGY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EXAMPLES / KEY FEATURES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Autoimmune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Sydenham chorea (post-streptococcal — most common acquired chorea in children); SLE; antiphospholipid antibody syndrome; Henoch-Schönlein Purpura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Infectious / encephalitis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Mycoplasma; Lyme; HSV; TB; encephalitis (consider autoimmune encephalitis panel)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Vascular / hypoxic-ischemic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Stroke (including moyamoya); vasculitis; 'post-pump chorea' after cardiac bypass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Metabolic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MELAS; acute basal ganglia injury (metabolic crisis); mitochondrial disorders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Endocrine / electrolyte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Thyroid dysfunction (hyper- and hypo-); hypo/hyperparathyroidism; hypocalcemia; hypomagnesemia; hypo/hypernatremia; chorea gravidarum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Choreic CP / exacerbated dyskinesia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Baseline dyskinetic CP with worsening during febrile illness — ask about perinatal history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Paroxysmal / episodic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Paroxysmal kinesiogenic dyskinesia (PKD — triggered by sudden movement; PRRT2); paroxysmal non-kinesiogenic dyskinesia (PNKD — triggered by caffeine, alcohol, fatigue; MR1); paroxysmal exercise-induced chorea/dyskinesia (PED — exercise-triggered; GLUT1)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Iatrogenic — dopamine receptor blockers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Acute tardive; withdrawal-emergent chorea; neuroleptics/antipsychotics; antiemetics (metoclopramide, prochlorperazine)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Drug-induced (see full table below)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Stimulants (amphetamines, methylphenidate); antiepileptics (phenytoin, carbamazepine, VPA, phenobarbital); calcium channel blockers; TCAs; lithium; L-dopa; clonidine; amantadine; OCPs; benzodiazepines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Complex migraine / alternating hemiplegia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Migraine with motor features; alternating hemiplegia of childhood (ATP1A3)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Drug-Induced Chorea — Reference List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C00000"/>
          <w:sz w:val="19"/>
          <w:szCs w:val="19"/>
        </w:rPr>
        <w:t xml:space="preserve">Table 12. Drug-Induced Chorea — Agents by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DRUG CLASS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AGENTS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Stimulants / amphetamines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Amphetamine/dextroamphetamine (Adderall), dexmethylphenidate (Focalin), dextroamphetamine (Dexedrine), methamphetamine, methylphenidate (Ritalin), atomoxetine (Strattera)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Anticholinergics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Trihexyphenidyl (Artane), benztropine (Cogentin), diphenhydramine (Benadryl)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Antiemetics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Prochlorperazine (Compazine), metoclopramide (Reglan)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Antiepileptics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Phenytoin (Dilantin), carbamazepine (Tegretol), valproic acid (Depakote), phenobarbital (Luminal)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Benzodiazepines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Alprazolam, chlordiazepoxide, clonazepam, clorazepate, diazepam, lorazepam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Calcium channel blockers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Amlodipine, diltiazem, nicardipine, nimodipine, verapamil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Neuroleptics / antipsychotics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Aripiprazole, haloperidol, olanzapine, pimozide, risperidone, ziprasidone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Tricyclic antidepressants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Amitriptyline, clomipramine, desipramine, imipramine, nortriptyline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Other</w:t>
            </w:r>
          </w:p>
        </w:tc>
        <w:tc>
          <w:tcPr>
            <w:tcW w:type="dxa" w:w="7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Amantadine, bismuth, clonidine, L-dopa (Sinemet), lithium, oral contraceptives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Differential Diagnosis — Chronic Chorea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6D2B2B"/>
          <w:sz w:val="19"/>
          <w:szCs w:val="19"/>
        </w:rPr>
        <w:t xml:space="preserve">Table 13. Chronic Chorea — Differential 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D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D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Primary / benign hereditary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Benign hereditary chorea (NKX2-1 — thyroid transcription factor; triad with hypothyroidism and neonatal respiratory distress)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Vascular / hypoxic-ischemic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Stroke; perinatal/third trimester hypoxic-ischemic injury → choreoathetoid CP; kernicterus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Infectious / post-encephalitic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Post-encephalitis; Sydenham chorea (chronic form rare)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Structural / malformations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Joubert syndrome; holoprosencephaly; agenesis of corpus callosum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Fixed acquired injury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Trauma; kernicterus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Genetic neurodegenerative</w:t>
            </w:r>
          </w:p>
        </w:tc>
        <w:tc>
          <w:tcPr>
            <w:tcW w:type="dxa" w:w="69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Huntington disease (HTT repeat — NOT on WES); DRPLA (repeat expansion); neuroacanthocytosis (VPS13A); PKAN/HARP syndrome (PANK2); Wilson disease (ATP7B — treatable); Friedreich ataxia; Ataxia-telangiectasia; Lesch-Nyhan (HPRT1); Rett syndrome (MECP2); Niemann-Pick C; Canavan disease; GM2 gangliosidosis; Basal ganglia calcification (PFBC/Fahr — SLC20A2, PDGFB); biopterin-dependent hyperphenylalaninemia; ceroid lipofuscinosis; metachromatic leukodystrophy; galactosemia; glutaric aciduria type 1; methylmalonic aciduria; propionic acidemia; nonketotic hyperglycinemia; Pelizaeus-Merzbacher; PKU; mitochondrial cytopathies; vitamin E deficiency; Behçet disease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Chorea Workup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0"/>
              <w:left w:val="single" w:color="375623" w:sz="10"/>
              <w:bottom w:val="single" w:color="375623" w:sz="10"/>
              <w:right w:val="single" w:color="375623" w:sz="1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Initial Chorea Workup (All Cases)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ASO titer / anti-DNAse B — Sydenham chorea (post-streptococcal)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CRP / ESR — inflammatory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 / antiphospholipid antibodies — SLE, APLA syndrome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TFTs — thyroid dysfunction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CBC, CMP — baseline; glucose; electrolytes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Serum ceruloplasmin and copper — Wilson disease (always in new-onset chorea)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Brain MRI — structural, basal ganglia signal, WM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Additional infectious testing based on clinical context: HSV, Lyme, HIV, WNV, Mycoplasma, Legionella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Treatment of Chorea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0"/>
              <w:left w:val="single" w:color="375623" w:sz="10"/>
              <w:bottom w:val="single" w:color="375623" w:sz="10"/>
              <w:right w:val="single" w:color="375623" w:sz="1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Anti-Chorea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Benzodiazepines (diazepam, clonazepam): first-line for acute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Levetiracetam: evidence for Sydenham and acquired chorea; well tolerated.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Valproic acid: effective; monitor LFTs, CBC, platelets.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Dopamine blockers (risperidone, haloperidol): severely disabling chorea; tardive dyskinesia risk with long-term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Tetrabenazine / deutetrabenazine: VMAT2 inhibitors; good for chronic severe chorea; no tardive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 NOT use anticholinergics — they worsen chorea.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Sydenham: Echo + EKG; penicillin prophylaxis until age 40; prednisone 2 mg/kg/day x 4 wks (superior to placebo); IVIG or PLEX if refractory or steroids contraindicated.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Tics and Tourette Syndrome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Most common movement disorder of childhood. Suppressible with building premonitory urge; wax and wane; worsen with stress/fatigue; begin in face and spread caudally.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DSM-5 Diagnostic Criteria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1A5276"/>
          <w:sz w:val="19"/>
          <w:szCs w:val="19"/>
        </w:rPr>
        <w:t xml:space="preserve">Table 14. Tic Disorder Classification — DSM-5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TRANSIENT TIC DISORDER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CHRONIC TIC DISORDER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TOURETTE SYNDROME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Single or multiple motor and/or vocal tics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Multiple motor OR vocal tics (not both required)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Multiple motor AND vocal tics (need not occur simultaneously)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Tics occur many times/day, nearly every day, for ≥4 weeks but &lt;12 consecutive months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Tics occur many times/day, nearly every day for &gt;1 year; no tic-free period &gt;3 consecutive months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Tics occur many times/day, nearly every day for &gt;1 year; no tic-free period &gt;3 consecutive months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Onset before age 18 (typical age 4–6)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Onset before age 18 (typical age 4–6)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Onset before age 18 (typical age 4–6)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Does not meet criteria for chronic tic disorder or Tourette's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Does not meet criteria for Tourette's syndrome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Criteria met for both motor and vocal tic duration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 caused by substance or general medical condition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 caused by substance or general medical condition</w:t>
            </w:r>
          </w:p>
        </w:tc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 caused by substance or general medical condition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6608" w:sz="10"/>
              <w:left w:val="single" w:color="7D6608" w:sz="10"/>
              <w:bottom w:val="single" w:color="7D6608" w:sz="10"/>
              <w:right w:val="single" w:color="7D6608" w:sz="1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Functional Tic-Like Movements (FTLMs)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Surged dramatically post-2020; adolescent females; social media contagion. NOT rare.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Clues: sudden full onset (days); large proximal arm/body movements at onset; coprolalia/copropraxia early; no waxing-waning; no caudal spread; minimal premonitory urge; worsen with attention.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Rule-IN diagnosis based on positive exam — not a diagnosis of exclusion. See FMD section.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Differential Diagnosis for 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0"/>
              <w:left w:val="single" w:color="1A5276" w:sz="10"/>
              <w:bottom w:val="single" w:color="1A5276" w:sz="10"/>
              <w:right w:val="single" w:color="1A5276" w:sz="10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DDx for Apparent 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Akathisia — inner restlessness; no suppressibility with urge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Chorea — non-suppressible, flowing, no urge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Compulsions — ego-dystonic, obsession-driven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Dystonia — sustained, patterned, action-induced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Myoclonus — shock-like, brief, no urge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Paroxysmal kinesiogenic dyskinesia — triggered by sudden movement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Functional movements — see FMD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Stereotypies — rhythmic, fixed, voluntary; ± ASD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Tardive dyskinesia — orofacial, dopamine blocker history, not suppressible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Non-Pharmacological Tic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0"/>
              <w:left w:val="single" w:color="1A5276" w:sz="10"/>
              <w:bottom w:val="single" w:color="1A5276" w:sz="10"/>
              <w:right w:val="single" w:color="1A5276" w:sz="10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Non-Pharmacological Treatment — Try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Education: patient, family, school. Tics are neurological, not willful.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CBIT (Comprehensive Behavioral Intervention for Tics): first-line; evidence-based; refer to trained psychologist.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Tic breaks: scheduled intentional release to reduce suppression burden.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Stress reduction: relaxation, measured breathing, visualization.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Treat comorbidities first — ADHD and OCD treatment often reduces tics significantly.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Supplements with some evidence: magnesium, riboflavin, CoQ10. Reduce sugar and caffeine.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Pharmacological Treatment of Tics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Reserve medications for functionally impairing or distressing tics. Treat comorbidities first.</w:t>
      </w:r>
    </w:p>
    <w:p>
      <w:r>
        <w:rPr>
          <w:sz w:val="10"/>
          <w:szCs w:val="1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/>
          <w:iCs/>
          <w:color w:val="1A5276"/>
          <w:sz w:val="19"/>
          <w:szCs w:val="19"/>
        </w:rPr>
        <w:t xml:space="preserve">Table 15. Medications for Tics — Tiered by Evidence and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200"/>
        <w:gridCol w:w="2100"/>
        <w:gridCol w:w="2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MEDICATION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START DOSE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TITRATION / GOAL / MAX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ADVERSE EFFECTS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gridSpan w:val="5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TIER 1 — Alpha-2 Adrenergic Agonists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Clonidine (Kapvay)
0.1 mg tabs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0.05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0.05 mg q3–7 days
Goal: 0.05 mg AM, 0.05 mg midday, 0.1 mg qHS
Max: 0.4 mg/day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Sleepiness, lightheadedness, irritability, ataxia, low BP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benefit ADHD/aggression/insomnia. Can use with stimulants. Patch available. Avoid abrupt DC.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Guanfacine (Intuniv)
1 mg tabs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0.5 mg q3–7 days
Goal: 1 mg BID
Max: 2 mg BID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Sleepiness, lightheadedness, irritability, low BP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benefit ADHD/aggression/insomnia. Possibly less irritability than clonidine.</w:t>
            </w:r>
          </w:p>
        </w:tc>
      </w:tr>
      <w:tr>
        <w:tc>
          <w:tcPr>
            <w:gridSpan w:val="5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TIER 2 — Benzodiazepines, ASMs, Dopamine Agonists, Muscle Relaxants, SSRIs, SNRIs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Clonazepam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0.25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0.25 mg q3–7 days
Goal: 0.5 mg TID
Max: 2 mg TID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Sleepiness, irritability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 usually resolves after 2 weeks. Avoid abrupt DC (seizure risk).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Levetiracetam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10–20 mg/kg/day div TID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10 mg/kg/day q3–7 days
Goal: 30–50 mg/kg/day div TID
Max: 100 mg/kg/day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Sleepiness, irritability, hyperkinesis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Irritability may improve over time or with addition of B6 50–100 mg/day.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Topiramate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25 mg q3–7 days
Goal: 50 mg BID
Max: 100 mg BID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Insomnia, cognitive slowing, anorexia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be useful if comorbid headaches present.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Ropinirole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0.25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0.25 mg q2 weeks
Goal: 0.5 mg BID
Max: 12 mg BID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Nausea, sleepiness, compulsions, lightheadedness, peripheral edema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Monitor for compulsive behaviors (eating, spending, sexual, gambling). May cause sudden sleep attacks. May help RLS.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Baclofen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5 mg q3–7 days
Goal: 10–20 mg TID
Max: 40 mg TID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Sleepiness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help comorbid spasticity. May worsen underlying weakness.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Sertraline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25 mg q1–2 weeks
Goal: 50–150 mg/day
Max: 200 mg/day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Suicidality (black box), mania, insomnia, GI, dizziness, tremor, HA, anxiety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Useful if significant anxiety or OCD comorbidity present.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Fluoxetine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10 mg q1–2 weeks
Goal: 40–60 mg/day
Max: 80 mg/day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Suicidality (black box), mania, insomnia, GI, tremor, anxiety, dizziness, HA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Useful if significant anxiety or OCD comorbidity present.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Atomoxetine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0.5 mg/kg at breakfast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to goal after minimum 3 days
Goal: 1.2 mg/kg/day
Max: 1.8 mg/kg/day or 100 mg (whichever lower)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Weight loss, sedation, insomnia, anxiety, depression, suicidality, mania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be used if ADHD also present. Give qHS if sedation occurs; divide BID if nausea.</w:t>
            </w:r>
          </w:p>
        </w:tc>
      </w:tr>
      <w:tr>
        <w:tc>
          <w:tcPr>
            <w:gridSpan w:val="5"/>
            <w:tcBorders>
              <w:top w:val="single" w:color="6D2B2B" w:sz="4"/>
              <w:left w:val="single" w:color="6D2B2B" w:sz="4"/>
              <w:bottom w:val="single" w:color="6D2B2B" w:sz="4"/>
              <w:right w:val="single" w:color="6D2B2B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B2B"/>
                <w:sz w:val="17"/>
                <w:szCs w:val="17"/>
              </w:rPr>
              <w:t xml:space="preserve">TIER 3 — Dopamine Receptor Blockers / VMAT2 Inhibitors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Tetrabenazine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12.5 mg weekly
Goal: 25 mg TID
Max: 50 mg TID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Sedation, anxiety, akathisia, weight gain, depression, psychosis/suicidality, acute dystonic reaction, Parkinsonism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risk of tardive dyskinesia. If depression present, monitor closely with psychiatry.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Risperidone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0.25–0.5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0.5 mg q1–2 weeks
Goal: 1 mg BID
Max: 4 mg/day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Weight gain, insomnia or sedation, anxiety, HA, gynecomastia, EPS, tardive dyskinesia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prolong QTc — baseline and periodic EKG.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Olanzapine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1.25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1.25 mg q1–2 weeks
Goal: 2.5 mg BID
Max: 5 mg BID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Weight gain, sedation, orthostatic hypotension, edema, GI, gynecomastia, EPS, tardive dyskinesia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prolong QTc.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Ziprasidone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20 mg q1–2 weeks
Goal: 40 mg/day
Max: 80 mg/day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Sedation, anxiety, depression, weight gain, EPS, tardive dyskinesia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prolong QTc.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Haloperidol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0.25–0.5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0.25–0.5 mg q5–7 days
Goal: 0.05–0.075 mg/kg/day div BID-TID
Max: 0.15 mg/kg/day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Weight gain, bulimia, sedation, anxiety, depression, dysphoria, cognitive effects, EPS, tardive dyskinesia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May prolong QTc. High risk for EPS. May cause acute dystonic reaction. Very effective for tic reduction.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Pimozide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0.25–0.5 mg qHS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 by 0.5 mg q1–2 weeks
Goal: 1 mg BID
Max: 5 mg BID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Weight gain, sedation, anxiety, depression, Parkinsonism, tardive dyskinesia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Can cause fatal arrhythmias with QTc prolongation — baseline and serial EKGs mandatory. Very effective.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Functional Movement Disorders (FMD)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Common — up to 15–20% of new movement disorder clinic referrals. Rule-IN diagnosis based on positive exam findings, not a diagnosis of exclusion.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6608" w:sz="10"/>
              <w:left w:val="single" w:color="7D6608" w:sz="10"/>
              <w:bottom w:val="single" w:color="7D6608" w:sz="10"/>
              <w:right w:val="single" w:color="7D6608" w:sz="1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FMD — Conceptual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Mechanism: disorder of movement control and attention; abnormal predictive coding. Not simulation or malingering.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Avoid 'psychogenic' or 'hysterical' — stigmatizing and inaccurate. Psychosocial stressors common but not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FTLMs surged since 2020 — social media contagion is a real mechanism. Recognize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disorder is real. Diagnosis gives a treatable pathway — frame it positively.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0"/>
              <w:left w:val="single" w:color="375623" w:sz="10"/>
              <w:bottom w:val="single" w:color="375623" w:sz="10"/>
              <w:right w:val="single" w:color="375623" w:sz="1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Positive Exam Signs (Rule-In 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Distractibility: movement diminishes or disappears with attention directed elsewhere — most reliable 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Entrainment: functional tremor entrains to voluntary contralateral rhythmic movement at different frequency.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Variability: movement changes character, distribution, or amplitude inconsistently during exam.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Inconsistency: findings don't follow anatomical localization of any recognized neurological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Hoover sign: hip extension weakness reverses with synergistic contralateral hip flexion against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Coactivation sign (functional tremor): rigidity synchronizes with voluntary contralateral tremor — not seen in organic tremor.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Positive response to neutral suggestion or PT trial supports FMD.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6608" w:sz="10"/>
              <w:left w:val="single" w:color="7D6608" w:sz="10"/>
              <w:bottom w:val="single" w:color="7D6608" w:sz="10"/>
              <w:right w:val="single" w:color="7D6608" w:sz="1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Communicating the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 with the rule-in: 'Your exam shows specific features I recognize as functional — I'm not diagnosing this by exclusion.'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Avoid premature closure — FMD and organic disease can coexist.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Treatment: FMD-specific physiotherapy is most evidence-based. CBT for anxiety/OCD. MDT (neurology, PT, psychology).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Avoid excessive testing and polypharmacy — reinforces illness behavior.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Early confident diagnosis improves prognosis. Delayed diagnosis and prolonged workup worsen outcomes.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top w:val="single" w:color="AAAAAA" w:sz="4" w:space="6"/>
        </w:pBdr>
        <w:spacing w:after="60"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Child Neurology Residency Manual  |  Movement Disorders  |  PGY-3/4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2026-03-08T04:31:22.763Z</dcterms:created>
  <dcterms:modified xsi:type="dcterms:W3CDTF">2026-03-08T04:31:22.763Z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