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0"/>
          <w:szCs w:val="40"/>
        </w:rPr>
        <w:t xml:space="preserve">Neurometabolic Disorders</w:t>
      </w:r>
    </w:p>
    <w:p>
      <w:pPr>
        <w:spacing w:after="40" w:before="0"/>
      </w:pPr>
      <w:r>
        <w:rPr>
          <w:rFonts w:ascii="Arial" w:cs="Arial" w:eastAsia="Arial" w:hAnsi="Arial"/>
          <w:i/>
          <w:iCs/>
          <w:color w:val="666666"/>
          <w:sz w:val="20"/>
          <w:szCs w:val="20"/>
        </w:rPr>
        <w:t xml:space="preserve">Child Neurology Residency Manual  |  PGY-3/4 Reference</w:t>
      </w:r>
    </w:p>
    <w:p>
      <w:pPr>
        <w:pBdr>
          <w:bottom w:val="single" w:color="2E5FA3" w:sz="6" w:space="1"/>
        </w:pBdr>
        <w:spacing w:after="160" w:before="160"/>
      </w:pPr>
      <w:r>
        <w:t xml:space="preserve"/>
      </w:r>
    </w:p>
    <w:p>
      <w:pPr>
        <w:pStyle w:val="Heading1"/>
        <w:spacing w:after="120" w:before="320"/>
      </w:pPr>
      <w:r>
        <w:rPr>
          <w:rFonts w:ascii="Arial" w:cs="Arial" w:eastAsia="Arial" w:hAnsi="Arial"/>
          <w:b/>
          <w:bCs/>
          <w:color w:val="1F3864"/>
          <w:sz w:val="28"/>
          <w:szCs w:val="28"/>
        </w:rPr>
        <w:t xml:space="preserve">1. Conceptual Framework</w:t>
      </w:r>
    </w:p>
    <w:p>
      <w:pPr>
        <w:spacing w:after="60" w:before="60"/>
      </w:pPr>
      <w:r>
        <w:rPr>
          <w:rFonts w:ascii="Arial" w:cs="Arial" w:eastAsia="Arial" w:hAnsi="Arial"/>
          <w:sz w:val="18"/>
          <w:szCs w:val="18"/>
        </w:rPr>
        <w:t xml:space="preserve">Most neurometabolic disorders can be organized along two fundamental axes: </w:t>
      </w:r>
      <w:r>
        <w:rPr>
          <w:rFonts w:ascii="Arial" w:cs="Arial" w:eastAsia="Arial" w:hAnsi="Arial"/>
          <w:b/>
          <w:bCs/>
          <w:sz w:val="18"/>
          <w:szCs w:val="18"/>
        </w:rPr>
        <w:t xml:space="preserve">biochemical class</w:t>
      </w:r>
      <w:r>
        <w:rPr>
          <w:rFonts w:ascii="Arial" w:cs="Arial" w:eastAsia="Arial" w:hAnsi="Arial"/>
          <w:sz w:val="18"/>
          <w:szCs w:val="18"/>
        </w:rPr>
        <w:t xml:space="preserve"> (what is biochemically wrong) and </w:t>
      </w:r>
      <w:r>
        <w:rPr>
          <w:rFonts w:ascii="Arial" w:cs="Arial" w:eastAsia="Arial" w:hAnsi="Arial"/>
          <w:b/>
          <w:bCs/>
          <w:sz w:val="18"/>
          <w:szCs w:val="18"/>
        </w:rPr>
        <w:t xml:space="preserve">clinical tempo</w:t>
      </w:r>
      <w:r>
        <w:rPr>
          <w:rFonts w:ascii="Arial" w:cs="Arial" w:eastAsia="Arial" w:hAnsi="Arial"/>
          <w:sz w:val="18"/>
          <w:szCs w:val="18"/>
        </w:rPr>
        <w:t xml:space="preserve"> (how they present over time). Overlaid on this is the question of </w:t>
      </w:r>
      <w:r>
        <w:rPr>
          <w:rFonts w:ascii="Arial" w:cs="Arial" w:eastAsia="Arial" w:hAnsi="Arial"/>
          <w:b/>
          <w:bCs/>
          <w:sz w:val="18"/>
          <w:szCs w:val="18"/>
        </w:rPr>
        <w:t xml:space="preserve">which organ systems are involved</w:t>
      </w:r>
      <w:r>
        <w:rPr>
          <w:rFonts w:ascii="Arial" w:cs="Arial" w:eastAsia="Arial" w:hAnsi="Arial"/>
          <w:sz w:val="18"/>
          <w:szCs w:val="18"/>
        </w:rPr>
        <w:t xml:space="preserve"> and what the MRI shows. Getting these three axes right guides both the urgency and the direction of your workup.</w:t>
      </w:r>
    </w:p>
    <w:p>
      <w:r>
        <w:rPr>
          <w:sz w:val="12"/>
          <w:szCs w:val="12"/>
        </w:rPr>
        <w:t xml:space="preserve"/>
      </w:r>
    </w:p>
    <w:p>
      <w:pPr>
        <w:pStyle w:val="Heading2"/>
        <w:spacing w:after="80" w:before="240"/>
      </w:pPr>
      <w:r>
        <w:rPr>
          <w:rFonts w:ascii="Arial" w:cs="Arial" w:eastAsia="Arial" w:hAnsi="Arial"/>
          <w:b/>
          <w:bCs/>
          <w:color w:val="2E5FA3"/>
          <w:sz w:val="22"/>
          <w:szCs w:val="22"/>
        </w:rPr>
        <w:t xml:space="preserve">The Core Dichotomy: Small-Molecule vs. Large-Molecule</w:t>
      </w:r>
    </w:p>
    <w:p>
      <w:pPr>
        <w:spacing w:after="60" w:before="60"/>
      </w:pPr>
      <w:r>
        <w:rPr>
          <w:rFonts w:ascii="Arial" w:cs="Arial" w:eastAsia="Arial" w:hAnsi="Arial"/>
          <w:b/>
          <w:bCs/>
          <w:sz w:val="18"/>
          <w:szCs w:val="18"/>
        </w:rPr>
        <w:t xml:space="preserve">Small-molecule (intoxication/energy) disorders</w:t>
      </w:r>
      <w:r>
        <w:rPr>
          <w:rFonts w:ascii="Arial" w:cs="Arial" w:eastAsia="Arial" w:hAnsi="Arial"/>
          <w:sz w:val="18"/>
          <w:szCs w:val="18"/>
        </w:rPr>
        <w:t xml:space="preserve"> involve the accumulation of toxic small metabolites or failure of energy production. Because these metabolites are water-soluble and can be cleared — by dialysis, dietary manipulation, cofactors, or specific medications — many are </w:t>
      </w:r>
      <w:r>
        <w:rPr>
          <w:rFonts w:ascii="Arial" w:cs="Arial" w:eastAsia="Arial" w:hAnsi="Arial"/>
          <w:b/>
          <w:bCs/>
          <w:color w:val="C00000"/>
          <w:sz w:val="18"/>
          <w:szCs w:val="18"/>
        </w:rPr>
        <w:t xml:space="preserve">highly treatable</w:t>
      </w:r>
      <w:r>
        <w:rPr>
          <w:rFonts w:ascii="Arial" w:cs="Arial" w:eastAsia="Arial" w:hAnsi="Arial"/>
          <w:sz w:val="18"/>
          <w:szCs w:val="18"/>
        </w:rPr>
        <w:t xml:space="preserve">. This is the group you cannot miss.</w:t>
      </w:r>
    </w:p>
    <w:p>
      <w:r>
        <w:rPr>
          <w:sz w:val="12"/>
          <w:szCs w:val="12"/>
        </w:rPr>
        <w:t xml:space="preserve"/>
      </w:r>
    </w:p>
    <w:p>
      <w:pPr>
        <w:spacing w:after="60" w:before="60"/>
      </w:pPr>
      <w:r>
        <w:rPr>
          <w:rFonts w:ascii="Arial" w:cs="Arial" w:eastAsia="Arial" w:hAnsi="Arial"/>
          <w:b/>
          <w:bCs/>
          <w:sz w:val="18"/>
          <w:szCs w:val="18"/>
        </w:rPr>
        <w:t xml:space="preserve">Large-molecule (organelle) disorders</w:t>
      </w:r>
      <w:r>
        <w:rPr>
          <w:rFonts w:ascii="Arial" w:cs="Arial" w:eastAsia="Arial" w:hAnsi="Arial"/>
          <w:sz w:val="18"/>
          <w:szCs w:val="18"/>
        </w:rPr>
        <w:t xml:space="preserve"> involve failure to process complex molecules within organelles (lysosomes, peroxisomes, Golgi). Damage accumulates structurally over time. With limited exceptions (early enzyme replacement, HSC transplant in selected cases), these are less immediately reversible, and the clinical course is typically progressive.</w:t>
      </w:r>
    </w:p>
    <w:p>
      <w:r>
        <w:rPr>
          <w:sz w:val="12"/>
          <w:szCs w:val="12"/>
        </w:rPr>
        <w:t xml:space="preserve"/>
      </w:r>
    </w:p>
    <w:p>
      <w:pPr>
        <w:pStyle w:val="Heading2"/>
        <w:spacing w:after="80" w:before="240"/>
      </w:pPr>
      <w:r>
        <w:rPr>
          <w:rFonts w:ascii="Arial" w:cs="Arial" w:eastAsia="Arial" w:hAnsi="Arial"/>
          <w:b/>
          <w:bCs/>
          <w:color w:val="2E5FA3"/>
          <w:sz w:val="22"/>
          <w:szCs w:val="22"/>
        </w:rPr>
        <w:t xml:space="preserve">A Critical Nuance: Intoxication vs. Energy Failure</w:t>
      </w:r>
    </w:p>
    <w:p>
      <w:pPr>
        <w:spacing w:after="60" w:before="60"/>
      </w:pPr>
      <w:r>
        <w:rPr>
          <w:rFonts w:ascii="Arial" w:cs="Arial" w:eastAsia="Arial" w:hAnsi="Arial"/>
          <w:sz w:val="18"/>
          <w:szCs w:val="18"/>
        </w:rPr>
        <w:t xml:space="preserve">Within the small-molecule category, </w:t>
      </w:r>
      <w:r>
        <w:rPr>
          <w:rFonts w:ascii="Arial" w:cs="Arial" w:eastAsia="Arial" w:hAnsi="Arial"/>
          <w:b/>
          <w:bCs/>
          <w:sz w:val="18"/>
          <w:szCs w:val="18"/>
        </w:rPr>
        <w:t xml:space="preserve">intoxication-type disorders</w:t>
      </w:r>
      <w:r>
        <w:rPr>
          <w:rFonts w:ascii="Arial" w:cs="Arial" w:eastAsia="Arial" w:hAnsi="Arial"/>
          <w:sz w:val="18"/>
          <w:szCs w:val="18"/>
        </w:rPr>
        <w:t xml:space="preserve"> (e.g., organic acidemias, UCDs, MSUD) and </w:t>
      </w:r>
      <w:r>
        <w:rPr>
          <w:rFonts w:ascii="Arial" w:cs="Arial" w:eastAsia="Arial" w:hAnsi="Arial"/>
          <w:b/>
          <w:bCs/>
          <w:sz w:val="18"/>
          <w:szCs w:val="18"/>
        </w:rPr>
        <w:t xml:space="preserve">energy-failure disorders</w:t>
      </w:r>
      <w:r>
        <w:rPr>
          <w:rFonts w:ascii="Arial" w:cs="Arial" w:eastAsia="Arial" w:hAnsi="Arial"/>
          <w:sz w:val="18"/>
          <w:szCs w:val="18"/>
        </w:rPr>
        <w:t xml:space="preserve"> (e.g., FAODs, mitochondrial RC defects, GLUT1) are distinct. This matters clinically: organic acidemias cause toxicity from accumulating organic acids and often produce ketosis and metabolic acidosis; FAODs primarily cause energy failure during fasting and produce hypoketotic hypoglycemia. Mitochondrial disorders can present with either pattern or both. Recognizing the sub-type guides initial empirical management.</w:t>
      </w:r>
    </w:p>
    <w:p>
      <w:r>
        <w:rPr>
          <w:sz w:val="12"/>
          <w:szCs w:val="12"/>
        </w:rPr>
        <w:t xml:space="preserve"/>
      </w:r>
    </w:p>
    <w:p>
      <w:pPr>
        <w:pStyle w:val="Heading2"/>
        <w:spacing w:after="80" w:before="240"/>
      </w:pPr>
      <w:r>
        <w:rPr>
          <w:rFonts w:ascii="Arial" w:cs="Arial" w:eastAsia="Arial" w:hAnsi="Arial"/>
          <w:b/>
          <w:bCs/>
          <w:color w:val="2E5FA3"/>
          <w:sz w:val="22"/>
          <w:szCs w:val="22"/>
        </w:rPr>
        <w:t xml:space="preserve">Why Some IEMs Cause Episodic Disease and Others Cause Steady Decline</w:t>
      </w:r>
    </w:p>
    <w:p>
      <w:pPr>
        <w:spacing w:after="60" w:before="60"/>
      </w:pPr>
      <w:r>
        <w:rPr>
          <w:rFonts w:ascii="Arial" w:cs="Arial" w:eastAsia="Arial" w:hAnsi="Arial"/>
          <w:sz w:val="18"/>
          <w:szCs w:val="18"/>
        </w:rPr>
        <w:t xml:space="preserve">This depends on whether the pathological mechanism is </w:t>
      </w:r>
      <w:r>
        <w:rPr>
          <w:rFonts w:ascii="Arial" w:cs="Arial" w:eastAsia="Arial" w:hAnsi="Arial"/>
          <w:b/>
          <w:bCs/>
          <w:sz w:val="18"/>
          <w:szCs w:val="18"/>
        </w:rPr>
        <w:t xml:space="preserve">acute metabolite accumulation (reversible if treated)</w:t>
      </w:r>
      <w:r>
        <w:rPr>
          <w:rFonts w:ascii="Arial" w:cs="Arial" w:eastAsia="Arial" w:hAnsi="Arial"/>
          <w:sz w:val="18"/>
          <w:szCs w:val="18"/>
        </w:rPr>
        <w:t xml:space="preserve"> vs. </w:t>
      </w:r>
      <w:r>
        <w:rPr>
          <w:rFonts w:ascii="Arial" w:cs="Arial" w:eastAsia="Arial" w:hAnsi="Arial"/>
          <w:b/>
          <w:bCs/>
          <w:sz w:val="18"/>
          <w:szCs w:val="18"/>
        </w:rPr>
        <w:t xml:space="preserve">structural or irreversible cellular damage over time</w:t>
      </w:r>
      <w:r>
        <w:rPr>
          <w:rFonts w:ascii="Arial" w:cs="Arial" w:eastAsia="Arial" w:hAnsi="Arial"/>
          <w:sz w:val="18"/>
          <w:szCs w:val="18"/>
        </w:rPr>
        <w:t xml:space="preserve">. In UCD or MSUD, ammonia or leucine rises during metabolic stress, causing encephalopathy — but the neuron itself can recover if the crisis resolves. In contrast, lysosomal storage with progressive lipid or substrate deposition is structural; neurons die. Many disorders are intermediate: basal ganglia injury in organic acidemias (irreversible stroke-like damage) can occur against a backdrop of episodic presentation.</w:t>
      </w:r>
    </w:p>
    <w:p>
      <w:r>
        <w:rPr>
          <w:sz w:val="12"/>
          <w:szCs w:val="12"/>
        </w:rPr>
        <w:t xml:space="preserve"/>
      </w:r>
    </w:p>
    <w:p>
      <w:pPr>
        <w:pStyle w:val="Heading2"/>
        <w:spacing w:after="80" w:before="240"/>
      </w:pPr>
      <w:r>
        <w:rPr>
          <w:rFonts w:ascii="Arial" w:cs="Arial" w:eastAsia="Arial" w:hAnsi="Arial"/>
          <w:b/>
          <w:bCs/>
          <w:color w:val="2E5FA3"/>
          <w:sz w:val="22"/>
          <w:szCs w:val="22"/>
        </w:rPr>
        <w:t xml:space="preserve">Phenotypic Spectrum and Residual Enzyme Activity</w:t>
      </w:r>
    </w:p>
    <w:p>
      <w:pPr>
        <w:spacing w:after="60" w:before="60"/>
      </w:pPr>
      <w:r>
        <w:rPr>
          <w:rFonts w:ascii="Arial" w:cs="Arial" w:eastAsia="Arial" w:hAnsi="Arial"/>
          <w:sz w:val="18"/>
          <w:szCs w:val="18"/>
        </w:rPr>
        <w:t xml:space="preserve">The same gene can produce wildly different phenotypes depending on residual enzyme activity or variant severity. Classic PKU with near-zero PAH activity causes severe untreated intellectual disability; mild hyperphenylalaninemia from a different variant may be asymptomatic. Infantile Pompe (GAA) causes fatal cardiomyopathy in infancy; late-onset Pompe causes a slowly progressive limb-girdle/respiratory myopathy in adulthood. Residents should resist anchoring to the textbook presentation of a named disorder — the phenotypic range of most IEMs is broader than the classic description.</w:t>
      </w:r>
    </w:p>
    <w:p>
      <w:r>
        <w:rPr>
          <w:sz w:val="12"/>
          <w:szCs w:val="12"/>
        </w:rPr>
        <w:t xml:space="preserve"/>
      </w:r>
    </w:p>
    <w:p>
      <w:pPr>
        <w:spacing w:after="80" w:before="80"/>
      </w:pPr>
      <w:r>
        <w:rPr>
          <w:rFonts w:ascii="Arial" w:cs="Arial" w:eastAsia="Arial" w:hAnsi="Arial"/>
          <w:b/>
          <w:bCs/>
          <w:i/>
          <w:iCs/>
          <w:color w:val="2E5FA3"/>
          <w:sz w:val="19"/>
          <w:szCs w:val="19"/>
        </w:rPr>
        <w:t xml:space="preserve">Table 1. The Three-Axis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AXIS</w:t>
            </w:r>
          </w:p>
        </w:tc>
        <w:tc>
          <w:tcPr>
            <w:tcW w:type="dxa" w:w="358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SMALL-MOLECULE / INTOXICATION-ENERGY</w:t>
            </w:r>
          </w:p>
        </w:tc>
        <w:tc>
          <w:tcPr>
            <w:tcW w:type="dxa" w:w="358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LARGE-MOLECULE / ORGANELLE</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Biochemical Class</w:t>
            </w:r>
          </w:p>
        </w:tc>
        <w:tc>
          <w:tcPr>
            <w:tcW w:type="dxa" w:w="35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Aminoacidopathies, organic acidemias, UCDs, FAODs, small-molecule mitochondrial defects. Accumulation of toxic small metabolites or failure of energy production.</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Lysosomal storage disorders, peroxisomal disorders, CDGs, glycogen storage disorders. Failure to process complex molecules within organelles.</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Clinical Tempo</w:t>
            </w:r>
          </w:p>
        </w:tc>
        <w:tc>
          <w:tcPr>
            <w:tcW w:type="dxa" w:w="35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Acute/episodic encephalopathy, seizures, vomiting, ataxia, coma, stroke-like episodes. Often triggered by illness, fasting, protein load, surgery, or new medications.</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Insidious developmental regression, progressive neurodegeneration. Typically no acute triggers; may have chronic progressive or subacute-regressive course.</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Systemic Features</w:t>
            </w:r>
          </w:p>
        </w:tc>
        <w:tc>
          <w:tcPr>
            <w:tcW w:type="dxa" w:w="35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Hyperammonemia, metabolic acidosis, hypoglycemia, lactic acidosis, ketosis or hypoketosis, cardiomyopathy, rhabdomyolysis, liver failure.</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Coarse facies, hepatosplenomegaly, corneal clouding, cherry-red spot, bone disease, skin/hair changes, dysmorphic features.</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MRI Pattern</w:t>
            </w:r>
          </w:p>
        </w:tc>
        <w:tc>
          <w:tcPr>
            <w:tcW w:type="dxa" w:w="35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Often normal or subtle early. Cortical/basal ganglia edema or diffusion restriction during crises. Symmetric deep gray involvement in energy defects. Pattern may normalize between episodes.</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Symmetric leukodystrophy, cerebellar/brainstem atrophy, progressive cortical or deep gray volume loss. White matter pattern often characteristic and disease-specific.</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Reversibility</w:t>
            </w:r>
          </w:p>
        </w:tc>
        <w:tc>
          <w:tcPr>
            <w:tcW w:type="dxa" w:w="35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Often partially reversible with acute intervention and dietary/cofactor treatment. Many are highly treatable — this is the group NOT to miss.</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Generally irreversible structural damage. Focus is on slowing progression, enzyme replacement, substrate reduction, or HSC transplant where available.</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Kentucky NBS</w:t>
            </w:r>
          </w:p>
        </w:tc>
        <w:tc>
          <w:tcPr>
            <w:tcW w:type="dxa" w:w="35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Many captured: PKU, MSUD, PA, MMA, IVA, GA1, HCY, MCAD, VLCAD, LCHAD, CPT1/2, others. A normal NBS does NOT exclude all IEMs in this category.</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Few captured: only Krabbe (added KY 2016), Pompe, Gaucher, Fabry, MPS-I, MPS-II, NPC (some states). Most LSDs require clinical suspicion and targeted testing.</w:t>
            </w:r>
          </w:p>
        </w:tc>
      </w:tr>
    </w:tbl>
    <w:p>
      <w:r>
        <w:rPr>
          <w:sz w:val="12"/>
          <w:szCs w:val="12"/>
        </w:rPr>
        <w:t xml:space="preserve"/>
      </w:r>
    </w:p>
    <w:p>
      <w:pPr>
        <w:pBdr>
          <w:bottom w:val="single" w:color="2E5FA3" w:sz="6" w:space="1"/>
        </w:pBdr>
        <w:spacing w:after="160" w:before="160"/>
      </w:pPr>
      <w:r>
        <w:t xml:space="preserve"/>
      </w:r>
    </w:p>
    <w:p>
      <w:pPr>
        <w:pStyle w:val="Heading1"/>
        <w:spacing w:after="120" w:before="320"/>
      </w:pPr>
      <w:r>
        <w:rPr>
          <w:rFonts w:ascii="Arial" w:cs="Arial" w:eastAsia="Arial" w:hAnsi="Arial"/>
          <w:b/>
          <w:bCs/>
          <w:color w:val="1F3864"/>
          <w:sz w:val="28"/>
          <w:szCs w:val="28"/>
        </w:rPr>
        <w:t xml:space="preserve">2. Pattern Recognition: Clinical Clues and Pitfalls</w:t>
      </w:r>
    </w:p>
    <w:p>
      <w:pPr>
        <w:spacing w:after="60" w:before="60"/>
      </w:pPr>
      <w:r>
        <w:rPr>
          <w:rFonts w:ascii="Arial" w:cs="Arial" w:eastAsia="Arial" w:hAnsi="Arial"/>
          <w:b w:val="false"/>
          <w:bCs w:val="false"/>
          <w:i w:val="false"/>
          <w:iCs w:val="false"/>
          <w:color w:val="000000"/>
          <w:sz w:val="18"/>
          <w:szCs w:val="18"/>
        </w:rPr>
        <w:t xml:space="preserve">The following table summarizes high-yield clinical presentations with the most important diagnostic considerations and practical pitfalls. A normal MRI does not exclude an IEM. A normal newborn screen does not exclude an IEM.</w:t>
      </w:r>
    </w:p>
    <w:p>
      <w:r>
        <w:rPr>
          <w:sz w:val="12"/>
          <w:szCs w:val="12"/>
        </w:rPr>
        <w:t xml:space="preserve"/>
      </w:r>
    </w:p>
    <w:p>
      <w:pPr>
        <w:spacing w:after="80" w:before="80"/>
      </w:pPr>
      <w:r>
        <w:rPr>
          <w:rFonts w:ascii="Arial" w:cs="Arial" w:eastAsia="Arial" w:hAnsi="Arial"/>
          <w:b/>
          <w:bCs/>
          <w:i/>
          <w:iCs/>
          <w:color w:val="2E5FA3"/>
          <w:sz w:val="19"/>
          <w:szCs w:val="19"/>
        </w:rPr>
        <w:t xml:space="preserve">Table 2. Clinical Clue–Diagnosis Pairings and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CLINICAL FINDING</w:t>
            </w:r>
          </w:p>
        </w:tc>
        <w:tc>
          <w:tcPr>
            <w:tcW w:type="dxa" w:w="338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THINK ABOUT</w:t>
            </w:r>
          </w:p>
        </w:tc>
        <w:tc>
          <w:tcPr>
            <w:tcW w:type="dxa" w:w="338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POINT / PITFALL</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Acute encephalopathy + hyperammonemia</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UCD, organic acidemia, FAOD (esp. with liver failure)</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Treat the ammonia — do not wait for a diagnosis. Protein restriction and caloric support immediately.</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Lactic acidosis, normal anion gap or elevated L:P ratio</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Mitochondrial disease (RC defect, PDH deficiency)</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Lactate can normalize between episodes. A single normal value does not exclude mitochondrial disease.</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Episodic ataxia / movement crisis ± vomiting</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MSUD, organic acidemia, mitochondrial, urea cycle, GLUT1 (fasting-provoked)</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Timing relative to meals and illness is diagnostically critical. Ask specifically.</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Regression after febrile illness, normal inter-episode exam</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Intoxication-type IEM (organic acidemia, UCD), Rett syndrome, FIRES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Partial recovery between episodes favors small-molecule IEM. Rett: regression typically 12–18 months, girls, hand stereotypies.</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Normal MRI in a child with regression or encephalopathy</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Early IEM (any class), GLUT1 (especially with ketogenic response), creatine deficiency, NKH</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 normal MRI does NOT exclude IEM. Many are MRI-negative early — metabolic workup is independent of imaging.</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Progressive white matter disease (leukodystrophy)</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MLD, Krabbe (NBS in KY), X-ALD, Alexander, Canavan, vanishing white matter, LBSL, AGS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Pattern and distribution narrow the differential significantly. Refer to leukodystrophy classification.</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Cherry-red spot</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GM1/GM2 gangliosidosis, Niemann-Pick A, sialidosis, galactosialidosis</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Absence does NOT exclude LSD. Requires dilated exam by experienced examiner.</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Hepatosplenomegaly + neurological decline</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Niemann-Pick C, Gaucher type 3, GM1, MPS disorders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NPC: vertical supranuclear gaze palsy is classic but may be subtle early. Filipin staining or NPC1/NPC2 gene testing.</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Neonatal seizures refractory to standard AEDs</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Pyridoxine-dependent epilepsy (ALDH7A1), PNPO deficiency, NKH, biotinidase deficiency, molybdenum cofactor deficiency</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Trial of pyridoxine (100 mg IV), pyridoxal-5-phosphate, and folinic acid is warranted in refractory neonatal seizures before extensive workup.</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Young infant: hypotonia + neurodegeneration + hair/connective tissue abnormality</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Menkes disease (ATP7A)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Low copper and ceruloplasmin in infancy. X-linked. Early copper-histidinate treatment may help if started pre-symptomatically.</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Adolescent: liver disease + basal ganglia signal + psychiatric symptoms</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Wilson disease (ATP7B)</w:t>
            </w:r>
          </w:p>
        </w:tc>
        <w:tc>
          <w:tcPr>
            <w:tcW w:type="dxa" w:w="33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Kayser-Fleischer rings absent in ~50% of neurological Wilson's. Serum copper paradoxically low; 24-hr urine copper elevated.</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Intellectual disability + movement disorder + absent/low creatine on MRS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Creatine synthesis (AGAT, GAMT) or transport defect (SLC6A8)</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SLC6A8 (X-linked) is among the most common IEMs causing ID. Urine creatine:creatinine ratio is a practical first screen.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2E5FA3" w:sz="8"/>
              <w:left w:val="single" w:color="2E5FA3" w:sz="8"/>
              <w:bottom w:val="single" w:color="2E5FA3" w:sz="8"/>
              <w:right w:val="single" w:color="2E5FA3" w:sz="8"/>
            </w:tcBorders>
            <w:shd w:fill="FCE4D6" w:val="clear"/>
            <w:tcMar>
              <w:top w:type="dxa" w:w="100"/>
              <w:left w:type="dxa" w:w="140"/>
              <w:bottom w:type="dxa" w:w="60"/>
              <w:right w:type="dxa" w:w="140"/>
            </w:tcMar>
          </w:tcPr>
          <w:p>
            <w:pPr>
              <w:spacing w:after="80" w:before="0"/>
            </w:pPr>
            <w:r>
              <w:rPr>
                <w:rFonts w:ascii="Arial" w:cs="Arial" w:eastAsia="Arial" w:hAnsi="Arial"/>
                <w:b/>
                <w:bCs/>
                <w:color w:val="C55A11"/>
                <w:sz w:val="20"/>
                <w:szCs w:val="20"/>
              </w:rPr>
              <w:t xml:space="preserve">Timing of Sample Collection Matters</w:t>
            </w:r>
          </w:p>
          <w:p>
            <w:pPr>
              <w:pStyle w:val="ListParagraph"/>
              <w:numPr>
                <w:ilvl w:val="0"/>
                <w:numId w:val="2"/>
              </w:numPr>
              <w:spacing w:after="30" w:before="30"/>
            </w:pPr>
            <w:r>
              <w:rPr>
                <w:rFonts w:ascii="Arial" w:cs="Arial" w:eastAsia="Arial" w:hAnsi="Arial"/>
                <w:sz w:val="18"/>
                <w:szCs w:val="18"/>
              </w:rPr>
              <w:t xml:space="preserve">Organic acids and acylcarnitines are highest yield during a metabolic crisis — collect before dietary changes or treatment when possible.</w:t>
            </w:r>
          </w:p>
          <w:p>
            <w:pPr>
              <w:pStyle w:val="ListParagraph"/>
              <w:numPr>
                <w:ilvl w:val="0"/>
                <w:numId w:val="2"/>
              </w:numPr>
              <w:spacing w:after="30" w:before="30"/>
            </w:pPr>
            <w:r>
              <w:rPr>
                <w:rFonts w:ascii="Arial" w:cs="Arial" w:eastAsia="Arial" w:hAnsi="Arial"/>
                <w:sz w:val="18"/>
                <w:szCs w:val="18"/>
              </w:rPr>
              <w:t xml:space="preserve">Ammonia can normalize rapidly. If you suspect a UCD and the child has been NPO or on IVF with dextrose, repeat ammonia after a protein challenge if the first is normal.</w:t>
            </w:r>
          </w:p>
          <w:p>
            <w:pPr>
              <w:pStyle w:val="ListParagraph"/>
              <w:numPr>
                <w:ilvl w:val="0"/>
                <w:numId w:val="2"/>
              </w:numPr>
              <w:spacing w:after="30" w:before="30"/>
            </w:pPr>
            <w:r>
              <w:rPr>
                <w:rFonts w:ascii="Arial" w:cs="Arial" w:eastAsia="Arial" w:hAnsi="Arial"/>
                <w:sz w:val="18"/>
                <w:szCs w:val="18"/>
              </w:rPr>
              <w:t xml:space="preserve">Lactate can be spuriously elevated by poor collection technique (tourniquet, delayed processing). A single normal lactate does not exclude mitochondrial disease.</w:t>
            </w:r>
          </w:p>
          <w:p>
            <w:pPr>
              <w:pStyle w:val="ListParagraph"/>
              <w:numPr>
                <w:ilvl w:val="0"/>
                <w:numId w:val="2"/>
              </w:numPr>
              <w:spacing w:after="30" w:before="30"/>
            </w:pPr>
            <w:r>
              <w:rPr>
                <w:rFonts w:ascii="Arial" w:cs="Arial" w:eastAsia="Arial" w:hAnsi="Arial"/>
                <w:sz w:val="18"/>
                <w:szCs w:val="18"/>
              </w:rPr>
              <w:t xml:space="preserve">CSF studies for NKH (glycine encephalopathy) require a simultaneous plasma glycine — ratio &gt;0.08 is diagnostic. Collect both at the same time.</w:t>
            </w:r>
          </w:p>
        </w:tc>
      </w:tr>
    </w:tbl>
    <w:p>
      <w:r>
        <w:rPr>
          <w:sz w:val="12"/>
          <w:szCs w:val="12"/>
        </w:rPr>
        <w:t xml:space="preserve"/>
      </w:r>
    </w:p>
    <w:p>
      <w:pPr>
        <w:pBdr>
          <w:bottom w:val="single" w:color="2E5FA3" w:sz="6" w:space="1"/>
        </w:pBdr>
        <w:spacing w:after="160" w:before="160"/>
      </w:pPr>
      <w:r>
        <w:t xml:space="preserve"/>
      </w:r>
    </w:p>
    <w:p>
      <w:pPr>
        <w:pStyle w:val="Heading1"/>
        <w:spacing w:after="120" w:before="320"/>
      </w:pPr>
      <w:r>
        <w:rPr>
          <w:rFonts w:ascii="Arial" w:cs="Arial" w:eastAsia="Arial" w:hAnsi="Arial"/>
          <w:b/>
          <w:bCs/>
          <w:color w:val="1F3864"/>
          <w:sz w:val="28"/>
          <w:szCs w:val="28"/>
        </w:rPr>
        <w:t xml:space="preserve">3. Treatable IEMs: Do Not Miss</w:t>
      </w:r>
    </w:p>
    <w:p>
      <w:pPr>
        <w:spacing w:after="60" w:before="60"/>
      </w:pPr>
      <w:r>
        <w:rPr>
          <w:rFonts w:ascii="Arial" w:cs="Arial" w:eastAsia="Arial" w:hAnsi="Arial"/>
          <w:sz w:val="18"/>
          <w:szCs w:val="18"/>
        </w:rPr>
        <w:t xml:space="preserve">The following disorders are emphasized because (1) they are treatable — sometimes dramatically so — and (2) missing them results in preventable harm. Kentucky NBS status is noted; </w:t>
      </w:r>
      <w:r>
        <w:rPr>
          <w:rFonts w:ascii="Arial" w:cs="Arial" w:eastAsia="Arial" w:hAnsi="Arial"/>
          <w:b/>
          <w:bCs/>
          <w:sz w:val="18"/>
          <w:szCs w:val="18"/>
        </w:rPr>
        <w:t xml:space="preserve">a normal NBS does not exclude disorders not on the panel or conditions with poor sensitivity on screen.</w:t>
      </w:r>
    </w:p>
    <w:p>
      <w:r>
        <w:rPr>
          <w:sz w:val="12"/>
          <w:szCs w:val="12"/>
        </w:rPr>
        <w:t xml:space="preserve"/>
      </w:r>
    </w:p>
    <w:p>
      <w:pPr>
        <w:spacing w:after="80" w:before="80"/>
      </w:pPr>
      <w:r>
        <w:rPr>
          <w:rFonts w:ascii="Arial" w:cs="Arial" w:eastAsia="Arial" w:hAnsi="Arial"/>
          <w:b/>
          <w:bCs/>
          <w:i/>
          <w:iCs/>
          <w:color w:val="C55A11"/>
          <w:sz w:val="19"/>
          <w:szCs w:val="19"/>
        </w:rPr>
        <w:t xml:space="preserve">Table 3. High-Priority Treatable IEMs — Don't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1600"/>
        <w:gridCol w:w="1400"/>
        <w:gridCol w:w="1360"/>
      </w:tblGrid>
      <w:tr>
        <w:trPr>
          <w:tblHeader/>
        </w:trPr>
        <w:tc>
          <w:tcPr>
            <w:tcW w:type="dxa" w:w="17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DISORDER</w:t>
            </w:r>
          </w:p>
        </w:tc>
        <w:tc>
          <w:tcPr>
            <w:tcW w:type="dxa" w:w="17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MECHANISM</w:t>
            </w:r>
          </w:p>
        </w:tc>
        <w:tc>
          <w:tcPr>
            <w:tcW w:type="dxa" w:w="16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CLINICAL CLUE</w:t>
            </w:r>
          </w:p>
        </w:tc>
        <w:tc>
          <w:tcPr>
            <w:tcW w:type="dxa" w:w="16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DON'T-MISS TEST</w:t>
            </w:r>
          </w:p>
        </w:tc>
        <w:tc>
          <w:tcPr>
            <w:tcW w:type="dxa" w:w="14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TREATMENT</w:t>
            </w:r>
          </w:p>
        </w:tc>
        <w:tc>
          <w:tcPr>
            <w:tcW w:type="dxa" w:w="136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KY NBS</w:t>
            </w:r>
          </w:p>
        </w:tc>
      </w:tr>
      <w:tr>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GLUT1 deficiency (SLC2A1)</w:t>
            </w:r>
          </w:p>
        </w:tc>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Impaired glucose transport across BBB; CSF glucose low relative to serum</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Seizures worsened by fasting, improved fasting ketosis; acquired microcephaly; movement disorder</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Fasting CSF:serum glucose ratio (&lt;0.45); SLC2A1 sequencing</w:t>
            </w:r>
          </w:p>
        </w:tc>
        <w:tc>
          <w:tcPr>
            <w:tcW w:type="dxa" w:w="14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Ketogenic diet (highly effective)</w:t>
            </w:r>
          </w:p>
        </w:tc>
        <w:tc>
          <w:tcPr>
            <w:tcW w:type="dxa" w:w="13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No</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Pyridoxine-dependent epilepsy (ALDH7A1)</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Deficient P6C-mediated pyridoxal trapping; pipecolic acid accumulates</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Refractory neonatal/infantile seizures; response to IV pyridoxine trial</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Urine/plasma α-AASA; pipecolic acid; ALDH7A1 gene</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Pyridoxine + lysine restriction + arginine supplementation</w:t>
            </w:r>
          </w:p>
        </w:tc>
        <w:tc>
          <w:tcPr>
            <w:tcW w:type="dxa" w:w="1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No</w:t>
            </w:r>
          </w:p>
        </w:tc>
      </w:tr>
      <w:tr>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Biotinidase deficiency</w:t>
            </w:r>
          </w:p>
        </w:tc>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Failure to recycle biotin; multiple carboxylase deficiency</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Seizures, alopecia, rash, sensorineural hearing loss, optic atrophy</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Biotinidase enzyme activity</w:t>
            </w:r>
          </w:p>
        </w:tc>
        <w:tc>
          <w:tcPr>
            <w:tcW w:type="dxa" w:w="14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Biotin (inexpensive, highly effective if early)</w:t>
            </w:r>
          </w:p>
        </w:tc>
        <w:tc>
          <w:tcPr>
            <w:tcW w:type="dxa" w:w="136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Yes (KY)</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Creatine deficiency (GAMT, AGAT, SLC6A8)</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Deficient creatine synthesis or transport to CNS; energy failure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Intellectual disability, autism features, epilepsy; absent creatine peak on MRS</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Urine Cr:creatinine ratio; guanidinoacetate; gene panel</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Creatine ± ornithine ± arginine (synthesis defects); SLC6A8 responds less</w:t>
            </w:r>
          </w:p>
        </w:tc>
        <w:tc>
          <w:tcPr>
            <w:tcW w:type="dxa" w:w="1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No</w:t>
            </w:r>
          </w:p>
        </w:tc>
      </w:tr>
      <w:tr>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Urea cycle defects (OTC, CPS1, ASS1, others)</w:t>
            </w:r>
          </w:p>
        </w:tc>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Failure of nitrogen disposal; ammonia neurotoxicity</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Acute encephalopathy, cyclic vomiting, protein avoidance; OTC X-linked (males &gt;&gt; females)</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Ammonia (critical), plasma amino acids, urine orotic acid</w:t>
            </w:r>
          </w:p>
        </w:tc>
        <w:tc>
          <w:tcPr>
            <w:tcW w:type="dxa" w:w="14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Nitrogen scavengers (benzoate/phenylbutyrate), arginine, low-protein diet, liver transplant</w:t>
            </w:r>
          </w:p>
        </w:tc>
        <w:tc>
          <w:tcPr>
            <w:tcW w:type="dxa" w:w="136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Yes (ASA, AS — not OTC/CPS1 directly)</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MSUD (BCKDH deficiency)</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Branched-chain keto acid accumulation; cerebral edema, demyelination</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Neonatal encephalopathy, maple syrup odor, episodic crisis with illness</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Plasma amino acids (leucine/isoleucine/valine elevation); acylcarnitine profile</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Dietary leucine restriction; acute: dialysis for severe crisis; liver Tx</w:t>
            </w:r>
          </w:p>
        </w:tc>
        <w:tc>
          <w:tcPr>
            <w:tcW w:type="dxa" w:w="136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Yes (KY)</w:t>
            </w:r>
          </w:p>
        </w:tc>
      </w:tr>
      <w:tr>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Propionic / methylmalonic acidemia</w:t>
            </w:r>
          </w:p>
        </w:tc>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Organic acid accumulation; mitochondrial toxicity, basal ganglia injury</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Neonatal acidosis, hyperammonemia, basal ganglia stroke in crisis, cardiomyopathy</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Urine organic acids; acylcarnitine (C3); plasma amino acids (glycine elevation)</w:t>
            </w:r>
          </w:p>
        </w:tc>
        <w:tc>
          <w:tcPr>
            <w:tcW w:type="dxa" w:w="14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Protein restriction, carnitine, biotin (PA); B12 for responsive MMA; OHCbl</w:t>
            </w:r>
          </w:p>
        </w:tc>
        <w:tc>
          <w:tcPr>
            <w:tcW w:type="dxa" w:w="136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Yes (KY)</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Homocystinuria / remethylation defects</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Excess homocysteine; vascular, skeletal, ocular, CNS toxicity</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Marfanoid, lens dislocation (downward), DVT, stroke, intellectual disability</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Total plasma homocysteine; plasma amino acids; folate, B12; methylation gene panel</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Pyridoxine trial (CBS-responsive); betaine; methionine restriction; folate/B12</w:t>
            </w:r>
          </w:p>
        </w:tc>
        <w:tc>
          <w:tcPr>
            <w:tcW w:type="dxa" w:w="136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Yes — classical HCY (NBS for CBS deficiency); not all remethylation defects</w:t>
            </w:r>
          </w:p>
        </w:tc>
      </w:tr>
      <w:tr>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Niemann-Pick C (NPC1/NPC2)</w:t>
            </w:r>
          </w:p>
        </w:tc>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Impaired intracellular cholesterol trafficking; lysosomal accumulation</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Vertical supranuclear gaze palsy, ataxia, cognitive decline, dystonia; hepatosplenomegaly</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Filipin staining; plasma oxysterols (7-KC); NPC1/NPC2 gene</w:t>
            </w:r>
          </w:p>
        </w:tc>
        <w:tc>
          <w:tcPr>
            <w:tcW w:type="dxa" w:w="14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Miglustat (substrate reduction); supportive; liver Tx not effective for neurological disease</w:t>
            </w:r>
          </w:p>
        </w:tc>
        <w:tc>
          <w:tcPr>
            <w:tcW w:type="dxa" w:w="13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No (some states only)</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X-linked adrenoleukodystrophy (ABCD1)</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Peroxisomal VLCFA oxidation failure; inflammatory demyelination (cerebral) or axonopathy (AMN)</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Boys: cerebral ALD with behavioral/school decline and white matter disease; ACTH stimulation for adrenal insufficiency</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VLCFAs (C26:0, C24/C22 ratio); ABCD1 gene; MRI (parieto-occipital WM)</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HSCT for early cerebral ALD (pre-symptomatic ideal); adrenal replacement; Lorenzo's oil does not halt neurological disease</w:t>
            </w:r>
          </w:p>
        </w:tc>
        <w:tc>
          <w:tcPr>
            <w:tcW w:type="dxa" w:w="136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Yes (KY, males)</w:t>
            </w:r>
          </w:p>
        </w:tc>
      </w:tr>
      <w:tr>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Phenylketonuria (PKU)</w:t>
            </w:r>
          </w:p>
        </w:tc>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PAH deficiency; phenylalanine neurotoxicity; dopamine/serotonin depletion</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Intellectual disability, seizures, behavioral issues, tremor, mousy odor (untreated)</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Plasma amino acids (phenylalanine); PAH gene</w:t>
            </w:r>
          </w:p>
        </w:tc>
        <w:tc>
          <w:tcPr>
            <w:tcW w:type="dxa" w:w="14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Phe-restricted diet; sapropterin (BH4) for responsive variants; pegvaliase (adults)</w:t>
            </w:r>
          </w:p>
        </w:tc>
        <w:tc>
          <w:tcPr>
            <w:tcW w:type="dxa" w:w="136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Yes (KY) — NBS success story; most cases now detected pre-symptomatically</w:t>
            </w:r>
          </w:p>
        </w:tc>
      </w:tr>
    </w:tbl>
    <w:p>
      <w:r>
        <w:rPr>
          <w:sz w:val="12"/>
          <w:szCs w:val="12"/>
        </w:rPr>
        <w:t xml:space="preserve"/>
      </w:r>
    </w:p>
    <w:p>
      <w:pPr>
        <w:pBdr>
          <w:bottom w:val="single" w:color="2E5FA3" w:sz="6" w:space="1"/>
        </w:pBdr>
        <w:spacing w:after="160" w:before="160"/>
      </w:pPr>
      <w:r>
        <w:t xml:space="preserve"/>
      </w:r>
    </w:p>
    <w:p>
      <w:pPr>
        <w:pStyle w:val="Heading1"/>
        <w:spacing w:after="120" w:before="320"/>
      </w:pPr>
      <w:r>
        <w:rPr>
          <w:rFonts w:ascii="Arial" w:cs="Arial" w:eastAsia="Arial" w:hAnsi="Arial"/>
          <w:b/>
          <w:bCs/>
          <w:color w:val="1F3864"/>
          <w:sz w:val="28"/>
          <w:szCs w:val="28"/>
        </w:rPr>
        <w:t xml:space="preserve">4. Tiered Workup for Suspected Neurometabolic Disease</w:t>
      </w:r>
    </w:p>
    <w:p>
      <w:pPr>
        <w:pStyle w:val="Heading2"/>
        <w:spacing w:after="80" w:before="240"/>
      </w:pPr>
      <w:r>
        <w:rPr>
          <w:rFonts w:ascii="Arial" w:cs="Arial" w:eastAsia="Arial" w:hAnsi="Arial"/>
          <w:b/>
          <w:bCs/>
          <w:color w:val="2E5FA3"/>
          <w:sz w:val="22"/>
          <w:szCs w:val="22"/>
        </w:rPr>
        <w:t xml:space="preserve">First-Tier Screen</w:t>
      </w:r>
    </w:p>
    <w:p>
      <w:pPr>
        <w:spacing w:after="60" w:before="60"/>
      </w:pPr>
      <w:r>
        <w:rPr>
          <w:rFonts w:ascii="Arial" w:cs="Arial" w:eastAsia="Arial" w:hAnsi="Arial"/>
          <w:b w:val="false"/>
          <w:bCs w:val="false"/>
          <w:i w:val="false"/>
          <w:iCs w:val="false"/>
          <w:color w:val="000000"/>
          <w:sz w:val="18"/>
          <w:szCs w:val="18"/>
        </w:rPr>
        <w:t xml:space="preserve">Obtain in all children with unexplained global developmental delay, regression, early-onset movement disorder, or recurrent metabolic decompensation — unless a clear alternative diagnosis exists.</w:t>
      </w:r>
    </w:p>
    <w:p>
      <w:r>
        <w:rPr>
          <w:sz w:val="12"/>
          <w:szCs w:val="12"/>
        </w:rPr>
        <w:t xml:space="preserve"/>
      </w:r>
    </w:p>
    <w:p>
      <w:pPr>
        <w:spacing w:after="80" w:before="80"/>
      </w:pPr>
      <w:r>
        <w:rPr>
          <w:rFonts w:ascii="Arial" w:cs="Arial" w:eastAsia="Arial" w:hAnsi="Arial"/>
          <w:b/>
          <w:bCs/>
          <w:i/>
          <w:iCs/>
          <w:color w:val="2E5FA3"/>
          <w:sz w:val="19"/>
          <w:szCs w:val="19"/>
        </w:rPr>
        <w:t xml:space="preserve">Table 4. First-Tier Metabolic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rPr>
          <w:tblHeader/>
        </w:trPr>
        <w:tc>
          <w:tcPr>
            <w:tcW w:type="dxa" w:w="18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COMPARTMENT</w:t>
            </w:r>
          </w:p>
        </w:tc>
        <w:tc>
          <w:tcPr>
            <w:tcW w:type="dxa" w:w="388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w:t>
            </w:r>
          </w:p>
        </w:tc>
        <w:tc>
          <w:tcPr>
            <w:tcW w:type="dxa" w:w="368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IT SCREENS FOR</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Blood</w:t>
            </w:r>
          </w:p>
        </w:tc>
        <w:tc>
          <w:tcPr>
            <w:tcW w:type="dxa" w:w="38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Ammonia</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Urea cycle defects, organic acidemias, liver failure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Blood</w:t>
            </w:r>
          </w:p>
        </w:tc>
        <w:tc>
          <w:tcPr>
            <w:tcW w:type="dxa" w:w="3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Lactate (± pyruvate)</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Mitochondrial disease, PDH deficiency, organic acidemias — NOTE: collect properly (no tourniquet, free-flowing); a single normal value does not exclude mitochondrial disease</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Blood</w:t>
            </w:r>
          </w:p>
        </w:tc>
        <w:tc>
          <w:tcPr>
            <w:tcW w:type="dxa" w:w="38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Plasma amino acids</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Aminoacidopathies (PKU, MSUD, HCU), UCD (citrulline, argininosuccinate), NKH (glycine)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Blood</w:t>
            </w:r>
          </w:p>
        </w:tc>
        <w:tc>
          <w:tcPr>
            <w:tcW w:type="dxa" w:w="3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Acylcarnitine profile</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FAODs, organic acidemias, some mitochondrial defects</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Blood</w:t>
            </w:r>
          </w:p>
        </w:tc>
        <w:tc>
          <w:tcPr>
            <w:tcW w:type="dxa" w:w="38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Total homocysteine</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CBS deficiency, remethylation defects (MTHFR, cblC/D/E/G)</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Blood</w:t>
            </w:r>
          </w:p>
        </w:tc>
        <w:tc>
          <w:tcPr>
            <w:tcW w:type="dxa" w:w="3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Glucose, electrolytes, BMP, LFTs, CBC</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Hypoglycemia, acidosis, liver disease — essential context for interpreting metabolic results</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Blood</w:t>
            </w:r>
          </w:p>
        </w:tc>
        <w:tc>
          <w:tcPr>
            <w:tcW w:type="dxa" w:w="38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Copper + ceruloplasmin</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Menkes (low Cu, low Cp — most relevant in infancy/early childhood); Wilson (low Cp, ↑24h urine Cu — adolescent)</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Urine</w:t>
            </w:r>
          </w:p>
        </w:tc>
        <w:tc>
          <w:tcPr>
            <w:tcW w:type="dxa" w:w="3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Organic acids</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Organic acidemias, MMA, PA, IVA, MCD, FAOD ketone profiles, mitochondrial</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Urine</w:t>
            </w:r>
          </w:p>
        </w:tc>
        <w:tc>
          <w:tcPr>
            <w:tcW w:type="dxa" w:w="38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Urine amino acids / GAGs / oligosaccharides</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MPS disorders (GAGs), oligosaccharidoses, aminoacidopathies</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Urine</w:t>
            </w:r>
          </w:p>
        </w:tc>
        <w:tc>
          <w:tcPr>
            <w:tcW w:type="dxa" w:w="3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Creatine : creatinine ratio + guanidinoacetate</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Creatine synthesis defects (GAMT, AGAT), SLC6A8 transport defect</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Urine</w:t>
            </w:r>
          </w:p>
        </w:tc>
        <w:tc>
          <w:tcPr>
            <w:tcW w:type="dxa" w:w="38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Purines and pyrimidines</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Lesch-Nyhan, ADSL deficiency, UMP synthase defects, orotic aciduria (OTC deficiency screen)</w:t>
            </w:r>
          </w:p>
        </w:tc>
      </w:tr>
    </w:tbl>
    <w:p>
      <w:r>
        <w:rPr>
          <w:sz w:val="12"/>
          <w:szCs w:val="12"/>
        </w:rPr>
        <w:t xml:space="preserve"/>
      </w:r>
    </w:p>
    <w:p>
      <w:pPr>
        <w:pStyle w:val="Heading2"/>
        <w:spacing w:after="80" w:before="240"/>
      </w:pPr>
      <w:r>
        <w:rPr>
          <w:rFonts w:ascii="Arial" w:cs="Arial" w:eastAsia="Arial" w:hAnsi="Arial"/>
          <w:b/>
          <w:bCs/>
          <w:color w:val="2E5FA3"/>
          <w:sz w:val="22"/>
          <w:szCs w:val="22"/>
        </w:rPr>
        <w:t xml:space="preserve">Second-Tier Targeted Testing</w:t>
      </w:r>
    </w:p>
    <w:p>
      <w:pPr>
        <w:spacing w:after="60" w:before="60"/>
      </w:pPr>
      <w:r>
        <w:rPr>
          <w:rFonts w:ascii="Arial" w:cs="Arial" w:eastAsia="Arial" w:hAnsi="Arial"/>
          <w:b w:val="false"/>
          <w:bCs w:val="false"/>
          <w:i w:val="false"/>
          <w:iCs w:val="false"/>
          <w:color w:val="000000"/>
          <w:sz w:val="18"/>
          <w:szCs w:val="18"/>
        </w:rPr>
        <w:t xml:space="preserve">Use first-tier results, clinical pattern, and MRI findings to guide second-tier investigations. Not all of the following are needed in every child — let the phenotype direct the workup.</w:t>
      </w:r>
    </w:p>
    <w:p>
      <w:r>
        <w:rPr>
          <w:sz w:val="12"/>
          <w:szCs w:val="12"/>
        </w:rPr>
        <w:t xml:space="preserve"/>
      </w:r>
    </w:p>
    <w:p>
      <w:pPr>
        <w:spacing w:after="80" w:before="80"/>
      </w:pPr>
      <w:r>
        <w:rPr>
          <w:rFonts w:ascii="Arial" w:cs="Arial" w:eastAsia="Arial" w:hAnsi="Arial"/>
          <w:b/>
          <w:bCs/>
          <w:i/>
          <w:iCs/>
          <w:color w:val="2E5FA3"/>
          <w:sz w:val="19"/>
          <w:szCs w:val="19"/>
        </w:rPr>
        <w:t xml:space="preserve">Table 5. Second-Tier Targeted Testing by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680"/>
      </w:tblGrid>
      <w:tr>
        <w:trPr>
          <w:tblHeader/>
        </w:trPr>
        <w:tc>
          <w:tcPr>
            <w:tcW w:type="dxa" w:w="26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SCENARIO / PATTERN</w:t>
            </w:r>
          </w:p>
        </w:tc>
        <w:tc>
          <w:tcPr>
            <w:tcW w:type="dxa" w:w="308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TARGETED STUDIES</w:t>
            </w:r>
          </w:p>
        </w:tc>
        <w:tc>
          <w:tcPr>
            <w:tcW w:type="dxa" w:w="368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Suspected peroxisomal disorder (ZSD, RCDP, X-ALD): dysmorphism, cataracts, leukodystrophy, adrenal insufficiency</w:t>
            </w:r>
          </w:p>
        </w:tc>
        <w:tc>
          <w:tcPr>
            <w:tcW w:type="dxa" w:w="30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VLCFAs; plasmalogens; phytanic/pristanic acids; ABCD1 gene for X-ALD</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X-ALD: males on KY NBS since 2018. ZSD: Zellweger spectrum has broad severity — consider in neonatal hypotonia + cholestasis + dysmorphism.</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Suspected LSD: organomegaly, coarse facies, regression, cherry-red spot, bone disease</w:t>
            </w:r>
          </w:p>
        </w:tc>
        <w:tc>
          <w:tcPr>
            <w:tcW w:type="dxa" w:w="30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Lysosomal enzyme panel (leukocytes); urine/plasma GAGs; oligosaccharides; disease-specific substrates (oxysterols for NPC)</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Enzyme assay is diagnostic for most LSDs. NPC: enzyme activity is normal — requires oxysterols or filipin staining.</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Pyridoxine-dependent/AASA spectrum or refractory neonatal seizures</w:t>
            </w:r>
          </w:p>
        </w:tc>
        <w:tc>
          <w:tcPr>
            <w:tcW w:type="dxa" w:w="30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Plasma/urine α-AASA; pipecolic acid; PNPO activity; ALDH7A1 gene</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Empirical pyridoxine trial justified before results available in neonatal refractory seizures.</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Mitochondrial/energy defect: Leigh syndrome, MERRF, MELAS, complex I–IV deficiency</w:t>
            </w:r>
          </w:p>
        </w:tc>
        <w:tc>
          <w:tcPr>
            <w:tcW w:type="dxa" w:w="30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Serum and CSF lactate/pyruvate; acylcarnitines; comprehensive mitochondrial gene panel or WES/WGS (preferred over piecemeal testing)</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Respiratory chain enzyme studies on tissue (muscle biopsy) still relevant in selected cases where genetics unrevealing. Lactate may be normal in some RC defects.</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Cholesterol biosynthesis defect (SLOS, desmosterolosis)</w:t>
            </w:r>
          </w:p>
        </w:tc>
        <w:tc>
          <w:tcPr>
            <w:tcW w:type="dxa" w:w="30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Cholesterol and sterol profile; 7-dehydrocholesterol:cholesterol ratio</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SLOS: 2nd–3rd toe syndactyly, genital anomalies, behavioral phenotype resembling autism.</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Neurotransmitter or cerebral folate disorder</w:t>
            </w:r>
          </w:p>
        </w:tc>
        <w:tc>
          <w:tcPr>
            <w:tcW w:type="dxa" w:w="30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CSF monoamine metabolites (HVA, 5-HIAA); pterins; 5-MTHF; CSF amino acids (glycine for NKH) — selective use</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CSF for NKH (nonketotic hyperglycinemia): CSF:plasma glycine ratio &gt; 0.08 is diagnostic. Use CSF studies selectively, not as routine first-tier.</w:t>
            </w:r>
          </w:p>
        </w:tc>
      </w:tr>
      <w:tr>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Unexplained regression, unrevealing first-tier screen, no clear biochemical pattern</w:t>
            </w:r>
          </w:p>
        </w:tc>
        <w:tc>
          <w:tcPr>
            <w:tcW w:type="dxa" w:w="30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Exome or genome sequencing (WES/WGS) — early genomic testing preferred</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See note below on genomic testing philosophy.</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2E5FA3" w:sz="8"/>
              <w:left w:val="single" w:color="2E5FA3" w:sz="8"/>
              <w:bottom w:val="single" w:color="2E5FA3" w:sz="8"/>
              <w:right w:val="single" w:color="2E5FA3" w:sz="8"/>
            </w:tcBorders>
            <w:shd w:fill="E2EFDA" w:val="clear"/>
            <w:tcMar>
              <w:top w:type="dxa" w:w="100"/>
              <w:left w:type="dxa" w:w="140"/>
              <w:bottom w:type="dxa" w:w="60"/>
              <w:right w:type="dxa" w:w="140"/>
            </w:tcMar>
          </w:tcPr>
          <w:p>
            <w:pPr>
              <w:spacing w:after="80" w:before="0"/>
            </w:pPr>
            <w:r>
              <w:rPr>
                <w:rFonts w:ascii="Arial" w:cs="Arial" w:eastAsia="Arial" w:hAnsi="Arial"/>
                <w:b/>
                <w:bCs/>
                <w:color w:val="375623"/>
                <w:sz w:val="20"/>
                <w:szCs w:val="20"/>
              </w:rPr>
              <w:t xml:space="preserve">On Genomic Testing: A Philosophy Shift</w:t>
            </w:r>
          </w:p>
          <w:p>
            <w:pPr>
              <w:pStyle w:val="ListParagraph"/>
              <w:numPr>
                <w:ilvl w:val="0"/>
                <w:numId w:val="2"/>
              </w:numPr>
              <w:spacing w:after="30" w:before="30"/>
            </w:pPr>
            <w:r>
              <w:rPr>
                <w:rFonts w:ascii="Arial" w:cs="Arial" w:eastAsia="Arial" w:hAnsi="Arial"/>
                <w:sz w:val="18"/>
                <w:szCs w:val="18"/>
              </w:rPr>
              <w:t xml:space="preserve">The older paradigm of exhaustive sequential biochemical testing before genomic workup is outdated for many presentations.</w:t>
            </w:r>
          </w:p>
          <w:p>
            <w:pPr>
              <w:pStyle w:val="ListParagraph"/>
              <w:numPr>
                <w:ilvl w:val="0"/>
                <w:numId w:val="2"/>
              </w:numPr>
              <w:spacing w:after="30" w:before="30"/>
            </w:pPr>
            <w:r>
              <w:rPr>
                <w:rFonts w:ascii="Arial" w:cs="Arial" w:eastAsia="Arial" w:hAnsi="Arial"/>
                <w:sz w:val="18"/>
                <w:szCs w:val="18"/>
              </w:rPr>
              <w:t xml:space="preserve">In a child with unexplained developmental regression and an unrevealing first-tier metabolic screen, early WES or WGS is preferred over ordering every conceivable second-tier biochemical test.</w:t>
            </w:r>
          </w:p>
          <w:p>
            <w:pPr>
              <w:pStyle w:val="ListParagraph"/>
              <w:numPr>
                <w:ilvl w:val="0"/>
                <w:numId w:val="2"/>
              </w:numPr>
              <w:spacing w:after="30" w:before="30"/>
            </w:pPr>
            <w:r>
              <w:rPr>
                <w:rFonts w:ascii="Arial" w:cs="Arial" w:eastAsia="Arial" w:hAnsi="Arial"/>
                <w:sz w:val="18"/>
                <w:szCs w:val="18"/>
              </w:rPr>
              <w:t xml:space="preserve">Genomic testing does not replace targeted biochemical testing when a specific disorder is suspected or when a biochemical result requires confirmation — but it should not be the test of last resort.</w:t>
            </w:r>
          </w:p>
          <w:p>
            <w:pPr>
              <w:pStyle w:val="ListParagraph"/>
              <w:numPr>
                <w:ilvl w:val="0"/>
                <w:numId w:val="2"/>
              </w:numPr>
              <w:spacing w:after="30" w:before="30"/>
            </w:pPr>
            <w:r>
              <w:rPr>
                <w:rFonts w:ascii="Arial" w:cs="Arial" w:eastAsia="Arial" w:hAnsi="Arial"/>
                <w:sz w:val="18"/>
                <w:szCs w:val="18"/>
              </w:rPr>
              <w:t xml:space="preserve">Many IEMs are now diagnosed biochemically only after a genomic result directs attention. The two approaches are complementary.</w:t>
            </w:r>
          </w:p>
          <w:p>
            <w:pPr>
              <w:pStyle w:val="ListParagraph"/>
              <w:numPr>
                <w:ilvl w:val="0"/>
                <w:numId w:val="2"/>
              </w:numPr>
              <w:spacing w:after="30" w:before="30"/>
            </w:pPr>
            <w:r>
              <w:rPr>
                <w:rFonts w:ascii="Arial" w:cs="Arial" w:eastAsia="Arial" w:hAnsi="Arial"/>
                <w:sz w:val="18"/>
                <w:szCs w:val="18"/>
              </w:rPr>
              <w:t xml:space="preserve">Exception: when a specific treatable disorder is on the differential (e.g., GLUT1, pyridoxine-dependent epilepsy), do not wait for genomics — treat empirically and test specifically.</w:t>
            </w:r>
          </w:p>
        </w:tc>
      </w:tr>
    </w:tbl>
    <w:p>
      <w:r>
        <w:rPr>
          <w:sz w:val="12"/>
          <w:szCs w:val="12"/>
        </w:rPr>
        <w:t xml:space="preserve"/>
      </w:r>
    </w:p>
    <w:p>
      <w:pPr>
        <w:pBdr>
          <w:bottom w:val="single" w:color="2E5FA3" w:sz="6" w:space="1"/>
        </w:pBdr>
        <w:spacing w:after="160" w:before="160"/>
      </w:pPr>
      <w:r>
        <w:t xml:space="preserve"/>
      </w:r>
    </w:p>
    <w:p>
      <w:pPr>
        <w:pStyle w:val="Heading1"/>
        <w:spacing w:after="120" w:before="320"/>
      </w:pPr>
      <w:r>
        <w:rPr>
          <w:rFonts w:ascii="Arial" w:cs="Arial" w:eastAsia="Arial" w:hAnsi="Arial"/>
          <w:b/>
          <w:bCs/>
          <w:color w:val="1F3864"/>
          <w:sz w:val="28"/>
          <w:szCs w:val="28"/>
        </w:rPr>
        <w:t xml:space="preserve">5. Bedside Checklist for the On-Call Resident</w:t>
      </w:r>
    </w:p>
    <w:p>
      <w:pPr>
        <w:spacing w:after="80" w:before="80"/>
      </w:pPr>
      <w:r>
        <w:rPr>
          <w:rFonts w:ascii="Arial" w:cs="Arial" w:eastAsia="Arial" w:hAnsi="Arial"/>
          <w:b/>
          <w:bCs/>
          <w:i/>
          <w:iCs/>
          <w:color w:val="2E5FA3"/>
          <w:sz w:val="19"/>
          <w:szCs w:val="19"/>
        </w:rPr>
        <w:t xml:space="preserve">Table 6. Stepwise Approach to the Child with Suspected Neurometabolic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STEP</w:t>
            </w:r>
          </w:p>
        </w:tc>
        <w:tc>
          <w:tcPr>
            <w:tcW w:type="dxa" w:w="7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1. Stabilize</w:t>
            </w:r>
          </w:p>
        </w:tc>
        <w:tc>
          <w:tcPr>
            <w:tcW w:type="dxa" w:w="7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ABCs. Correct hypoglycemia, treat seizures. Do NOT delay acute labs for imaging.</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2. Acute labs (all acutely ill children with encephalopathy)</w:t>
            </w:r>
          </w:p>
        </w:tc>
        <w:tc>
          <w:tcPr>
            <w:tcW w:type="dxa" w:w="7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Ammonia, blood gas, glucose, lactate, electrolytes, LFTs, CBC, ketones, plasma amino acids, acylcarnitines, urine organic acids (± orotic acid). Treat hyperammonemia and acidosis empirically while pending.</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3. Categorize by axes</w:t>
            </w:r>
          </w:p>
        </w:tc>
        <w:tc>
          <w:tcPr>
            <w:tcW w:type="dxa" w:w="7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Small- vs large-molecule. Acute/episodic vs subacute/regressive vs chronic progressive. Multi-organ vs brain-predominant. MRI pattern and head circumference trajectory.</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4. Check NBS history</w:t>
            </w:r>
          </w:p>
        </w:tc>
        <w:tc>
          <w:tcPr>
            <w:tcW w:type="dxa" w:w="7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Was NBS performed? What panel (KY)? Normal NBS does NOT exclude IEMs not on the panel or disorders with poor screening sensitivity. Confirm with metabolic lab if NBS was abnormal or incomplete.</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5. First-tier metabolic screen</w:t>
            </w:r>
          </w:p>
        </w:tc>
        <w:tc>
          <w:tcPr>
            <w:tcW w:type="dxa" w:w="7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If not yet done, order full panel (see table above). Timing matters: organic acids and acylcarnitines are highest yield DURING a metabolic crisis.</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6. Any treatable signal?</w:t>
            </w:r>
          </w:p>
        </w:tc>
        <w:tc>
          <w:tcPr>
            <w:tcW w:type="dxa" w:w="7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Patterns suggesting UCD, organic acidemia, aminoacidopathy, creatine defect, pyridoxine-dependent epilepsy, GLUT1, Wilson, Menkes → immediate metabolic/genetics consultation and disease-specific therapy.</w:t>
            </w:r>
          </w:p>
        </w:tc>
      </w:tr>
      <w:tr>
        <w:tc>
          <w:tcPr>
            <w:tcW w:type="dxa" w:w="2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7. First-tier unrevealing but suspicion remains</w:t>
            </w:r>
          </w:p>
        </w:tc>
        <w:tc>
          <w:tcPr>
            <w:tcW w:type="dxa" w:w="7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Escalate to targeted second-tier labs based on phenotype and MRI. In a child with unexplained regression and unrevealing biochemical screen, proceed to WES/WGS without delay — exhaustive sequential biochemical testing is NOT required first.</w:t>
            </w:r>
          </w:p>
        </w:tc>
      </w:tr>
    </w:tbl>
    <w:p>
      <w:r>
        <w:rPr>
          <w:sz w:val="12"/>
          <w:szCs w:val="12"/>
        </w:rPr>
        <w:t xml:space="preserve"/>
      </w:r>
    </w:p>
    <w:p>
      <w:r>
        <w:rPr>
          <w:sz w:val="12"/>
          <w:szCs w:val="12"/>
        </w:rPr>
        <w:t xml:space="preserve"/>
      </w:r>
    </w:p>
    <w:p>
      <w:pPr>
        <w:pBdr>
          <w:top w:val="single" w:color="AAAAAA" w:sz="4" w:space="6"/>
        </w:pBdr>
        <w:spacing w:after="60" w:before="120"/>
      </w:pPr>
      <w:r>
        <w:rPr>
          <w:rFonts w:ascii="Arial" w:cs="Arial" w:eastAsia="Arial" w:hAnsi="Arial"/>
          <w:i/>
          <w:iCs/>
          <w:color w:val="888888"/>
          <w:sz w:val="16"/>
          <w:szCs w:val="16"/>
        </w:rPr>
        <w:t xml:space="preserve">Child Neurology Residency Manual  |  Neurometabolic Disorders  |  PGY-3/4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2026-03-07T23:47:00.272Z</dcterms:created>
  <dcterms:modified xsi:type="dcterms:W3CDTF">2026-03-07T23:47:00.273Z</dcterms:modified>
</cp:coreProperties>
</file>

<file path=docProps/custom.xml><?xml version="1.0" encoding="utf-8"?>
<Properties xmlns="http://schemas.openxmlformats.org/officeDocument/2006/custom-properties" xmlns:vt="http://schemas.openxmlformats.org/officeDocument/2006/docPropsVTypes"/>
</file>