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aps/>
          <w:color w:val="2E74B5"/>
          <w:sz w:val="18"/>
        </w:rPr>
        <w:t>EXECUTIVE BRIEF · REAL OFFICE EVIDENCE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72033"/>
          <w:sz w:val="54"/>
        </w:rPr>
        <w:t>2025年度 Office Automation Readiness Brief</w:t>
      </w:r>
    </w:p>
    <w:p>
      <w:pPr>
        <w:spacing w:after="200"/>
      </w:pPr>
      <w:r>
        <w:rPr>
          <w:rFonts w:ascii="Calibri" w:hAnsi="Calibri" w:eastAsia="Microsoft YaHei"/>
          <w:color w:val="667085"/>
          <w:sz w:val="25"/>
        </w:rPr>
        <w:t>A decision-ready view of the PowerPoint, Word and Excel runtime shipped by dcc-mcp-office.</w:t>
      </w:r>
    </w:p>
    <w:p>
      <w:pPr>
        <w:spacing w:after="160"/>
        <w:pBdr>
          <w:bottom w:val="single" w:sz="12" w:space="8" w:color="2E74B5"/>
        </w:pBdr>
      </w:pPr>
      <w:r>
        <w:rPr>
          <w:rFonts w:ascii="Calibri" w:hAnsi="Calibri" w:eastAsia="Microsoft YaHei"/>
          <w:b w:val="0"/>
          <w:color w:val="667085"/>
          <w:sz w:val="17"/>
        </w:rPr>
        <w:t>Prepared for  Creative production engineering</w:t>
      </w:r>
      <w:r>
        <w:rPr>
          <w:rFonts w:ascii="Calibri" w:hAnsi="Calibri" w:eastAsia="Microsoft YaHei"/>
          <w:color w:val="98A2B3"/>
          <w:sz w:val="17"/>
        </w:rPr>
        <w:t xml:space="preserve">   |   </w:t>
      </w:r>
      <w:r>
        <w:rPr>
          <w:rFonts w:ascii="Calibri" w:hAnsi="Calibri" w:eastAsia="Microsoft YaHei"/>
          <w:b/>
          <w:color w:val="667085"/>
          <w:sz w:val="17"/>
        </w:rPr>
        <w:t>Status  Verified showcase</w:t>
      </w:r>
      <w:r>
        <w:rPr>
          <w:rFonts w:ascii="Calibri" w:hAnsi="Calibri" w:eastAsia="Microsoft YaHei"/>
          <w:color w:val="98A2B3"/>
          <w:sz w:val="17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7"/>
        </w:rPr>
        <w:t>Evidence  2026-08-30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190" w:type="dxa"/>
              <w:bottom w:w="190" w:type="dxa"/>
              <w:start w:w="220" w:type="dxa"/>
              <w:end w:w="220" w:type="dxa"/>
            </w:tcMar>
            <w:vAlign w:val="center"/>
            <w:shd w:fill="172033"/>
          </w:tcPr>
          <w:p>
            <w:pPr>
              <w:spacing w:after="100"/>
            </w:pPr>
            <w:r>
              <w:rPr>
                <w:rFonts w:ascii="Calibri" w:hAnsi="Calibri" w:eastAsia="Microsoft YaHei"/>
                <w:b/>
                <w:color w:val="9CC8EA"/>
                <w:sz w:val="17"/>
              </w:rPr>
              <w:t>DECISION IN ONE MINUTE</w:t>
            </w:r>
          </w:p>
          <w:p>
            <w:pPr>
              <w:spacing w:after="100"/>
            </w:pPr>
            <w:r>
              <w:rPr>
                <w:rFonts w:ascii="Calibri" w:hAnsi="Calibri" w:eastAsia="Microsoft YaHei"/>
                <w:b/>
                <w:color w:val="FFFFFF"/>
                <w:sz w:val="30"/>
              </w:rPr>
              <w:t>Adopt the shared Office core for governed desktop automation.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E4E7EC"/>
                <w:sz w:val="21"/>
              </w:rPr>
              <w:t>The current runtime already covers editable deck generation, native document inspection, safe cross-file text replacement and validated PDF delivery. Every write remains confirmation-gated, checkpointed and independently verifiable.</w:t>
            </w:r>
          </w:p>
        </w:tc>
      </w:tr>
    </w:tbl>
    <w:p>
      <w:pPr>
        <w:spacing w:after="0"/>
      </w:pPr>
    </w:p>
    <w:p>
      <w:pPr>
        <w:pStyle w:val="Heading1"/>
        <w:spacing w:before="200"/>
      </w:pPr>
      <w:r>
        <w:t>Runtime capability ledger</w:t>
      </w:r>
    </w:p>
    <w:p>
      <w:pPr>
        <w:spacing w:after="140"/>
      </w:pPr>
      <w:r>
        <w:rPr>
          <w:rFonts w:ascii="Calibri" w:hAnsi="Calibri" w:eastAsia="Microsoft YaHei"/>
          <w:color w:val="667085"/>
          <w:sz w:val="20"/>
        </w:rPr>
        <w:t>Live handshakes advertise only the application-specific operations below; counts are evidence, not projections.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60"/>
        <w:gridCol w:w="860"/>
        <w:gridCol w:w="2360"/>
        <w:gridCol w:w="4380"/>
      </w:tblGrid>
      <w:tr>
        <w:tc>
          <w:tcPr>
            <w:tcW w:type="dxa" w:w="1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938"/>
                <w:sz w:val="18"/>
              </w:rPr>
              <w:t>Application</w:t>
            </w:r>
          </w:p>
        </w:tc>
        <w:tc>
          <w:tcPr>
            <w:tcW w:type="dxa" w:w="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938"/>
                <w:sz w:val="18"/>
              </w:rPr>
              <w:t>Live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938"/>
                <w:sz w:val="18"/>
              </w:rPr>
              <w:t>Provider</w:t>
            </w:r>
          </w:p>
        </w:tc>
        <w:tc>
          <w:tcPr>
            <w:tcW w:type="dxa" w:w="43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938"/>
                <w:sz w:val="18"/>
              </w:rPr>
              <w:t>Verified work</w:t>
            </w:r>
          </w:p>
        </w:tc>
      </w:tr>
      <w:tr>
        <w:tc>
          <w:tcPr>
            <w:tcW w:type="dxa" w:w="1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938"/>
                <w:sz w:val="19"/>
              </w:rPr>
              <w:t>PowerPoint</w:t>
            </w:r>
          </w:p>
        </w:tc>
        <w:tc>
          <w:tcPr>
            <w:tcW w:type="dxa" w:w="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5</w:t>
            </w:r>
          </w:p>
        </w:tc>
        <w:tc>
          <w:tcPr>
            <w:tcW w:type="dxa" w:w="23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938"/>
                <w:sz w:val="19"/>
              </w:rPr>
              <w:t>Open XML + desktop COM</w:t>
            </w:r>
          </w:p>
        </w:tc>
        <w:tc>
          <w:tcPr>
            <w:tcW w:type="dxa" w:w="43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938"/>
                <w:sz w:val="19"/>
              </w:rPr>
              <w:t>Compile branded decks, inspect files, render slides, replace text and export PDF.</w:t>
            </w:r>
          </w:p>
        </w:tc>
      </w:tr>
      <w:tr>
        <w:tc>
          <w:tcPr>
            <w:tcW w:type="dxa" w:w="1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938"/>
                <w:sz w:val="19"/>
              </w:rPr>
              <w:t>Word</w:t>
            </w:r>
          </w:p>
        </w:tc>
        <w:tc>
          <w:tcPr>
            <w:tcW w:type="dxa" w:w="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3</w:t>
            </w:r>
          </w:p>
        </w:tc>
        <w:tc>
          <w:tcPr>
            <w:tcW w:type="dxa" w:w="23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938"/>
                <w:sz w:val="19"/>
              </w:rPr>
              <w:t>Desktop COM</w:t>
            </w:r>
          </w:p>
        </w:tc>
        <w:tc>
          <w:tcPr>
            <w:tcW w:type="dxa" w:w="43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938"/>
                <w:sz w:val="19"/>
              </w:rPr>
              <w:t>Inspect documents, replace body/header/footer text and export PDF.</w:t>
            </w:r>
          </w:p>
        </w:tc>
      </w:tr>
      <w:tr>
        <w:tc>
          <w:tcPr>
            <w:tcW w:type="dxa" w:w="1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938"/>
                <w:sz w:val="19"/>
              </w:rPr>
              <w:t>Excel</w:t>
            </w:r>
          </w:p>
        </w:tc>
        <w:tc>
          <w:tcPr>
            <w:tcW w:type="dxa" w:w="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3</w:t>
            </w:r>
          </w:p>
        </w:tc>
        <w:tc>
          <w:tcPr>
            <w:tcW w:type="dxa" w:w="23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938"/>
                <w:sz w:val="19"/>
              </w:rPr>
              <w:t>Desktop COM</w:t>
            </w:r>
          </w:p>
        </w:tc>
        <w:tc>
          <w:tcPr>
            <w:tcW w:type="dxa" w:w="43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938"/>
                <w:sz w:val="19"/>
              </w:rPr>
              <w:t>Inspect workbooks, replace cell text and export native PDF.</w:t>
            </w:r>
          </w:p>
        </w:tc>
      </w:tr>
    </w:tbl>
    <w:p>
      <w:r>
        <w:br w:type="page"/>
      </w:r>
    </w:p>
    <w:p>
      <w:pPr>
        <w:pStyle w:val="Heading1"/>
      </w:pPr>
      <w:r>
        <w:t>Governed execution flow</w:t>
      </w:r>
    </w:p>
    <w:p>
      <w:pPr>
        <w:spacing w:after="180"/>
      </w:pPr>
      <w:r>
        <w:rPr>
          <w:rFonts w:ascii="Calibri" w:hAnsi="Calibri" w:eastAsia="Microsoft YaHei"/>
          <w:color w:val="667085"/>
          <w:sz w:val="21"/>
        </w:rPr>
        <w:t>The suite treats automation as a contract: discover first, make risk visible, mutate only with authority, then prove the result.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6E4F0"/>
          <w:left w:val="single" w:sz="4" w:space="0" w:color="D6E4F0"/>
          <w:bottom w:val="single" w:sz="4" w:space="0" w:color="D6E4F0"/>
          <w:right w:val="single" w:sz="4" w:space="0" w:color="D6E4F0"/>
          <w:insideH w:val="single" w:sz="4" w:space="0" w:color="D6E4F0"/>
          <w:insideV w:val="single" w:sz="4" w:space="0" w:color="D6E4F0"/>
        </w:tblBorders>
      </w:tblPr>
      <w:tblGrid>
        <w:gridCol w:w="1120"/>
        <w:gridCol w:w="8240"/>
      </w:tblGrid>
      <w:tr>
        <w:tc>
          <w:tcPr>
            <w:tcW w:type="dxa" w:w="1120"/>
            <w:tcMar>
              <w:top w:w="115" w:type="dxa"/>
              <w:bottom w:w="115" w:type="dxa"/>
              <w:start w:w="130" w:type="dxa"/>
              <w:end w:w="13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01</w:t>
            </w:r>
          </w:p>
        </w:tc>
        <w:tc>
          <w:tcPr>
            <w:tcW w:type="dxa" w:w="8240"/>
            <w:tcMar>
              <w:top w:w="115" w:type="dxa"/>
              <w:bottom w:w="115" w:type="dxa"/>
              <w:start w:w="130" w:type="dxa"/>
              <w:end w:w="13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2033"/>
                <w:sz w:val="20"/>
              </w:rPr>
              <w:t xml:space="preserve">Discover  </w:t>
            </w:r>
            <w:r>
              <w:rPr>
                <w:rFonts w:ascii="Calibri" w:hAnsi="Calibri" w:eastAsia="Microsoft YaHei"/>
                <w:color w:val="202938"/>
                <w:sz w:val="19"/>
              </w:rPr>
              <w:t>Handshake with the application-specific sidecar and accept only its advertised office-rpc/1 capabilities.</w:t>
            </w:r>
          </w:p>
        </w:tc>
      </w:tr>
      <w:tr>
        <w:tc>
          <w:tcPr>
            <w:tcW w:type="dxa" w:w="1120"/>
            <w:tcMar>
              <w:top w:w="115" w:type="dxa"/>
              <w:bottom w:w="115" w:type="dxa"/>
              <w:start w:w="130" w:type="dxa"/>
              <w:end w:w="13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02</w:t>
            </w:r>
          </w:p>
        </w:tc>
        <w:tc>
          <w:tcPr>
            <w:tcW w:type="dxa" w:w="8240"/>
            <w:tcMar>
              <w:top w:w="115" w:type="dxa"/>
              <w:bottom w:w="115" w:type="dxa"/>
              <w:start w:w="130" w:type="dxa"/>
              <w:end w:w="13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2033"/>
                <w:sz w:val="20"/>
              </w:rPr>
              <w:t xml:space="preserve">Plan  </w:t>
            </w:r>
            <w:r>
              <w:rPr>
                <w:rFonts w:ascii="Calibri" w:hAnsi="Calibri" w:eastAsia="Microsoft YaHei"/>
                <w:color w:val="202938"/>
                <w:sz w:val="19"/>
              </w:rPr>
              <w:t>Keep reusable JSON or document input separate from generated artifacts and choose the narrowest valid backend.</w:t>
            </w:r>
          </w:p>
        </w:tc>
      </w:tr>
      <w:tr>
        <w:tc>
          <w:tcPr>
            <w:tcW w:type="dxa" w:w="1120"/>
            <w:tcMar>
              <w:top w:w="115" w:type="dxa"/>
              <w:bottom w:w="115" w:type="dxa"/>
              <w:start w:w="130" w:type="dxa"/>
              <w:end w:w="13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03</w:t>
            </w:r>
          </w:p>
        </w:tc>
        <w:tc>
          <w:tcPr>
            <w:tcW w:type="dxa" w:w="8240"/>
            <w:tcMar>
              <w:top w:w="115" w:type="dxa"/>
              <w:bottom w:w="115" w:type="dxa"/>
              <w:start w:w="130" w:type="dxa"/>
              <w:end w:w="13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2033"/>
                <w:sz w:val="20"/>
              </w:rPr>
              <w:t xml:space="preserve">Preview  </w:t>
            </w:r>
            <w:r>
              <w:rPr>
                <w:rFonts w:ascii="Calibri" w:hAnsi="Calibri" w:eastAsia="Microsoft YaHei"/>
                <w:color w:val="202938"/>
                <w:sz w:val="19"/>
              </w:rPr>
              <w:t>Run non-destructive inspection or dry-run first, then surface the exact files, matches and risk posture.</w:t>
            </w:r>
          </w:p>
        </w:tc>
      </w:tr>
      <w:tr>
        <w:tc>
          <w:tcPr>
            <w:tcW w:type="dxa" w:w="1120"/>
            <w:tcMar>
              <w:top w:w="115" w:type="dxa"/>
              <w:bottom w:w="115" w:type="dxa"/>
              <w:start w:w="130" w:type="dxa"/>
              <w:end w:w="13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04</w:t>
            </w:r>
          </w:p>
        </w:tc>
        <w:tc>
          <w:tcPr>
            <w:tcW w:type="dxa" w:w="8240"/>
            <w:tcMar>
              <w:top w:w="115" w:type="dxa"/>
              <w:bottom w:w="115" w:type="dxa"/>
              <w:start w:w="130" w:type="dxa"/>
              <w:end w:w="13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2033"/>
                <w:sz w:val="20"/>
              </w:rPr>
              <w:t xml:space="preserve">Confirm  </w:t>
            </w:r>
            <w:r>
              <w:rPr>
                <w:rFonts w:ascii="Calibri" w:hAnsi="Calibri" w:eastAsia="Microsoft YaHei"/>
                <w:color w:val="202938"/>
                <w:sz w:val="19"/>
              </w:rPr>
              <w:t>Require explicit confirmation for destructive writes and capture a byte-exact checkpoint before mutation.</w:t>
            </w:r>
          </w:p>
        </w:tc>
      </w:tr>
      <w:tr>
        <w:tc>
          <w:tcPr>
            <w:tcW w:type="dxa" w:w="1120"/>
            <w:tcMar>
              <w:top w:w="115" w:type="dxa"/>
              <w:bottom w:w="115" w:type="dxa"/>
              <w:start w:w="130" w:type="dxa"/>
              <w:end w:w="13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05</w:t>
            </w:r>
          </w:p>
        </w:tc>
        <w:tc>
          <w:tcPr>
            <w:tcW w:type="dxa" w:w="8240"/>
            <w:tcMar>
              <w:top w:w="115" w:type="dxa"/>
              <w:bottom w:w="115" w:type="dxa"/>
              <w:start w:w="130" w:type="dxa"/>
              <w:end w:w="13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72033"/>
                <w:sz w:val="20"/>
              </w:rPr>
              <w:t xml:space="preserve">Verify  </w:t>
            </w:r>
            <w:r>
              <w:rPr>
                <w:rFonts w:ascii="Calibri" w:hAnsi="Calibri" w:eastAsia="Microsoft YaHei"/>
                <w:color w:val="202938"/>
                <w:sz w:val="19"/>
              </w:rPr>
              <w:t>Re-open outputs, validate postconditions, render previews and record a sanitized audit transcript with checksums.</w:t>
            </w:r>
          </w:p>
        </w:tc>
      </w:tr>
    </w:tbl>
    <w:p>
      <w:pPr>
        <w:pStyle w:val="Heading1"/>
      </w:pPr>
      <w:r>
        <w:t>Operational safeguards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50" w:type="dxa"/>
              <w:bottom w:w="150" w:type="dxa"/>
              <w:start w:w="150" w:type="dxa"/>
              <w:end w:w="150" w:type="dxa"/>
            </w:tcMar>
            <w:vAlign w:val="center"/>
            <w:shd w:fill="F2F4F7"/>
          </w:tcPr>
          <w:p>
            <w:pPr>
              <w:spacing w:after="10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>Deny by default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02938"/>
                <w:sz w:val="18"/>
              </w:rPr>
              <w:t>Macros, VBA, external links and arbitrary ExecuteMso paths are never silently relaxed.</w:t>
            </w:r>
          </w:p>
        </w:tc>
        <w:tc>
          <w:tcPr>
            <w:tcW w:type="dxa" w:w="3120"/>
            <w:tcMar>
              <w:top w:w="150" w:type="dxa"/>
              <w:bottom w:w="150" w:type="dxa"/>
              <w:start w:w="150" w:type="dxa"/>
              <w:end w:w="150" w:type="dxa"/>
            </w:tcMar>
            <w:vAlign w:val="center"/>
            <w:shd w:fill="EAF2F8"/>
          </w:tcPr>
          <w:p>
            <w:pPr>
              <w:spacing w:after="10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>Application isolation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02938"/>
                <w:sz w:val="18"/>
              </w:rPr>
              <w:t>PowerPoint, Word and Excel run behind separate per-application sidecars and COM lifecycles.</w:t>
            </w:r>
          </w:p>
        </w:tc>
        <w:tc>
          <w:tcPr>
            <w:tcW w:type="dxa" w:w="3120"/>
            <w:tcMar>
              <w:top w:w="150" w:type="dxa"/>
              <w:bottom w:w="150" w:type="dxa"/>
              <w:start w:w="150" w:type="dxa"/>
              <w:end w:w="150" w:type="dxa"/>
            </w:tcMar>
            <w:vAlign w:val="center"/>
            <w:shd w:fill="F2F4F7"/>
          </w:tcPr>
          <w:p>
            <w:pPr>
              <w:spacing w:after="10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>Evidence over claims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02938"/>
                <w:sz w:val="18"/>
              </w:rPr>
              <w:t>The gallery ships editable Office files, native exports, rendered previews, RPC transcripts and SHA-256 manifests.</w:t>
            </w:r>
          </w:p>
        </w:tc>
      </w:tr>
    </w:tbl>
    <w:p>
      <w:pPr>
        <w:pStyle w:val="Heading2"/>
        <w:spacing w:before="240"/>
      </w:pPr>
      <w:r>
        <w:t>Evidence boundary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60" w:type="dxa"/>
              <w:end w:w="16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667085"/>
                <w:sz w:val="19"/>
              </w:rPr>
              <w:t>Current evidence covers PowerPoint, Word and Excel desktop automation. Microsoft Graph and Office.js remain Phase 3; Visio, Project and Access remain future scope and are not represented as shipped capabilities.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Microsoft YaHei"/>
        <w:color w:val="667085"/>
        <w:sz w:val="17"/>
      </w:rPr>
      <w:t>dcc-mcp-office · verified showcase</w:t>
    </w:r>
    <w:r>
      <w:rPr>
        <w:rFonts w:ascii="Calibri" w:hAnsi="Calibri" w:eastAsia="Microsoft YaHei"/>
        <w:color w:val="667085"/>
        <w:sz w:val="17"/>
      </w:rPr>
      <w:tab/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aps/>
        <w:color w:val="667085"/>
        <w:sz w:val="17"/>
      </w:rPr>
      <w:t>DCC-MCP OFFICE AUTOMATION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9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2025年度 Office Automation Readiness Brief</dc:title>
  <dc:subject>dcc-mcp-office verified showcase</dc:subject>
  <dc:creator>DCC-MCP</dc:creator>
  <cp:keywords>Office automation, PowerPoint, Word, Excel,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