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b/>
          <w:sz w:val="21"/>
        </w:rPr>
        <w:t>过滤设备透水率退化建模与维护策略优化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摘要</w:t>
      </w:r>
    </w:p>
    <w:p>
      <w:pPr/>
      <w:r>
        <w:rPr>
          <w:rFonts w:ascii="Times New Roman" w:hAnsi="Times New Roman" w:eastAsia="宋体"/>
          <w:b w:val="0"/>
          <w:sz w:val="21"/>
        </w:rPr>
        <w:t>针对十台并联过滤设备在透水率衰减、维护恢复、寿命预测与价格波动条件下的维护决策问题，本文建立了贯通“数据清洗—退化识别—寿命仿真—策略优化—稳健性检验”的统一模型。首先，以日中位数重构不规则小时序列，在维护保护窗口外利用滚动中位数与 MAD 识别孤立异常，并通过设备效应、长期趋势、维护时钟及年/半年谐波分离季节性。数据检查表明，各设备不存在重复时间戳，日尺度覆盖率为 91.6%～94.6%；维护后透水率普遍跃升，但维护效果持续时间存在 90% 以上右删失，因此采用限制平均持续时间而非普通均值评价保持效果。</w:t>
      </w:r>
    </w:p>
    <w:p>
      <w:pPr/>
      <w:r>
        <w:rPr>
          <w:rFonts w:ascii="Times New Roman" w:hAnsi="Times New Roman" w:eastAsia="宋体"/>
          <w:b w:val="0"/>
          <w:sz w:val="21"/>
        </w:rPr>
        <w:t>其次，将透水率分解为不可逆性能上限、可逆堵塞、季节项和随机扰动，构建可被中维修和大维修更新的双状态随机退化模型，并使用题设“年平均透水率低于 37 且大维修后仍无法有效改善”的双条件判定设备寿命。现行维护制度下，十台设备的基准寿命中位数约为 0.74～7.06 年；回测结果同时揭示 A5、A6 等设备存在较大外推不确定性，因而后续决策采用蒙特卡洛分布而非单点寿命。</w:t>
      </w:r>
    </w:p>
    <w:p>
      <w:pPr/>
      <w:r>
        <w:rPr>
          <w:rFonts w:ascii="Times New Roman" w:hAnsi="Times New Roman" w:eastAsia="宋体"/>
          <w:b w:val="0"/>
          <w:sz w:val="21"/>
        </w:rPr>
        <w:t>再次，基于更新报酬率构造长期年均成本目标，对固定周期、透水率触发和状态触发三类策略进行共同随机数蒙特卡洛比较。推荐方案以状态触发策略为主：预计全厂年均成本由 1944.47 万元降至 1486.39 万元，节约 458.08 万元，降幅 23.56%；设备平均寿命中位数由 3.04 年提高至 3.85 年。A10 应立即进入更换准备，A5、A8 列入近期重点监测。</w:t>
      </w:r>
    </w:p>
    <w:p>
      <w:pPr/>
      <w:r>
        <w:rPr>
          <w:rFonts w:ascii="Times New Roman" w:hAnsi="Times New Roman" w:eastAsia="宋体"/>
          <w:b w:val="0"/>
          <w:sz w:val="21"/>
        </w:rPr>
        <w:t>最后，在购置价 150～450 万元、中维修价 1.5～4.5 万元和大维修价 6～18 万元的范围内构造 305 个价格情景并逐情景重新优化。第三问方案在基准价格下的相对后悔值仅为 0.012%，单因素最坏后悔值不超过 0.49%，双因素最坏后悔值为 0.79%，且最优策略族始终为状态触发型。结果说明推荐方案不仅降低成本，而且对可观价格波动具有较强稳健性。</w:t>
      </w:r>
    </w:p>
    <w:p>
      <w:pPr/>
      <w:r>
        <w:rPr>
          <w:rFonts w:ascii="Times New Roman" w:hAnsi="Times New Roman" w:eastAsia="宋体"/>
          <w:b/>
          <w:sz w:val="21"/>
        </w:rPr>
        <w:t>关键词：</w:t>
      </w:r>
      <w:r>
        <w:rPr>
          <w:rFonts w:ascii="Times New Roman" w:hAnsi="Times New Roman" w:eastAsia="宋体"/>
          <w:b w:val="0"/>
          <w:sz w:val="21"/>
        </w:rPr>
        <w:t xml:space="preserve"> 过滤设备；透水率；随机退化；寿命预测；更新报酬；维护优化；稳健性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>1 问题重述</w:t>
      </w:r>
    </w:p>
    <w:p>
      <w:pPr/>
      <w:r>
        <w:rPr>
          <w:rFonts w:ascii="Times New Roman" w:hAnsi="Times New Roman" w:eastAsia="宋体"/>
          <w:b w:val="0"/>
          <w:sz w:val="21"/>
        </w:rPr>
        <w:t>某工厂十台过滤设备长期并联运行。设备透水率受季节环境、可逆堵塞、不可逆老化以及中维修和大维修共同影响。现有数据包括逐小时透水率记录和维护日期，需要依次解决四个相互关联的问题：识别透水率变化规律并量化维护效果；在现行维护制度下预测设备寿命；在给定购置和维护价格下设计全厂年均成本最低的维护与更换策略；检验价格变化时方案是否仍然可行和接近最优。</w:t>
      </w:r>
    </w:p>
    <w:p>
      <w:pPr/>
      <w:r>
        <w:rPr>
          <w:rFonts w:ascii="Times New Roman" w:hAnsi="Times New Roman" w:eastAsia="宋体"/>
          <w:b w:val="0"/>
          <w:sz w:val="21"/>
        </w:rPr>
        <w:t>四问不能彼此割裂。若第一问未正确分离季节波动和维护跳升，第二问会把周期变化误认为退化；若第二问只给出单点寿命而不传播不确定性，第三问的成本比较会过度确定；若第四问只对既定方案重新计价而不重新优化，也无法判断价格变化后的真正最优性。因此本文采用统一状态变量、统一寿命判据和统一仿真随机数完成递进建模。</w:t>
      </w: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>2 模型假设与符号说明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2.1 基本假设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1. 十台设备在研究期内独立退化，工厂层面的长期年均成本等于各设备成本率之和。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2. 日内小时缺失在给定设备和日期条件下近似随机；每天至少有 3 个有效小时值时，日中位数可代表当天状态。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3. 维护日前后两天的突变可能是真实维护响应，不作为普通异常点删除。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4. 小维修成本可忽略，其平均净作用已包含在历史维护周期内估计的堵塞增长率中。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5. 未来季节规律延续历史年/半年周期；价格只影响成本评价，不改变设备物理退化轨迹。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6. 更换后设备恢复到同型号的新机状态，形成统计同分布的更新周期。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2.2 主要符号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符号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P_i(t)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设备 </w:t>
            </w:r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在时刻 </w:t>
            </w:r>
            <w:r>
              <w:rPr>
                <w:rFonts w:ascii="Times New Roman" w:hAnsi="Times New Roman" w:eastAsia="宋体"/>
                <w:b w:val="0"/>
                <w:sz w:val="21"/>
              </w:rPr>
              <w:t>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的透水率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C_i(t)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不可逆性能上限状态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F_i(t)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可逆堵塞状态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S(t)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年/半年联合季节项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MG_i^{(m)}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第 </w:t>
            </w:r>
            <w:r>
              <w:rPr>
                <w:rFonts w:ascii="Times New Roman" w:hAnsi="Times New Roman" w:eastAsia="宋体"/>
                <w:b w:val="0"/>
                <w:sz w:val="21"/>
              </w:rPr>
              <w:t>m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类维护的短期恢复量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T_i^\pi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策略 </w:t>
            </w:r>
            <w:r>
              <w:rPr>
                <w:rFonts w:ascii="Times New Roman" w:hAnsi="Times New Roman" w:eastAsia="宋体"/>
                <w:b w:val="0"/>
                <w:sz w:val="21"/>
              </w:rPr>
              <w:t>\pi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下设备寿命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年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N_{M,i}^\pi,N_{L,i}^\pi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中维修、大维修次数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次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J_i(\pi)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设备长期年均成本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万元/年</w:t>
            </w:r>
          </w:p>
        </w:tc>
      </w:tr>
      <w:tr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相对后悔值</w:t>
            </w:r>
          </w:p>
        </w:tc>
        <w:tc>
          <w:tcPr>
            <w:tcW w:type="dxa" w:w="302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>3 总体建模框架</w:t>
      </w:r>
    </w:p>
    <w:p>
      <w:pPr/>
      <w:r>
        <w:rPr>
          <w:rFonts w:ascii="Times New Roman" w:hAnsi="Times New Roman" w:eastAsia="宋体"/>
          <w:b w:val="0"/>
          <w:sz w:val="21"/>
        </w:rPr>
        <w:t>首先进行数据质量控制和稳健日尺度聚合，再利用回归分离设备差异、长期趋势和季节项；维护效果采用局部反事实轨迹评价，持续时间的重删失问题通过 Kaplan–Meier 思想和限制平均生存时间处理[1]。第二问以双状态随机过程表达不可逆老化与可逆堵塞，并在历史维护规则下进行寿命蒙特卡洛仿真。第三问将每次更换视为更新点，依据更新报酬定理[2]比较各候选策略的长期成本率。第四问利用已复核的轨迹充分统计量，在价格网格上重新定价、重新优化，并以绝对和相对后悔值衡量稳健性。异常识别中的中位数绝对偏差采用稳健统计的尺度校正[3]。</w:t>
      </w: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>4 数据预处理与透水率变化规律分析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4.1 分析思路</w:t>
      </w:r>
    </w:p>
    <w:p>
      <w:pPr/>
      <w:r>
        <w:rPr>
          <w:rFonts w:ascii="Times New Roman" w:hAnsi="Times New Roman" w:eastAsia="宋体"/>
          <w:b w:val="0"/>
          <w:sz w:val="21"/>
        </w:rPr>
        <w:t>过滤器透水率同时受到设备个体差异、污染物积累、自然老化、季节条件和维护行为的影响。原始序列因维护后突升而呈明显的锯齿形，若直接对完整序列进行线性回归，会把维护恢复量误认为随机扰动；若直接比较维护前后均值，又会忽略维护前下降趋势和维护类型的状态选择偏差。</w:t>
      </w:r>
    </w:p>
    <w:p>
      <w:pPr/>
      <w:r>
        <w:rPr>
          <w:rFonts w:ascii="Times New Roman" w:hAnsi="Times New Roman" w:eastAsia="宋体"/>
          <w:b w:val="0"/>
          <w:sz w:val="21"/>
        </w:rPr>
        <w:t>为此，本文采用“数据质量控制—日尺度聚合—季节性分离—维护周期下降率估计—反事实事件研究—指标构造”的分析路线。首先保留维护造成的真实跳升，仅识别远离维护事件的孤立传感器异常；其次用每日中位数表征设备状态；随后建立包含设备效应、长期趋势、维护时钟和年/半年谐波项的回归模型，分离季节影响；最后在季节校正序列上估计各维护周期的自然下降率，并以维护前局部趋势外推构造无维护反事实轨迹，从而评价中维护和大维护的短期恢复量及保持效果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4.2 数据预处理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4.2.1 数据统一与质量检查</w:t>
      </w:r>
    </w:p>
    <w:p>
      <w:pPr/>
      <w:r>
        <w:rPr>
          <w:rFonts w:ascii="Times New Roman" w:hAnsi="Times New Roman" w:eastAsia="宋体"/>
          <w:b w:val="0"/>
          <w:sz w:val="21"/>
        </w:rPr>
        <w:t>附件 1 包含 A_1—A_10 共 10 个工作表，附件 2 使用 A1—A10 表示设备。本文首先将设备编号统一为 A1—A10，并将时间字段转换为标准时间戳，将维护日期统一到日尺度。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设第 </w:t>
      </w:r>
      <w:r>
        <w:rPr>
          <w:rFonts w:ascii="Times New Roman" w:hAnsi="Times New Roman" w:eastAsia="宋体"/>
          <w:b w:val="0"/>
          <w:sz w:val="21"/>
        </w:rPr>
        <w:t>i</w:t>
      </w:r>
      <w:r>
        <w:rPr>
          <w:rFonts w:ascii="Times New Roman" w:hAnsi="Times New Roman" w:eastAsia="宋体"/>
          <w:b w:val="0"/>
          <w:sz w:val="21"/>
        </w:rPr>
        <w:t xml:space="preserve"> 台设备理论观测起止时间内的日历小时数为 </w:t>
      </w:r>
      <w:r>
        <w:rPr>
          <w:rFonts w:ascii="Times New Roman" w:hAnsi="Times New Roman" w:eastAsia="宋体"/>
          <w:b w:val="0"/>
          <w:sz w:val="21"/>
        </w:rPr>
        <w:t>H_i</w:t>
      </w:r>
      <w:r>
        <w:rPr>
          <w:rFonts w:ascii="Times New Roman" w:hAnsi="Times New Roman" w:eastAsia="宋体"/>
          <w:b w:val="0"/>
          <w:sz w:val="21"/>
        </w:rPr>
        <w:t xml:space="preserve">，其中透水率非缺失的小时数为 </w:t>
      </w:r>
      <w:r>
        <w:rPr>
          <w:rFonts w:ascii="Times New Roman" w:hAnsi="Times New Roman" w:eastAsia="宋体"/>
          <w:b w:val="0"/>
          <w:sz w:val="21"/>
        </w:rPr>
        <w:t>H_i^{\mathrm{obs}}</w:t>
      </w:r>
      <w:r>
        <w:rPr>
          <w:rFonts w:ascii="Times New Roman" w:hAnsi="Times New Roman" w:eastAsia="宋体"/>
          <w:b w:val="0"/>
          <w:sz w:val="21"/>
        </w:rPr>
        <w:t>，则小时覆盖率定义为</w:t>
      </w:r>
    </w:p>
    <w:p>
      <w:pPr>
        <w:keepLines/>
        <w:jc w:val="center"/>
      </w:pPr>
      <m:oMath>
        <m:r>
          <m:t>C</m:t>
        </m:r>
        <m:sSubSup>
          <m:e>
            <m:r>
              <m:t>R</m:t>
            </m:r>
          </m:e>
          <m:sub>
            <m:r>
              <m:t>i</m:t>
            </m:r>
          </m:sub>
          <m:sup>
            <m:d>
              <m:dPr>
                <m:sepChr m:val=""/>
              </m:dPr>
              <m:e>
                <m:r>
                  <m:t>h</m:t>
                </m:r>
              </m:e>
            </m:d>
          </m:sup>
        </m:sSubSup>
        <m:r>
          <m:t>=</m:t>
        </m:r>
        <m:f>
          <m:fPr>
            <m:type m:val="bar"/>
          </m:fPr>
          <m:num>
            <m:sSubSup>
              <m:e>
                <m:r>
                  <m:t>H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obs</m:t>
                </m:r>
              </m:sup>
            </m:sSubSup>
          </m:num>
          <m:den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den>
        </m:f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 xml:space="preserve">若某日不少于 3 个有效小时观测，则将该日记为可用日。设日历天数为 </w:t>
      </w:r>
      <w:r>
        <w:rPr>
          <w:rFonts w:ascii="Times New Roman" w:hAnsi="Times New Roman" w:eastAsia="宋体"/>
          <w:b w:val="0"/>
          <w:sz w:val="21"/>
        </w:rPr>
        <w:t>D_i</w:t>
      </w:r>
      <w:r>
        <w:rPr>
          <w:rFonts w:ascii="Times New Roman" w:hAnsi="Times New Roman" w:eastAsia="宋体"/>
          <w:b w:val="0"/>
          <w:sz w:val="21"/>
        </w:rPr>
        <w:t xml:space="preserve">，可用日数为 </w:t>
      </w:r>
      <w:r>
        <w:rPr>
          <w:rFonts w:ascii="Times New Roman" w:hAnsi="Times New Roman" w:eastAsia="宋体"/>
          <w:b w:val="0"/>
          <w:sz w:val="21"/>
        </w:rPr>
        <w:t>D_i^{\mathrm{use}}</w:t>
      </w:r>
      <w:r>
        <w:rPr>
          <w:rFonts w:ascii="Times New Roman" w:hAnsi="Times New Roman" w:eastAsia="宋体"/>
          <w:b w:val="0"/>
          <w:sz w:val="21"/>
        </w:rPr>
        <w:t>，相应的日尺度覆盖率为</w:t>
      </w:r>
    </w:p>
    <w:p>
      <w:pPr>
        <w:keepLines/>
        <w:jc w:val="center"/>
      </w:pPr>
      <m:oMath>
        <m:r>
          <m:t>C</m:t>
        </m:r>
        <m:sSubSup>
          <m:e>
            <m:r>
              <m:t>R</m:t>
            </m:r>
          </m:e>
          <m:sub>
            <m:r>
              <m:t>i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  <m:r>
          <m:t>=</m:t>
        </m:r>
        <m:f>
          <m:fPr>
            <m:type m:val="bar"/>
          </m:fPr>
          <m:num>
            <m:sSubSup>
              <m:e>
                <m:r>
                  <m:t>D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use</m:t>
                </m:r>
              </m:sup>
            </m:sSubSup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原始数据共有 114 977 条时间记录，其中有效透水率为 110 632 条。各设备小时覆盖率为 58.6%—66.1%，日尺度覆盖率为 91.6%—94.6%。这表明原始序列存在较多未记录小时，但绝大多数日期仍具有足够观测，因此日尺度统计量比强行补齐完整小时序列更可靠。</w:t>
      </w:r>
    </w:p>
    <w:p>
      <w:pPr/>
      <w:r>
        <w:rPr>
          <w:rFonts w:ascii="Times New Roman" w:hAnsi="Times New Roman" w:eastAsia="宋体"/>
          <w:b w:val="0"/>
          <w:sz w:val="21"/>
        </w:rPr>
        <w:t>设备内时间戳重复检查显示，10 台设备的重复时间戳数均为 0，因此无需删除或合并重复记录。该检查结果纳入数据质量表，以保证预处理口径可以复核。</w:t>
      </w:r>
    </w:p>
    <w:p>
      <w:pPr>
        <w:pStyle w:val="CaptionCN"/>
        <w:keepNext/>
      </w:pPr>
      <w:r>
        <w:rPr>
          <w:rFonts w:ascii="Times New Roman" w:hAnsi="Times New Roman" w:eastAsia="宋体"/>
          <w:b/>
          <w:sz w:val="21"/>
        </w:rPr>
        <w:t>表 1  各设备数据质量统计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有效小时数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重复时间戳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小时覆盖率/%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日尺度覆盖率/%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标记异常点数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10 382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58.6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92.1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106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10 719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60.5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93.8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109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11 512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65.0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93.9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11 230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63.4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91.6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108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11 704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66.1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94.6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154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11 344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64.1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93.1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124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11 520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65.2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93.5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11 089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62.8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93.8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115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10 768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61.0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92.5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115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10 364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58.6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94.0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附件 2 共记录 127 次维护，其中中维护 110 次、大维护 17 次。A4 和 A8 没有大维护记录，与题目所述“一般每年进行 1—4 次大维护”不一致。本文保留该数据事实，不为两台设备人为补造大维护事件；后续寿命模型应通过跨设备分层估计为其共享大维护参数。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4.2.2 异常值识别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维护前后的突升和突降包含真实的状态变化，不能作为普通异常值删除。本文对每台设备分别计算 25 个观测点窗口内的滚动中位数 </w:t>
      </w:r>
      <w:r>
        <w:rPr>
          <w:rFonts w:ascii="Times New Roman" w:hAnsi="Times New Roman" w:eastAsia="宋体"/>
          <w:b w:val="0"/>
          <w:sz w:val="21"/>
        </w:rPr>
        <w:t>\widetilde P_{it}</w:t>
      </w:r>
      <w:r>
        <w:rPr>
          <w:rFonts w:ascii="Times New Roman" w:hAnsi="Times New Roman" w:eastAsia="宋体"/>
          <w:b w:val="0"/>
          <w:sz w:val="21"/>
        </w:rPr>
        <w:t xml:space="preserve"> 和绝对中位差 </w:t>
      </w:r>
      <w:r>
        <w:rPr>
          <w:rFonts w:ascii="Times New Roman" w:hAnsi="Times New Roman" w:eastAsia="宋体"/>
          <w:b w:val="0"/>
          <w:sz w:val="21"/>
        </w:rPr>
        <w:t>MAD_{it}</w:t>
      </w:r>
      <w:r>
        <w:rPr>
          <w:rFonts w:ascii="Times New Roman" w:hAnsi="Times New Roman" w:eastAsia="宋体"/>
          <w:b w:val="0"/>
          <w:sz w:val="21"/>
        </w:rPr>
        <w:t>。当观测满足</w:t>
      </w:r>
    </w:p>
    <w:p>
      <w:pPr>
        <w:keepLines/>
        <w:jc w:val="center"/>
      </w:pPr>
      <m:oMath>
        <m:d>
          <m:dPr>
            <m:begChr m:val="|"/>
            <m:sepChr m:val="−"/>
            <m:endChr m:val="|"/>
          </m:dPr>
          <m:e>
            <m:sSub>
              <m:e>
                <m:r>
                  <m:t>P</m:t>
                </m:r>
              </m:e>
              <m:sub>
                <m:r>
                  <m:t>it</m:t>
                </m:r>
              </m:sub>
            </m:sSub>
          </m:e>
          <m:e>
            <m:sSub>
              <m:e>
                <m:limUpp>
                  <m:e>
                    <m:r>
                      <m:t>P</m:t>
                    </m:r>
                  </m:e>
                  <m:lim>
                    <m:r>
                      <m:t>~</m:t>
                    </m:r>
                  </m:lim>
                </m:limUpp>
              </m:e>
              <m:sub>
                <m:r>
                  <m:t>it</m:t>
                </m:r>
              </m:sub>
            </m:sSub>
          </m:e>
        </m:d>
        <m:r>
          <m:t>6×1.4826</m:t>
        </m:r>
        <m:r>
          <m:t>MA</m:t>
        </m:r>
        <m:sSub>
          <m:e>
            <m:r>
              <m:t>D</m:t>
            </m:r>
          </m:e>
          <m:sub>
            <m:r>
              <m:t>it</m:t>
            </m:r>
          </m:sub>
        </m:sSub>
      </m:oMath>
    </w:p>
    <w:p>
      <w:pPr/>
      <w:r>
        <w:rPr>
          <w:rFonts w:ascii="Times New Roman" w:hAnsi="Times New Roman" w:eastAsia="宋体"/>
          <w:b w:val="0"/>
          <w:sz w:val="21"/>
        </w:rPr>
        <w:t>且该时刻不位于任一维护日前后 2 天内时，才将其标记为孤立传感器异常。该规则一方面利用中位数和 MAD 降低极端值影响，另一方面通过维护保护窗口完整保留维护跳升。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4.2.3 日尺度聚合与缺失处理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设 </w:t>
      </w:r>
      <w:r>
        <w:rPr>
          <w:rFonts w:ascii="Times New Roman" w:hAnsi="Times New Roman" w:eastAsia="宋体"/>
          <w:b w:val="0"/>
          <w:sz w:val="21"/>
        </w:rPr>
        <w:t>\mathcal H_{id}</w:t>
      </w:r>
      <w:r>
        <w:rPr>
          <w:rFonts w:ascii="Times New Roman" w:hAnsi="Times New Roman" w:eastAsia="宋体"/>
          <w:b w:val="0"/>
          <w:sz w:val="21"/>
        </w:rPr>
        <w:t xml:space="preserve"> 为设备 </w:t>
      </w:r>
      <w:r>
        <w:rPr>
          <w:rFonts w:ascii="Times New Roman" w:hAnsi="Times New Roman" w:eastAsia="宋体"/>
          <w:b w:val="0"/>
          <w:sz w:val="21"/>
        </w:rPr>
        <w:t>i</w:t>
      </w:r>
      <w:r>
        <w:rPr>
          <w:rFonts w:ascii="Times New Roman" w:hAnsi="Times New Roman" w:eastAsia="宋体"/>
          <w:b w:val="0"/>
          <w:sz w:val="21"/>
        </w:rPr>
        <w:t xml:space="preserve"> 在日期 </w:t>
      </w:r>
      <w:r>
        <w:rPr>
          <w:rFonts w:ascii="Times New Roman" w:hAnsi="Times New Roman" w:eastAsia="宋体"/>
          <w:b w:val="0"/>
          <w:sz w:val="21"/>
        </w:rPr>
        <w:t>d</w:t>
      </w:r>
      <w:r>
        <w:rPr>
          <w:rFonts w:ascii="Times New Roman" w:hAnsi="Times New Roman" w:eastAsia="宋体"/>
          <w:b w:val="0"/>
          <w:sz w:val="21"/>
        </w:rPr>
        <w:t xml:space="preserve"> 的有效小时观测集合，本文以日中位数</w:t>
      </w:r>
    </w:p>
    <w:p>
      <w:pPr>
        <w:keepLines/>
        <w:jc w:val="center"/>
      </w:pPr>
      <m:oMath>
        <m:sSubSup>
          <m:e>
            <m:r>
              <m:t>P</m:t>
            </m:r>
          </m:e>
          <m:sub>
            <m:r>
              <m:t>id</m:t>
            </m:r>
          </m:sub>
          <m:sup>
            <m:d>
              <m:dPr>
                <m:sepChr m:val=""/>
              </m:dPr>
              <m:e>
                <m:r>
                  <m:t>D</m:t>
                </m:r>
              </m:e>
            </m:d>
          </m:sup>
        </m:sSubSup>
        <m:r>
          <m:t>=median</m:t>
        </m:r>
        <m:d>
          <m:dPr>
            <m:begChr m:val="{"/>
            <m:sepChr m:val="∈"/>
            <m:endChr m:val="}"/>
          </m:dPr>
          <m:e>
            <m:sSub>
              <m:e>
                <m:r>
                  <m:t>P</m:t>
                </m:r>
              </m:e>
              <m:sub>
                <m:r>
                  <m:t>ith</m:t>
                </m:r>
              </m:sub>
            </m:sSub>
            <m:r>
              <m:t>:</m:t>
            </m:r>
            <m:r>
              <m:t>h</m:t>
            </m:r>
          </m:e>
          <m:e>
            <m:sSub>
              <m:e>
                <m:r>
                  <m:rPr>
                    <m:scr m:val="script"/>
                  </m:rPr>
                  <m:t>H</m:t>
                </m:r>
              </m:e>
              <m:sub>
                <m:r>
                  <m:t>id</m:t>
                </m:r>
              </m:sub>
            </m:sSub>
          </m:e>
        </m:d>
      </m:oMath>
    </w:p>
    <w:p>
      <w:pPr/>
      <w:r>
        <w:rPr>
          <w:rFonts w:ascii="Times New Roman" w:hAnsi="Times New Roman" w:eastAsia="宋体"/>
          <w:b w:val="0"/>
          <w:sz w:val="21"/>
        </w:rPr>
        <w:t>作为主要分析序列。与日均值相比，中位数对残余尖峰和单小时异常更稳健。若某日有效观测少于 3 个，则该日不进入模型拟合。季节频谱分析所需的等间距序列仅对不超过 7 天的短缺口进行局部插值；下降率和维护效果估计始终只使用实际观测，避免插值结果改变维护前后的真实变化。</w:t>
      </w:r>
    </w:p>
    <w:p>
      <w:pPr/>
      <w:r>
        <w:rPr>
          <w:rFonts w:ascii="Times New Roman" w:hAnsi="Times New Roman" w:eastAsia="宋体"/>
          <w:b w:val="0"/>
          <w:sz w:val="21"/>
        </w:rPr>
        <w:t>图 1 给出了 10 台过滤器的日透水率和维护日期。各设备均表现出“维护后跃升—随后持续下降—再次维护”的锯齿形结构，说明维护事件是划分运行阶段的重要边界。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6858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日透水率与维护事件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85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  10 台过滤器日透水率及维护事件</w:t>
      </w:r>
    </w:p>
    <w:p>
      <w:pPr/>
      <w:r>
        <w:rPr>
          <w:rFonts w:ascii="Times New Roman" w:hAnsi="Times New Roman" w:eastAsia="宋体"/>
          <w:b w:val="0"/>
          <w:sz w:val="21"/>
        </w:rPr>
        <w:t>图 2 显示小时缺失具有明显的设备和月份差异，但日尺度整体覆盖较稳定，进一步支持以日中位数作为主分析对象。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20935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缺失热力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093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2  设备—月份小时覆盖率热力图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4.3 透水率的周期性分析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4.3.1 季节回归模型</w:t>
      </w:r>
    </w:p>
    <w:p>
      <w:pPr/>
      <w:r>
        <w:rPr>
          <w:rFonts w:ascii="Times New Roman" w:hAnsi="Times New Roman" w:eastAsia="宋体"/>
          <w:b w:val="0"/>
          <w:sz w:val="21"/>
        </w:rPr>
        <w:t>为避免设备差异、长期老化和维护后的周期下降被误判为季节效应，对日透水率建立如下回归模型：</w:t>
      </w:r>
    </w:p>
    <w:p>
      <w:pPr>
        <w:keepLines/>
        <w:jc w:val="center"/>
      </w:pPr>
      <w:r>
        <w:rPr>
          <w:rFonts w:ascii="Cambria Math" w:hAnsi="Cambria Math" w:eastAsia="Cambria Math"/>
          <w:sz w:val="21"/>
        </w:rPr>
        <w:t>\begin{aligned}</w:t>
        <w:br/>
        <w:t>P_{id}^{(D)}</w:t>
        <w:br/>
        <w:t>=\;&amp;</w:t>
        <w:br/>
        <w:t>\mu</w:t>
        <w:br/>
        <w:t>+\sum_{j=2}^{10}\alpha_j I(i=j)</w:t>
        <w:br/>
        <w:t>+\sum_{j=1}^{10}\beta_j t_d I(i=j)\\</w:t>
        <w:br/>
        <w:t>&amp;+\lambda_1 L_{id}</w:t>
        <w:br/>
        <w:t>+\lambda_2 L_{id}^{2}</w:t>
        <w:br/>
        <w:t>+a_1\sin\frac{2\pi q_d}{365.25}</w:t>
        <w:br/>
        <w:t>+b_1\cos\frac{2\pi q_d}{365.25}\\</w:t>
        <w:br/>
        <w:t>&amp;+a_2\sin\frac{4\pi q_d}{365.25}</w:t>
        <w:br/>
        <w:t>+b_2\cos\frac{4\pi q_d}{365.25}</w:t>
        <w:br/>
        <w:t>+\varepsilon_{id},</w:t>
        <w:br/>
        <w:t>\end{aligned}</w:t>
        <w:br/>
      </w:r>
    </w:p>
    <w:p>
      <w:pPr/>
      <w:r>
        <w:rPr>
          <w:rFonts w:ascii="Times New Roman" w:hAnsi="Times New Roman" w:eastAsia="宋体"/>
          <w:b w:val="0"/>
          <w:sz w:val="21"/>
        </w:rPr>
        <w:t>其中，</w:t>
      </w:r>
      <w:r>
        <w:rPr>
          <w:rFonts w:ascii="Times New Roman" w:hAnsi="Times New Roman" w:eastAsia="宋体"/>
          <w:b w:val="0"/>
          <w:sz w:val="21"/>
        </w:rPr>
        <w:t>t_d</w:t>
      </w:r>
      <w:r>
        <w:rPr>
          <w:rFonts w:ascii="Times New Roman" w:hAnsi="Times New Roman" w:eastAsia="宋体"/>
          <w:b w:val="0"/>
          <w:sz w:val="21"/>
        </w:rPr>
        <w:t xml:space="preserve"> 为从观测起点开始的使用时间，</w:t>
      </w:r>
      <w:r>
        <w:rPr>
          <w:rFonts w:ascii="Times New Roman" w:hAnsi="Times New Roman" w:eastAsia="宋体"/>
          <w:b w:val="0"/>
          <w:sz w:val="21"/>
        </w:rPr>
        <w:t>L_{id}</w:t>
      </w:r>
      <w:r>
        <w:rPr>
          <w:rFonts w:ascii="Times New Roman" w:hAnsi="Times New Roman" w:eastAsia="宋体"/>
          <w:b w:val="0"/>
          <w:sz w:val="21"/>
        </w:rPr>
        <w:t xml:space="preserve"> 为距最近一次中维护或大维护的天数，</w:t>
      </w:r>
      <w:r>
        <w:rPr>
          <w:rFonts w:ascii="Times New Roman" w:hAnsi="Times New Roman" w:eastAsia="宋体"/>
          <w:b w:val="0"/>
          <w:sz w:val="21"/>
        </w:rPr>
        <w:t>q_d</w:t>
      </w:r>
      <w:r>
        <w:rPr>
          <w:rFonts w:ascii="Times New Roman" w:hAnsi="Times New Roman" w:eastAsia="宋体"/>
          <w:b w:val="0"/>
          <w:sz w:val="21"/>
        </w:rPr>
        <w:t xml:space="preserve"> 为日期 </w:t>
      </w:r>
      <w:r>
        <w:rPr>
          <w:rFonts w:ascii="Times New Roman" w:hAnsi="Times New Roman" w:eastAsia="宋体"/>
          <w:b w:val="0"/>
          <w:sz w:val="21"/>
        </w:rPr>
        <w:t>d</w:t>
      </w:r>
      <w:r>
        <w:rPr>
          <w:rFonts w:ascii="Times New Roman" w:hAnsi="Times New Roman" w:eastAsia="宋体"/>
          <w:b w:val="0"/>
          <w:sz w:val="21"/>
        </w:rPr>
        <w:t xml:space="preserve"> 在一年中的日序；</w:t>
      </w:r>
      <w:r>
        <w:rPr>
          <w:rFonts w:ascii="Times New Roman" w:hAnsi="Times New Roman" w:eastAsia="宋体"/>
          <w:b w:val="0"/>
          <w:sz w:val="21"/>
        </w:rPr>
        <w:t>\alpha_j</w:t>
      </w:r>
      <w:r>
        <w:rPr>
          <w:rFonts w:ascii="Times New Roman" w:hAnsi="Times New Roman" w:eastAsia="宋体"/>
          <w:b w:val="0"/>
          <w:sz w:val="21"/>
        </w:rPr>
        <w:t xml:space="preserve"> 描述设备固定差异，</w:t>
      </w:r>
      <w:r>
        <w:rPr>
          <w:rFonts w:ascii="Times New Roman" w:hAnsi="Times New Roman" w:eastAsia="宋体"/>
          <w:b w:val="0"/>
          <w:sz w:val="21"/>
        </w:rPr>
        <w:t>\beta_j</w:t>
      </w:r>
      <w:r>
        <w:rPr>
          <w:rFonts w:ascii="Times New Roman" w:hAnsi="Times New Roman" w:eastAsia="宋体"/>
          <w:b w:val="0"/>
          <w:sz w:val="21"/>
        </w:rPr>
        <w:t xml:space="preserve"> 描述设备长期趋势，</w:t>
      </w:r>
      <w:r>
        <w:rPr>
          <w:rFonts w:ascii="Times New Roman" w:hAnsi="Times New Roman" w:eastAsia="宋体"/>
          <w:b w:val="0"/>
          <w:sz w:val="21"/>
        </w:rPr>
        <w:t>\lambda_1,\lambda_2</w:t>
      </w:r>
      <w:r>
        <w:rPr>
          <w:rFonts w:ascii="Times New Roman" w:hAnsi="Times New Roman" w:eastAsia="宋体"/>
          <w:b w:val="0"/>
          <w:sz w:val="21"/>
        </w:rPr>
        <w:t xml:space="preserve"> 控制维护周期内的非线性变化，最后四项分别描述年周期和半年周期。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设不含谐波项的约简模型残差平方和为 </w:t>
      </w:r>
      <w:r>
        <w:rPr>
          <w:rFonts w:ascii="Times New Roman" w:hAnsi="Times New Roman" w:eastAsia="宋体"/>
          <w:b w:val="0"/>
          <w:sz w:val="21"/>
        </w:rPr>
        <w:t>SSE_R</w:t>
      </w:r>
      <w:r>
        <w:rPr>
          <w:rFonts w:ascii="Times New Roman" w:hAnsi="Times New Roman" w:eastAsia="宋体"/>
          <w:b w:val="0"/>
          <w:sz w:val="21"/>
        </w:rPr>
        <w:t xml:space="preserve">，完整模型残差平方和为 </w:t>
      </w:r>
      <w:r>
        <w:rPr>
          <w:rFonts w:ascii="Times New Roman" w:hAnsi="Times New Roman" w:eastAsia="宋体"/>
          <w:b w:val="0"/>
          <w:sz w:val="21"/>
        </w:rPr>
        <w:t>SSE_F</w:t>
      </w:r>
      <w:r>
        <w:rPr>
          <w:rFonts w:ascii="Times New Roman" w:hAnsi="Times New Roman" w:eastAsia="宋体"/>
          <w:b w:val="0"/>
          <w:sz w:val="21"/>
        </w:rPr>
        <w:t xml:space="preserve">，谐波参数个数为 </w:t>
      </w:r>
      <w:r>
        <w:rPr>
          <w:rFonts w:ascii="Times New Roman" w:hAnsi="Times New Roman" w:eastAsia="宋体"/>
          <w:b w:val="0"/>
          <w:sz w:val="21"/>
        </w:rPr>
        <w:t>r=4</w:t>
      </w:r>
      <w:r>
        <w:rPr>
          <w:rFonts w:ascii="Times New Roman" w:hAnsi="Times New Roman" w:eastAsia="宋体"/>
          <w:b w:val="0"/>
          <w:sz w:val="21"/>
        </w:rPr>
        <w:t>，则季节项整体显著性检验统计量为</w:t>
      </w:r>
    </w:p>
    <w:p>
      <w:pPr>
        <w:keepLines/>
        <w:jc w:val="center"/>
      </w:pPr>
      <m:oMath>
        <m:r>
          <m:t>F=</m:t>
        </m:r>
        <m:f>
          <m:fPr>
            <m:type m:val="bar"/>
          </m:fPr>
          <m:num>
            <m:r>
              <m:t>(SS</m:t>
            </m:r>
            <m:sSub>
              <m:e>
                <m:r>
                  <m:t>E</m:t>
                </m:r>
              </m:e>
              <m:sub>
                <m:r>
                  <m:t>R</m:t>
                </m:r>
              </m:sub>
            </m:sSub>
            <m:r>
              <m:t>−SS</m:t>
            </m:r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)/r</m:t>
            </m:r>
          </m:num>
          <m:den>
            <m:r>
              <m:t>SS</m:t>
            </m:r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/(n−</m:t>
            </m:r>
            <m:sSub>
              <m:e>
                <m:r>
                  <m:t>p</m:t>
                </m:r>
              </m:e>
              <m:sub>
                <m:r>
                  <m:t>F</m:t>
                </m:r>
              </m:sub>
            </m:sSub>
            <m:r>
              <m:t>)</m:t>
            </m:r>
          </m:den>
        </m:f>
        <m:r>
          <m:t>.</m:t>
        </m:r>
      </m:oMath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4.3.2 周期性检验结果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完整模型共使用 6 878 个有效日观测。加入年周期和半年周期谐波项后，残差平方和由 </w:t>
      </w:r>
      <w:r>
        <w:rPr>
          <w:rFonts w:ascii="Times New Roman" w:hAnsi="Times New Roman" w:eastAsia="宋体"/>
          <w:b w:val="0"/>
          <w:sz w:val="21"/>
        </w:rPr>
        <w:t>1.2022\times10^6</w:t>
      </w:r>
      <w:r>
        <w:rPr>
          <w:rFonts w:ascii="Times New Roman" w:hAnsi="Times New Roman" w:eastAsia="宋体"/>
          <w:b w:val="0"/>
          <w:sz w:val="21"/>
        </w:rPr>
        <w:t xml:space="preserve"> 降至 </w:t>
      </w:r>
      <w:r>
        <w:rPr>
          <w:rFonts w:ascii="Times New Roman" w:hAnsi="Times New Roman" w:eastAsia="宋体"/>
          <w:b w:val="0"/>
          <w:sz w:val="21"/>
        </w:rPr>
        <w:t>5.0642\times10^5</w:t>
      </w:r>
      <w:r>
        <w:rPr>
          <w:rFonts w:ascii="Times New Roman" w:hAnsi="Times New Roman" w:eastAsia="宋体"/>
          <w:b w:val="0"/>
          <w:sz w:val="21"/>
        </w:rPr>
        <w:t xml:space="preserve">，相对减少 57.88%；检验得到 </w:t>
      </w:r>
      <w:r>
        <w:rPr>
          <w:rFonts w:ascii="Times New Roman" w:hAnsi="Times New Roman" w:eastAsia="宋体"/>
          <w:b w:val="0"/>
          <w:sz w:val="21"/>
        </w:rPr>
        <w:t>F=2353.68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 w:val="0"/>
          <w:sz w:val="21"/>
        </w:rPr>
        <w:t>p&lt;10^{-300}</w:t>
      </w:r>
      <w:r>
        <w:rPr>
          <w:rFonts w:ascii="Times New Roman" w:hAnsi="Times New Roman" w:eastAsia="宋体"/>
          <w:b w:val="0"/>
          <w:sz w:val="21"/>
        </w:rPr>
        <w:t>，说明在控制设备差异、长期趋势和维护时钟后，透水率仍存在显著季节性。</w:t>
      </w:r>
    </w:p>
    <w:p>
      <w:pPr/>
      <w:r>
        <w:rPr>
          <w:rFonts w:ascii="Times New Roman" w:hAnsi="Times New Roman" w:eastAsia="宋体"/>
          <w:b w:val="0"/>
          <w:sz w:val="21"/>
        </w:rPr>
        <w:t>季节曲线半振幅为 15.81，其中年周期基波振幅为 15.11，半年周期振幅为 2.84。季节效应约在年内第 234 天达到峰值，在第 18 天达到谷值。对去除设备效应、长期趋势和维护时钟后的序列进行频谱分析，最大功率对应周期约为 369.5 天，占所考察频段功率的 82.3%，与年周期回归结论一致。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25299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季节效应曲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52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3  年周期与半年周期联合季节效应</w:t>
      </w:r>
    </w:p>
    <w:p>
      <w:pPr/>
      <w:r>
        <w:rPr>
          <w:rFonts w:ascii="Times New Roman" w:hAnsi="Times New Roman" w:eastAsia="宋体"/>
          <w:b w:val="0"/>
          <w:sz w:val="21"/>
        </w:rPr>
        <w:t>需要指出，附件只覆盖约两年，年周期仅经历两个完整循环。因此，本文认为数据提供了较强的年季节性证据，但不将估计曲线解释为长期稳定不变的气候规律；在第二问的多年寿命外推中，应为季节参数设置不确定性或进行敏感性分析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4.4 维护周期内的下降趋势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4.4.1 维护周期划分</w:t>
      </w:r>
    </w:p>
    <w:p>
      <w:pPr/>
      <w:r>
        <w:rPr>
          <w:rFonts w:ascii="Times New Roman" w:hAnsi="Times New Roman" w:eastAsia="宋体"/>
          <w:b w:val="0"/>
          <w:sz w:val="21"/>
        </w:rPr>
        <w:t>以附件 2 中的中维护和大维护日期为分界，将每台设备的季节校正序列划分为多个维护周期。仅保留有效观测不少于 14 天且时间跨度不少于 14 天的周期，共得到 133 个有效维护周期。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设周期 </w:t>
      </w:r>
      <w:r>
        <w:rPr>
          <w:rFonts w:ascii="Times New Roman" w:hAnsi="Times New Roman" w:eastAsia="宋体"/>
          <w:b w:val="0"/>
          <w:sz w:val="21"/>
        </w:rPr>
        <w:t>k</w:t>
      </w:r>
      <w:r>
        <w:rPr>
          <w:rFonts w:ascii="Times New Roman" w:hAnsi="Times New Roman" w:eastAsia="宋体"/>
          <w:b w:val="0"/>
          <w:sz w:val="21"/>
        </w:rPr>
        <w:t xml:space="preserve"> 内任意两个观测时点为 </w:t>
      </w:r>
      <w:r>
        <w:rPr>
          <w:rFonts w:ascii="Times New Roman" w:hAnsi="Times New Roman" w:eastAsia="宋体"/>
          <w:b w:val="0"/>
          <w:sz w:val="21"/>
        </w:rPr>
        <w:t>t_a&lt;t_b</w:t>
      </w:r>
      <w:r>
        <w:rPr>
          <w:rFonts w:ascii="Times New Roman" w:hAnsi="Times New Roman" w:eastAsia="宋体"/>
          <w:b w:val="0"/>
          <w:sz w:val="21"/>
        </w:rPr>
        <w:t xml:space="preserve">，对应季节校正透水率为 </w:t>
      </w:r>
      <w:r>
        <w:rPr>
          <w:rFonts w:ascii="Times New Roman" w:hAnsi="Times New Roman" w:eastAsia="宋体"/>
          <w:b w:val="0"/>
          <w:sz w:val="21"/>
        </w:rPr>
        <w:t>P_{ika}^{*}</w:t>
      </w:r>
      <w:r>
        <w:rPr>
          <w:rFonts w:ascii="Times New Roman" w:hAnsi="Times New Roman" w:eastAsia="宋体"/>
          <w:b w:val="0"/>
          <w:sz w:val="21"/>
        </w:rPr>
        <w:t xml:space="preserve"> 和 </w:t>
      </w:r>
      <w:r>
        <w:rPr>
          <w:rFonts w:ascii="Times New Roman" w:hAnsi="Times New Roman" w:eastAsia="宋体"/>
          <w:b w:val="0"/>
          <w:sz w:val="21"/>
        </w:rPr>
        <w:t>P_{ikb}^{*}</w:t>
      </w:r>
      <w:r>
        <w:rPr>
          <w:rFonts w:ascii="Times New Roman" w:hAnsi="Times New Roman" w:eastAsia="宋体"/>
          <w:b w:val="0"/>
          <w:sz w:val="21"/>
        </w:rPr>
        <w:t>。采用 Theil–Sen 估计获得周期斜率：</w:t>
      </w:r>
    </w:p>
    <w:p>
      <w:pPr>
        <w:keepLines/>
        <w:jc w:val="center"/>
      </w:pPr>
      <m:oMath>
        <m:sSub>
          <m:e>
            <m:limUpp>
              <m:e>
                <m:r>
                  <m:t>s</m:t>
                </m:r>
              </m:e>
              <m:lim>
                <m:r>
                  <m:t>^</m:t>
                </m:r>
              </m:lim>
            </m:limUpp>
          </m:e>
          <m:sub>
            <m:r>
              <m:t>ik</m:t>
            </m:r>
          </m:sub>
        </m:sSub>
        <m:r>
          <m:t>=</m:t>
        </m:r>
        <m:sSub>
          <m:e>
            <m:r>
              <m:t>median</m:t>
            </m:r>
          </m:e>
          <m:sub>
            <m:r>
              <m:t>a&lt;b</m:t>
            </m:r>
          </m:sub>
        </m:sSub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ikb</m:t>
                </m:r>
              </m:sub>
              <m:sup>
                <m:r>
                  <m:t>*</m:t>
                </m:r>
              </m:sup>
            </m:sSubSup>
            <m:r>
              <m:t>−</m:t>
            </m:r>
            <m:sSubSup>
              <m:e>
                <m:r>
                  <m:t>P</m:t>
                </m:r>
              </m:e>
              <m:sub>
                <m:r>
                  <m:t>ika</m:t>
                </m:r>
              </m:sub>
              <m:sup>
                <m:r>
                  <m:t>*</m:t>
                </m:r>
              </m:sup>
            </m:sSubSup>
          </m:num>
          <m:den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  <m:r>
              <m:t>−</m:t>
            </m:r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</m:den>
        </m:f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将自然下降率定义为</w:t>
      </w:r>
    </w:p>
    <w:p>
      <w:pPr>
        <w:keepLines/>
        <w:jc w:val="center"/>
      </w:pPr>
      <m:oMath>
        <m:r>
          <m:t>D</m:t>
        </m:r>
        <m:sSub>
          <m:e>
            <m:r>
              <m:t>R</m:t>
            </m:r>
          </m:e>
          <m:sub>
            <m:r>
              <m:t>ik</m:t>
            </m:r>
          </m:sub>
        </m:sSub>
        <m:r>
          <m:t>=−</m:t>
        </m:r>
        <m:sSub>
          <m:e>
            <m:limUpp>
              <m:e>
                <m:r>
                  <m:t>s</m:t>
                </m:r>
              </m:e>
              <m:lim>
                <m:r>
                  <m:t>^</m:t>
                </m:r>
              </m:lim>
            </m:limUpp>
          </m:e>
          <m:sub>
            <m:r>
              <m:t>ik</m:t>
            </m:r>
          </m:sub>
        </m:sSub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Theil–Sen 斜率取所有两点斜率的中位数，比普通最小二乘更不容易受到局部波动和少量异常值影响。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4.4.2 下降规律</w:t>
      </w:r>
    </w:p>
    <w:p>
      <w:pPr/>
      <w:r>
        <w:rPr>
          <w:rFonts w:ascii="Times New Roman" w:hAnsi="Times New Roman" w:eastAsia="宋体"/>
          <w:b w:val="0"/>
          <w:sz w:val="21"/>
        </w:rPr>
        <w:t>133 个有效周期的稳健斜率全部表现为下降。总体下降率中位数为 0.362 透水率/日，四分位区间为 0.291—0.440，完整范围为 0.074—0.841。不同设备的周期下降率中位数见表 2。</w:t>
      </w:r>
    </w:p>
    <w:p>
      <w:pPr>
        <w:pStyle w:val="CaptionCN"/>
        <w:keepNext/>
      </w:pPr>
      <w:r>
        <w:rPr>
          <w:rFonts w:ascii="Times New Roman" w:hAnsi="Times New Roman" w:eastAsia="宋体"/>
          <w:b/>
          <w:sz w:val="21"/>
        </w:rPr>
        <w:t>表 2  各设备维护周期下降率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下降率中位数/(透水率·日</w:t>
            </w:r>
            <w:r>
              <w:rPr>
                <w:rFonts w:ascii="Times New Roman" w:hAnsi="Times New Roman" w:eastAsia="宋体"/>
                <w:b/>
                <w:sz w:val="21"/>
              </w:rPr>
              <w:t>^{-1}</w:t>
            </w:r>
            <w:r>
              <w:rPr>
                <w:rFonts w:ascii="Times New Roman" w:hAnsi="Times New Roman" w:eastAsia="宋体"/>
                <w:b/>
                <w:sz w:val="21"/>
              </w:rPr>
              <w:t>)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下降率中位数/(透水率·日</w:t>
            </w:r>
            <w:r>
              <w:rPr>
                <w:rFonts w:ascii="Times New Roman" w:hAnsi="Times New Roman" w:eastAsia="宋体"/>
                <w:b/>
                <w:sz w:val="21"/>
              </w:rPr>
              <w:t>^{-1}</w:t>
            </w:r>
            <w:r>
              <w:rPr>
                <w:rFonts w:ascii="Times New Roman" w:hAnsi="Times New Roman" w:eastAsia="宋体"/>
                <w:b/>
                <w:sz w:val="21"/>
              </w:rPr>
              <w:t>)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0.390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A6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0.388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0.362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A7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0.328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0.339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A8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0.379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A4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0.332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A9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0.331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A5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0.373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0.393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A10、A1 和 A6 的典型下降速度较快，A7、A9 和 A4 相对较慢。不过，同一设备不同维护周期之间仍存在明显离散性，说明下降速度不仅由设备决定，还受到季节、过滤负荷、未记录的小维护和随机扰动影响。因此第二问不宜为每台设备固定一个确定性斜率，而应采用设备层参数与周期随机项相结合的分层退化模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2735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维护周期下降率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735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4  各设备维护周期内的季节校正下降率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4.5 不同维护方式的影响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4.5.1 反事实事件研究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若简单计算维护后 3 天均值与维护前 3 天均值之差，会把原本持续下降的趋势计入维护效果。为此，对每次维护事件 </w:t>
      </w:r>
      <w:r>
        <w:rPr>
          <w:rFonts w:ascii="Times New Roman" w:hAnsi="Times New Roman" w:eastAsia="宋体"/>
          <w:b w:val="0"/>
          <w:sz w:val="21"/>
        </w:rPr>
        <w:t>e</w:t>
      </w:r>
      <w:r>
        <w:rPr>
          <w:rFonts w:ascii="Times New Roman" w:hAnsi="Times New Roman" w:eastAsia="宋体"/>
          <w:b w:val="0"/>
          <w:sz w:val="21"/>
        </w:rPr>
        <w:t>，使用维护前 21 天的季节校正序列拟合稳健局部趋势</w:t>
      </w:r>
    </w:p>
    <w:p>
      <w:pPr>
        <w:keepLines/>
        <w:jc w:val="center"/>
      </w:pPr>
      <m:oMath>
        <m:sSubSup>
          <m:e>
            <m:limUpp>
              <m:e>
                <m:r>
                  <m:t>P</m:t>
                </m:r>
              </m:e>
              <m:lim>
                <m:r>
                  <m:t>^</m:t>
                </m:r>
              </m:lim>
            </m:limUpp>
          </m:e>
          <m:sub>
            <m:r>
              <m:t>ie</m:t>
            </m:r>
          </m:sub>
          <m:sup>
            <m:r>
              <m:t>0</m:t>
            </m:r>
          </m:sup>
        </m:sSubSup>
        <m:r>
          <m:t>(τ)=</m:t>
        </m:r>
        <m:sSub>
          <m:e>
            <m:limUpp>
              <m:e>
                <m:r>
                  <m:t>a</m:t>
                </m:r>
              </m:e>
              <m:lim>
                <m:r>
                  <m:t>^</m:t>
                </m:r>
              </m:lim>
            </m:limUpp>
          </m:e>
          <m:sub>
            <m:r>
              <m:t>ie</m:t>
            </m:r>
          </m:sub>
        </m:sSub>
        <m:r>
          <m:t>+</m:t>
        </m:r>
        <m:sSub>
          <m:e>
            <m:limUpp>
              <m:e>
                <m:r>
                  <m:t>b</m:t>
                </m:r>
              </m:e>
              <m:lim>
                <m:r>
                  <m:t>^</m:t>
                </m:r>
              </m:lim>
            </m:limUpp>
          </m:e>
          <m:sub>
            <m:r>
              <m:t>ie</m:t>
            </m:r>
          </m:sub>
        </m:sSub>
        <m:r>
          <m:t>τ,</m:t>
        </m:r>
        <m:r>
          <m:t>−21≤τ≤−1,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 xml:space="preserve">其中 </w:t>
      </w:r>
      <w:r>
        <w:rPr>
          <w:rFonts w:ascii="Times New Roman" w:hAnsi="Times New Roman" w:eastAsia="宋体"/>
          <w:b w:val="0"/>
          <w:sz w:val="21"/>
        </w:rPr>
        <w:t>\tau=0</w:t>
      </w:r>
      <w:r>
        <w:rPr>
          <w:rFonts w:ascii="Times New Roman" w:hAnsi="Times New Roman" w:eastAsia="宋体"/>
          <w:b w:val="0"/>
          <w:sz w:val="21"/>
        </w:rPr>
        <w:t xml:space="preserve"> 为维护日，</w:t>
      </w:r>
      <w:r>
        <w:rPr>
          <w:rFonts w:ascii="Times New Roman" w:hAnsi="Times New Roman" w:eastAsia="宋体"/>
          <w:b w:val="0"/>
          <w:sz w:val="21"/>
        </w:rPr>
        <w:t>\widehat P_{ie}^{\,0}(\tau)</w:t>
      </w:r>
      <w:r>
        <w:rPr>
          <w:rFonts w:ascii="Times New Roman" w:hAnsi="Times New Roman" w:eastAsia="宋体"/>
          <w:b w:val="0"/>
          <w:sz w:val="21"/>
        </w:rPr>
        <w:t xml:space="preserve"> 表示假设不进行本次维护时的反事实透水率。维护后第 </w:t>
      </w:r>
      <w:r>
        <w:rPr>
          <w:rFonts w:ascii="Times New Roman" w:hAnsi="Times New Roman" w:eastAsia="宋体"/>
          <w:b w:val="0"/>
          <w:sz w:val="21"/>
        </w:rPr>
        <w:t>\tau</w:t>
      </w:r>
      <w:r>
        <w:rPr>
          <w:rFonts w:ascii="Times New Roman" w:hAnsi="Times New Roman" w:eastAsia="宋体"/>
          <w:b w:val="0"/>
          <w:sz w:val="21"/>
        </w:rPr>
        <w:t xml:space="preserve"> 日的净效应为</w:t>
      </w:r>
    </w:p>
    <w:p>
      <w:pPr>
        <w:keepLines/>
        <w:jc w:val="center"/>
      </w:pPr>
      <m:oMath>
        <m:sSub>
          <m:e>
            <m:r>
              <m:t>E</m:t>
            </m:r>
          </m:e>
          <m:sub>
            <m:r>
              <m:t>ie</m:t>
            </m:r>
          </m:sub>
        </m:sSub>
        <m:r>
          <m:t>(τ)=</m:t>
        </m:r>
        <m:sSubSup>
          <m:e>
            <m:r>
              <m:t>P</m:t>
            </m:r>
          </m:e>
          <m:sub>
            <m:r>
              <m:t>ie</m:t>
            </m:r>
          </m:sub>
          <m:sup>
            <m:r>
              <m:t>*</m:t>
            </m:r>
          </m:sup>
        </m:sSubSup>
        <m:r>
          <m:t>(τ)−</m:t>
        </m:r>
        <m:sSubSup>
          <m:e>
            <m:limUpp>
              <m:e>
                <m:r>
                  <m:t>P</m:t>
                </m:r>
              </m:e>
              <m:lim>
                <m:r>
                  <m:t>^</m:t>
                </m:r>
              </m:lim>
            </m:limUpp>
          </m:e>
          <m:sub>
            <m:r>
              <m:t>ie</m:t>
            </m:r>
          </m:sub>
          <m:sup>
            <m:r>
              <m:t>0</m:t>
            </m:r>
          </m:sup>
        </m:sSubSup>
        <m:r>
          <m:t>(τ).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为降低单日噪声，定义维护后 1—3 日的瞬时恢复量</w:t>
      </w:r>
    </w:p>
    <w:p>
      <w:pPr>
        <w:keepLines/>
        <w:jc w:val="center"/>
      </w:pPr>
      <m:oMath>
        <m:r>
          <m:t>M</m:t>
        </m:r>
        <m:sSub>
          <m:e>
            <m:r>
              <m:t>G</m:t>
            </m:r>
          </m:e>
          <m:sub>
            <m:r>
              <m:t>ie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τ=1</m:t>
            </m:r>
          </m:sub>
          <m:sup>
            <m:r>
              <m:t>3</m:t>
            </m:r>
          </m:sup>
          <m:e>
            <m:sSub>
              <m:e>
                <m:r>
                  <m:t>E</m:t>
                </m:r>
              </m:e>
              <m:sub>
                <m:r>
                  <m:t>ie</m:t>
                </m:r>
              </m:sub>
            </m:sSub>
          </m:e>
        </m:nary>
        <m:r>
          <m:t>(τ),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并分别用第 5—9 日、第 12—16 日和第 27—30 日窗口平均值表示第 7、14 和 30 日维护效果。30 日保持率定义为</w:t>
      </w:r>
    </w:p>
    <w:p>
      <w:pPr>
        <w:keepLines/>
        <w:jc w:val="center"/>
      </w:pPr>
      <m:oMath>
        <m:r>
          <m:t>MP</m:t>
        </m:r>
        <m:sSub>
          <m:e>
            <m:r>
              <m:t>30</m:t>
            </m:r>
          </m:e>
          <m:sub>
            <m:r>
              <m:t>ie</m:t>
            </m:r>
          </m:sub>
        </m:sSub>
        <m:r>
          <m:t>=</m:t>
        </m:r>
        <m:f>
          <m:fPr>
            <m:type m:val="bar"/>
          </m:fPr>
          <m:num>
            <m:sSub>
              <m:e>
                <m:acc>
                  <m:accPr>
                    <m:chr m:val="―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ie</m:t>
                </m:r>
              </m:sub>
            </m:sSub>
            <m:r>
              <m:t>(27</m:t>
            </m:r>
            <m:r>
              <m:t>:</m:t>
            </m:r>
            <m:r>
              <m:t>30)</m:t>
            </m:r>
          </m:num>
          <m:den>
            <m:r>
              <m:t>M</m:t>
            </m:r>
            <m:sSub>
              <m:e>
                <m:r>
                  <m:t>G</m:t>
                </m:r>
              </m:e>
              <m:sub>
                <m:r>
                  <m:t>ie</m:t>
                </m:r>
              </m:sub>
            </m:sSub>
          </m:den>
        </m:f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事件研究要求维护前 21 天至少有 10 个有效观测日。最终得到 104 个可估计瞬时恢复量的中维护事件和全部 17 个大维护事件。维护前相对反事实残差的平均绝对值分别仅为 0.057 和 0.105，表明事件发生前拟合基线基本围绕零波动。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4.5.2 维护效果结果</w:t>
      </w:r>
    </w:p>
    <w:p>
      <w:pPr>
        <w:pStyle w:val="CaptionCN"/>
        <w:keepNext/>
      </w:pPr>
      <w:r>
        <w:rPr>
          <w:rFonts w:ascii="Times New Roman" w:hAnsi="Times New Roman" w:eastAsia="宋体"/>
          <w:b/>
          <w:sz w:val="21"/>
        </w:rPr>
        <w:t>表 3  中维护与大维护的反事实效果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维护类型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有效事件数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均值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中位数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Bootstrap 95% 区间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中维护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1—3 日恢复量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20.173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19.622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[18.339, 22.252]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中维护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30 日效果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20.519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20.758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[18.324, 22.773]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中维护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 日保持率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0.976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1.019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[0.897, 1.049]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大维护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1—3 日恢复量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17.302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18.862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[13.938, 20.502]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大维护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30 日效果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16.458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16.119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[12.648, 20.350]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大维护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 日保持率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0.908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0.981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[0.665, 1.073]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 xml:space="preserve">两类维护均能显著提高透水率，且平均效果在 30 天内没有明显消失。中维护的样本均值高于大维护，但两类维护 1—3 日恢复量的 Mann–Whitney 检验结果为 </w:t>
      </w:r>
      <w:r>
        <w:rPr>
          <w:rFonts w:ascii="Times New Roman" w:hAnsi="Times New Roman" w:eastAsia="宋体"/>
          <w:b w:val="0"/>
          <w:sz w:val="21"/>
        </w:rPr>
        <w:t>p=0.278</w:t>
      </w:r>
      <w:r>
        <w:rPr>
          <w:rFonts w:ascii="Times New Roman" w:hAnsi="Times New Roman" w:eastAsia="宋体"/>
          <w:b w:val="0"/>
          <w:sz w:val="21"/>
        </w:rPr>
        <w:t>，差异不显著。因此，不能据此断言中维护的物理清洗能力强于大维护。</w:t>
      </w:r>
    </w:p>
    <w:p>
      <w:pPr/>
      <w:r>
        <w:rPr>
          <w:rFonts w:ascii="Times New Roman" w:hAnsi="Times New Roman" w:eastAsia="宋体"/>
          <w:b w:val="0"/>
          <w:sz w:val="21"/>
        </w:rPr>
        <w:t>这一表面上的“中维护效果更高”主要可能来自两方面：其一，大维护只有 17 次，置信区间更宽；其二，大维护通常在设备状态更差时实施，维护类型并非随机分配。本文的事件研究控制了共同季节项和维护前局部趋势，但无法完全消除按设备健康状态选择维护类型的剩余混杂。第二问应采用跨设备共享信息的分层维护参数，并对大维护参数的不确定性进行传播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2939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维护事件研究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3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5  中维护与大维护的反事实事件研究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32056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维护效果分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0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6  不同维护后时点的效果分布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4.5.3 维护效果持续时间与右删失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固定时点保持率不能直接回答维护效果持续多久。设事件 </w:t>
      </w:r>
      <w:r>
        <w:rPr>
          <w:rFonts w:ascii="Times New Roman" w:hAnsi="Times New Roman" w:eastAsia="宋体"/>
          <w:b w:val="0"/>
          <w:sz w:val="21"/>
        </w:rPr>
        <w:t>e</w:t>
      </w:r>
      <w:r>
        <w:rPr>
          <w:rFonts w:ascii="Times New Roman" w:hAnsi="Times New Roman" w:eastAsia="宋体"/>
          <w:b w:val="0"/>
          <w:sz w:val="21"/>
        </w:rPr>
        <w:t xml:space="preserve"> 的初始恢复量为 </w:t>
      </w:r>
      <w:r>
        <w:rPr>
          <w:rFonts w:ascii="Times New Roman" w:hAnsi="Times New Roman" w:eastAsia="宋体"/>
          <w:b w:val="0"/>
          <w:sz w:val="21"/>
        </w:rPr>
        <w:t>MG_{ie}</w:t>
      </w:r>
      <w:r>
        <w:rPr>
          <w:rFonts w:ascii="Times New Roman" w:hAnsi="Times New Roman" w:eastAsia="宋体"/>
          <w:b w:val="0"/>
          <w:sz w:val="21"/>
        </w:rPr>
        <w:t xml:space="preserve">，对事件效应 </w:t>
      </w:r>
      <w:r>
        <w:rPr>
          <w:rFonts w:ascii="Times New Roman" w:hAnsi="Times New Roman" w:eastAsia="宋体"/>
          <w:b w:val="0"/>
          <w:sz w:val="21"/>
        </w:rPr>
        <w:t>E_{ie}(\tau)</w:t>
      </w:r>
      <w:r>
        <w:rPr>
          <w:rFonts w:ascii="Times New Roman" w:hAnsi="Times New Roman" w:eastAsia="宋体"/>
          <w:b w:val="0"/>
          <w:sz w:val="21"/>
        </w:rPr>
        <w:t xml:space="preserve"> 作 5 日滚动中位数平滑，记为 </w:t>
      </w:r>
      <w:r>
        <w:rPr>
          <w:rFonts w:ascii="Times New Roman" w:hAnsi="Times New Roman" w:eastAsia="宋体"/>
          <w:b w:val="0"/>
          <w:sz w:val="21"/>
        </w:rPr>
        <w:t>\widetilde E_{ie}(\tau)</w:t>
      </w:r>
      <w:r>
        <w:rPr>
          <w:rFonts w:ascii="Times New Roman" w:hAnsi="Times New Roman" w:eastAsia="宋体"/>
          <w:b w:val="0"/>
          <w:sz w:val="21"/>
        </w:rPr>
        <w:t>。本文将连续 3 个可用观测点均不高于初始恢复量 20% 的首个时点定义为效果终点：</w:t>
      </w:r>
    </w:p>
    <w:p>
      <w:pPr>
        <w:keepLines/>
        <w:jc w:val="center"/>
      </w:pPr>
      <m:oMath>
        <m:sSubSup>
          <m:e>
            <m:r>
              <m:t>T</m:t>
            </m:r>
          </m:e>
          <m:sub>
            <m:r>
              <m:t>ie</m:t>
            </m:r>
          </m:sub>
          <m:sup>
            <m:d>
              <m:dPr>
                <m:sepChr m:val=""/>
              </m:dPr>
              <m:e>
                <m:r>
                  <m:t>20</m:t>
                </m:r>
              </m:e>
            </m:d>
          </m:sup>
        </m:sSubSup>
        <m:r>
          <m:t>=min</m:t>
        </m:r>
        <m:d>
          <m:dPr>
            <m:begChr m:val="{"/>
            <m:sepChr m:val=""/>
            <m:endChr m:val="}"/>
          </m:dPr>
          <m:e>
            <m:r>
              <m:t>τ</m:t>
            </m:r>
            <m:r>
              <m:t>≥</m:t>
            </m:r>
            <m:r>
              <m:t>4</m:t>
            </m:r>
            <m:r>
              <m:t>:</m:t>
            </m:r>
            <m:sSub>
              <m:e>
                <m:limUpp>
                  <m:e>
                    <m:r>
                      <m:t>E</m:t>
                    </m:r>
                  </m:e>
                  <m:lim>
                    <m:r>
                      <m:t>~</m:t>
                    </m:r>
                  </m:lim>
                </m:limUpp>
              </m:e>
              <m:sub>
                <m:r>
                  <m:t>ie</m:t>
                </m:r>
              </m:sub>
            </m:sSub>
            <m:r>
              <m:t>(</m:t>
            </m:r>
            <m:r>
              <m:t>τ</m:t>
            </m:r>
            <m:r>
              <m:t>:</m:t>
            </m:r>
            <m:r>
              <m:t>τ</m:t>
            </m:r>
            <m:r>
              <m:t>+</m:t>
            </m:r>
            <m:r>
              <m:t>2</m:t>
            </m:r>
            <m:r>
              <m:t>)</m:t>
            </m:r>
            <m:r>
              <m:t>≤</m:t>
            </m:r>
            <m:r>
              <m:t>0.2</m:t>
            </m:r>
            <m:r>
              <m:t>M</m:t>
            </m:r>
            <m:sSub>
              <m:e>
                <m:r>
                  <m:t>G</m:t>
                </m:r>
              </m:e>
              <m:sub>
                <m:r>
                  <m:t>ie</m:t>
                </m:r>
              </m:sub>
            </m:sSub>
          </m:e>
        </m:d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单次事件只观察至下一次维护前一日、数据结束日或维护后第 90 日。若截至观察终点仍未达到式（13）的条件，则该事件记为右删失，而不把观察终点当作真实持续时间。中维护有 104 个可分析事件，其中 94 个右删失，删失率为 90.4%；大维护 17 个事件中 16 个右删失，删失率为 94.1%。两类维护的 Kaplan–Meier 中位持续时间均未在当前数据内达到；截至 60 日的限制平均持续时间分别为 56.8 日和 57.1 日。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这说明多数维护带来的状态改善至少保持到下一次维护。由于删失比例很高，不能给出“典型维护精确持续若干日”的结论；第二问应将维护解释为对可逆堵塞状态的持久清除，而不应把第 30 日保持率直接乘到瞬时恢复量上。将阈值改为初始恢复量的 10% 或 30% 时结论方向不变，具体事件结果见 </w:t>
      </w:r>
      <w:r>
        <w:rPr>
          <w:rFonts w:ascii="Times New Roman" w:hAnsi="Times New Roman" w:eastAsia="宋体"/>
          <w:b w:val="0"/>
          <w:sz w:val="21"/>
        </w:rPr>
        <w:t>maintenance_effect_duration.csv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32399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维护效果持续时间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39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7  维护效果持续时间 Kaplan–Meier 曲线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4.5.4 维护前后下降速度变化</w:t>
      </w:r>
    </w:p>
    <w:p>
      <w:pPr/>
      <w:r>
        <w:rPr>
          <w:rFonts w:ascii="Times New Roman" w:hAnsi="Times New Roman" w:eastAsia="宋体"/>
          <w:b w:val="0"/>
          <w:sz w:val="21"/>
        </w:rPr>
        <w:t>为避免比较窗口不一致，分别在维护前 21 日和维护后第 4—24 日两个等长窗口内估计 Theil–Sen 下降率。定义</w:t>
      </w:r>
    </w:p>
    <w:p>
      <w:pPr>
        <w:keepLines/>
        <w:jc w:val="center"/>
      </w:pPr>
      <m:oMath>
        <m:r>
          <m:t>ΔD</m:t>
        </m:r>
        <m:sSub>
          <m:e>
            <m:r>
              <m:t>R</m:t>
            </m:r>
          </m:e>
          <m:sub>
            <m:r>
              <m:t>ie</m:t>
            </m:r>
          </m:sub>
        </m:sSub>
        <m:r>
          <m:t>=D</m:t>
        </m:r>
        <m:sSubSup>
          <m:e>
            <m:r>
              <m:t>R</m:t>
            </m:r>
          </m:e>
          <m:sub>
            <m:r>
              <m:t>ie</m:t>
            </m:r>
          </m:sub>
          <m:sup>
            <m:r>
              <m:rPr>
                <m:sty m:val="p"/>
              </m:rPr>
              <m:t>post</m:t>
            </m:r>
          </m:sup>
        </m:sSubSup>
        <m:r>
          <m:t>−D</m:t>
        </m:r>
        <m:sSubSup>
          <m:e>
            <m:r>
              <m:t>R</m:t>
            </m:r>
          </m:e>
          <m:sub>
            <m:r>
              <m:t>ie</m:t>
            </m:r>
          </m:sub>
          <m:sup>
            <m:r>
              <m:rPr>
                <m:sty m:val="p"/>
              </m:rPr>
              <m:t>pre</m:t>
            </m:r>
          </m:sup>
        </m:sSubSup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 xml:space="preserve">同一设备的事件并非独立，因此置信区间按设备聚类 Bootstrap，并对每台设备的事件中位变化进行 Wilcoxon 符号秩检验。中维护共有 99 个有效事件、覆盖 10 台设备，设备中位变化为 </w:t>
      </w:r>
      <w:r>
        <w:rPr>
          <w:rFonts w:ascii="Times New Roman" w:hAnsi="Times New Roman" w:eastAsia="宋体"/>
          <w:b w:val="0"/>
          <w:sz w:val="21"/>
        </w:rPr>
        <w:t>-0.050</w:t>
      </w:r>
      <w:r>
        <w:rPr>
          <w:rFonts w:ascii="Times New Roman" w:hAnsi="Times New Roman" w:eastAsia="宋体"/>
          <w:b w:val="0"/>
          <w:sz w:val="21"/>
        </w:rPr>
        <w:t xml:space="preserve"> 透水率/日，95% 区间为 </w:t>
      </w:r>
      <w:r>
        <w:rPr>
          <w:rFonts w:ascii="Times New Roman" w:hAnsi="Times New Roman" w:eastAsia="宋体"/>
          <w:b w:val="0"/>
          <w:sz w:val="21"/>
        </w:rPr>
        <w:t>[-0.101,0.039]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 w:val="0"/>
          <w:sz w:val="21"/>
        </w:rPr>
        <w:t>p=0.131</w:t>
      </w:r>
      <w:r>
        <w:rPr>
          <w:rFonts w:ascii="Times New Roman" w:hAnsi="Times New Roman" w:eastAsia="宋体"/>
          <w:b w:val="0"/>
          <w:sz w:val="21"/>
        </w:rPr>
        <w:t xml:space="preserve">；大维护共有 16 个有效事件、覆盖 8 台设备，中位变化为 </w:t>
      </w:r>
      <w:r>
        <w:rPr>
          <w:rFonts w:ascii="Times New Roman" w:hAnsi="Times New Roman" w:eastAsia="宋体"/>
          <w:b w:val="0"/>
          <w:sz w:val="21"/>
        </w:rPr>
        <w:t>0.011</w:t>
      </w:r>
      <w:r>
        <w:rPr>
          <w:rFonts w:ascii="Times New Roman" w:hAnsi="Times New Roman" w:eastAsia="宋体"/>
          <w:b w:val="0"/>
          <w:sz w:val="21"/>
        </w:rPr>
        <w:t xml:space="preserve">，95% 区间为 </w:t>
      </w:r>
      <w:r>
        <w:rPr>
          <w:rFonts w:ascii="Times New Roman" w:hAnsi="Times New Roman" w:eastAsia="宋体"/>
          <w:b w:val="0"/>
          <w:sz w:val="21"/>
        </w:rPr>
        <w:t>[-0.083,0.089]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 w:val="0"/>
          <w:sz w:val="21"/>
        </w:rPr>
        <w:t>p=0.945</w:t>
      </w:r>
      <w:r>
        <w:rPr>
          <w:rFonts w:ascii="Times New Roman" w:hAnsi="Times New Roman" w:eastAsia="宋体"/>
          <w:b w:val="0"/>
          <w:sz w:val="21"/>
        </w:rPr>
        <w:t>。两类区间均跨 0，当前数据没有证据表明维护会系统性改变后续堵塞增长速度。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35344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维护前后下降速度变化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3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8  维护前后等长窗口下降速度变化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4.6 不可逆性能变化的代理指标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维护能够清除可逆堵塞，但无法保证设备恢复到原有性能上限。为描述维护后最高可恢复水平的长期变化，定义第 </w:t>
      </w:r>
      <w:r>
        <w:rPr>
          <w:rFonts w:ascii="Times New Roman" w:hAnsi="Times New Roman" w:eastAsia="宋体"/>
          <w:b w:val="0"/>
          <w:sz w:val="21"/>
        </w:rPr>
        <w:t>k</w:t>
      </w:r>
      <w:r>
        <w:rPr>
          <w:rFonts w:ascii="Times New Roman" w:hAnsi="Times New Roman" w:eastAsia="宋体"/>
          <w:b w:val="0"/>
          <w:sz w:val="21"/>
        </w:rPr>
        <w:t xml:space="preserve"> 次维护后 1—7 日季节校正透水率的中位数为</w:t>
      </w:r>
    </w:p>
    <w:p>
      <w:pPr>
        <w:keepLines/>
        <w:jc w:val="center"/>
      </w:pPr>
      <m:oMath>
        <m:sSub>
          <m:e>
            <m:r>
              <m:t>U</m:t>
            </m:r>
          </m:e>
          <m:sub>
            <m:r>
              <m:t>ik</m:t>
            </m:r>
          </m:sub>
        </m:sSub>
        <m:r>
          <m:t>=median</m:t>
        </m:r>
        <m:d>
          <m:dPr>
            <m:begChr m:val="{"/>
            <m:sepChr m:val=""/>
            <m:endChr m:val="}"/>
          </m:dPr>
          <m:e>
            <m:sSubSup>
              <m:e>
                <m:r>
                  <m:t>P</m:t>
                </m:r>
              </m:e>
              <m:sub>
                <m:r>
                  <m:t>id</m:t>
                </m:r>
              </m:sub>
              <m:sup>
                <m:r>
                  <m:t>*</m:t>
                </m:r>
              </m:sup>
            </m:sSubSup>
            <m:r>
              <m:t>:</m:t>
            </m:r>
            <m:r>
              <m:t>1</m:t>
            </m:r>
            <m:r>
              <m:t>≤</m:t>
            </m:r>
            <m:r>
              <m:t>d</m:t>
            </m:r>
            <m:r>
              <m:t>−</m:t>
            </m:r>
            <m:sSub>
              <m:e>
                <m:r>
                  <m:t>t</m:t>
                </m:r>
              </m:e>
              <m:sub>
                <m:r>
                  <m:t>ik</m:t>
                </m:r>
              </m:sub>
            </m:sSub>
            <m:r>
              <m:t>≤</m:t>
            </m:r>
            <m:r>
              <m:t>7</m:t>
            </m:r>
          </m:e>
        </m:d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 xml:space="preserve">对同一设备的 </w:t>
      </w:r>
      <w:r>
        <w:rPr>
          <w:rFonts w:ascii="Times New Roman" w:hAnsi="Times New Roman" w:eastAsia="宋体"/>
          <w:b w:val="0"/>
          <w:sz w:val="21"/>
        </w:rPr>
        <w:t>U_{ik}</w:t>
      </w:r>
      <w:r>
        <w:rPr>
          <w:rFonts w:ascii="Times New Roman" w:hAnsi="Times New Roman" w:eastAsia="宋体"/>
          <w:b w:val="0"/>
          <w:sz w:val="21"/>
        </w:rPr>
        <w:t xml:space="preserve"> 与时间进行 Theil–Sen 回归，其斜率相反数定义为上包络衰减指标 </w:t>
      </w:r>
      <w:r>
        <w:rPr>
          <w:rFonts w:ascii="Times New Roman" w:hAnsi="Times New Roman" w:eastAsia="宋体"/>
          <w:b w:val="0"/>
          <w:sz w:val="21"/>
        </w:rPr>
        <w:t>ED_i</w:t>
      </w:r>
      <w:r>
        <w:rPr>
          <w:rFonts w:ascii="Times New Roman" w:hAnsi="Times New Roman" w:eastAsia="宋体"/>
          <w:b w:val="0"/>
          <w:sz w:val="21"/>
        </w:rPr>
        <w:t xml:space="preserve">。若 </w:t>
      </w:r>
      <w:r>
        <w:rPr>
          <w:rFonts w:ascii="Times New Roman" w:hAnsi="Times New Roman" w:eastAsia="宋体"/>
          <w:b w:val="0"/>
          <w:sz w:val="21"/>
        </w:rPr>
        <w:t>ED_i&gt;0</w:t>
      </w:r>
      <w:r>
        <w:rPr>
          <w:rFonts w:ascii="Times New Roman" w:hAnsi="Times New Roman" w:eastAsia="宋体"/>
          <w:b w:val="0"/>
          <w:sz w:val="21"/>
        </w:rPr>
        <w:t xml:space="preserve">，说明维护后可恢复到的水平总体下降，可作为不可逆老化和维护损伤的综合代理；若 </w:t>
      </w:r>
      <w:r>
        <w:rPr>
          <w:rFonts w:ascii="Times New Roman" w:hAnsi="Times New Roman" w:eastAsia="宋体"/>
          <w:b w:val="0"/>
          <w:sz w:val="21"/>
        </w:rPr>
        <w:t>ED_i&lt;0</w:t>
      </w:r>
      <w:r>
        <w:rPr>
          <w:rFonts w:ascii="Times New Roman" w:hAnsi="Times New Roman" w:eastAsia="宋体"/>
          <w:b w:val="0"/>
          <w:sz w:val="21"/>
        </w:rPr>
        <w:t>，则表明两年观测窗口内上包络未呈下降，可能受到设备早期状态、季节校正误差和维护状态选择的影响。</w:t>
      </w:r>
    </w:p>
    <w:p>
      <w:pPr/>
      <w:r>
        <w:rPr>
          <w:rFonts w:ascii="Times New Roman" w:hAnsi="Times New Roman" w:eastAsia="宋体"/>
          <w:b w:val="0"/>
          <w:sz w:val="21"/>
        </w:rPr>
        <w:t>图 7 表明，不同设备的上包络变化方向和速度差异较大。由于每台设备只有约 10—13 次维护事件，本文不直接将设备级上包络斜率等同于真实材料老化率，而是在第二问中将其作为分层老化参数的初值和辅助约束。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64921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维护后上包络线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492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9  维护后上包络线变化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4.7 透水率变化指标体系</w:t>
      </w:r>
    </w:p>
    <w:p>
      <w:pPr/>
      <w:r>
        <w:rPr>
          <w:rFonts w:ascii="Times New Roman" w:hAnsi="Times New Roman" w:eastAsia="宋体"/>
          <w:b w:val="0"/>
          <w:sz w:val="21"/>
        </w:rPr>
        <w:t>根据上述分析，构造表 4 所示的指标体系。各指标分别保留数据质量、可逆堵塞、季节影响、维护恢复、效果保持、不可逆性能变化和随机波动的物理含义，不采用主成分分析将其强行压缩为单一综合分数。</w:t>
      </w:r>
    </w:p>
    <w:p>
      <w:pPr>
        <w:pStyle w:val="CaptionCN"/>
        <w:keepNext/>
      </w:pPr>
      <w:r>
        <w:rPr>
          <w:rFonts w:ascii="Times New Roman" w:hAnsi="Times New Roman" w:eastAsia="宋体"/>
          <w:b/>
          <w:sz w:val="21"/>
        </w:rPr>
        <w:t>表 4  透水率变化指标及其含义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符号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计算方法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物理含义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第二问中的用途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数据覆盖率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CR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式（1）—式（2）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数据完整程度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确定观测权重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自然下降率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DR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式（7）—式（8）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维护周期内退化速度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堵塞增长率初值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季节振幅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SA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谐波曲线半极差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季节造成的最大典型偏移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季节函数参数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瞬时恢复量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MG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式（11）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维护的短期净恢复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维护状态更新参数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 日保持率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MP30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式（12）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维护效果的持续程度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恢复保持参数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维护效果持续时间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式（13），含右删失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效果至少保持到何时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恢复持续性约束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下降率变化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\Delta DR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式（14）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维护前后退化速度差异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判断是否需要分阶段堵塞率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上包络衰减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ED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式（15）的长期斜率相反数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不可逆性能上限变化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老化率先验或初值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波动指数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VI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完整回归模型残差标准差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未解释负荷与测量扰动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过程噪声参数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各设备指标的标准化结果见图 8。A10、A1 和 A6 的维护周期下降率相对较高；A10 的季节振幅最大；A4、A8 因不存在大维护记录，其大维护恢复指标为空。这些差异表明第二问需要在共享总体规律的同时保留设备随机效应。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35656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设备指标热力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65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10  设备级透水率变化指标标准化热力图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4.8 本问结论</w:t>
      </w:r>
    </w:p>
    <w:p>
      <w:pPr/>
      <w:r>
        <w:rPr>
          <w:rFonts w:ascii="Times New Roman" w:hAnsi="Times New Roman" w:eastAsia="宋体"/>
          <w:b w:val="0"/>
          <w:sz w:val="21"/>
        </w:rPr>
        <w:t>综合数据质量、周期性、下降趋势和维护事件研究，可得到以下结论：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1. 原始小时序列存在较多时间间断，但日尺度覆盖率超过 91%，以日中位数作为主分析对象能够在保留维护跳升的同时提高稳健性。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2. 在控制设备差异、长期趋势和维护时钟后，透水率仍存在显著年季节性，估计季节半振幅为 15.81；频谱最大功率对应约 369.5 天。但由于数据仅覆盖约两年，长期预测必须考虑季节参数不确定性。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3. 133 个有效维护周期均表现为下降，下降率中位数为 0.362 透水率/日，且设备间和周期间差异明显。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4. 中维护和大维护均能有效恢复透水率。中维护和大维护的 1—3 日反事实恢复量均值分别为 20.17 和 17.30，但两者差异不显著，不能用简单均值判断维护等级的真实物理效果。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5. 维护后上包络并非对所有设备保持不变，说明过滤器状态不能只用可逆堵塞描述，还需要引入不可逆性能状态。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6. 维护持续时间存在超过 90% 的右删失，多数效果至少保持到下一次维护；不能将观察末日当作真实效果终点。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7. 维护前后等长窗口下降率变化的设备聚类区间均跨 0，第二问没有必要为维护后另设确定性堵塞增长率。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宋体"/>
          <w:b w:val="0"/>
          <w:sz w:val="21"/>
        </w:rPr>
        <w:t>DR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sz w:val="21"/>
        </w:rPr>
        <w:t>SA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sz w:val="21"/>
        </w:rPr>
        <w:t>MG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sz w:val="21"/>
        </w:rPr>
        <w:t>TE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sz w:val="21"/>
        </w:rPr>
        <w:t>\Delta DR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sz w:val="21"/>
        </w:rPr>
        <w:t>ED</w:t>
      </w:r>
      <w:r>
        <w:rPr>
          <w:rFonts w:ascii="Times New Roman" w:hAnsi="Times New Roman" w:eastAsia="宋体"/>
          <w:b w:val="0"/>
          <w:sz w:val="21"/>
        </w:rPr>
        <w:t xml:space="preserve"> 和 </w:t>
      </w:r>
      <w:r>
        <w:rPr>
          <w:rFonts w:ascii="Times New Roman" w:hAnsi="Times New Roman" w:eastAsia="宋体"/>
          <w:b w:val="0"/>
          <w:sz w:val="21"/>
        </w:rPr>
        <w:t>VI</w:t>
      </w:r>
      <w:r>
        <w:rPr>
          <w:rFonts w:ascii="Times New Roman" w:hAnsi="Times New Roman" w:eastAsia="宋体"/>
          <w:b w:val="0"/>
          <w:sz w:val="21"/>
        </w:rPr>
        <w:t xml:space="preserve"> 为第二问双状态退化模型提供了可直接调用的参数初值和约束。</w:t>
      </w:r>
    </w:p>
    <w:p>
      <w:pPr/>
      <w:r>
        <w:rPr>
          <w:rFonts w:ascii="Times New Roman" w:hAnsi="Times New Roman" w:eastAsia="宋体"/>
          <w:b w:val="0"/>
          <w:sz w:val="21"/>
        </w:rPr>
        <w:t>因此，后续寿命预测应将透水率分解为“不可逆性能上限—可逆堵塞+季节项+随机扰动”，并利用维护事件同时更新可逆堵塞状态和不可逆性能状态，从而统一解释周期下降、维护恢复和长期老化。</w:t>
      </w: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>5 过滤器寿命预测模型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5.1 建模思路</w:t>
      </w:r>
    </w:p>
    <w:p>
      <w:pPr/>
      <w:r>
        <w:rPr>
          <w:rFonts w:ascii="Times New Roman" w:hAnsi="Times New Roman" w:eastAsia="宋体"/>
          <w:b w:val="0"/>
          <w:sz w:val="21"/>
        </w:rPr>
        <w:t>第一问表明，透水率同时受到季节变化、维护周期内堵塞增长、维护清除和长期不可逆性能变化影响。维护前后等长窗口下降率变化的设备聚类区间跨 0，因此没有必要为维护后另设一套确定性堵塞增长率；维护效果持续时间又存在 90% 以上的右删失，说明维护清除的状态改善通常至少保持到下一次维护。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据此，将第 </w:t>
      </w:r>
      <w:r>
        <w:rPr>
          <w:rFonts w:ascii="Times New Roman" w:hAnsi="Times New Roman" w:eastAsia="宋体"/>
          <w:b w:val="0"/>
          <w:sz w:val="21"/>
        </w:rPr>
        <w:t>i</w:t>
      </w:r>
      <w:r>
        <w:rPr>
          <w:rFonts w:ascii="Times New Roman" w:hAnsi="Times New Roman" w:eastAsia="宋体"/>
          <w:b w:val="0"/>
          <w:sz w:val="21"/>
        </w:rPr>
        <w:t xml:space="preserve"> 台过滤器的透水率分解为不可逆性能上限 </w:t>
      </w:r>
      <w:r>
        <w:rPr>
          <w:rFonts w:ascii="Times New Roman" w:hAnsi="Times New Roman" w:eastAsia="宋体"/>
          <w:b w:val="0"/>
          <w:sz w:val="21"/>
        </w:rPr>
        <w:t>C_i(t)</w:t>
      </w:r>
      <w:r>
        <w:rPr>
          <w:rFonts w:ascii="Times New Roman" w:hAnsi="Times New Roman" w:eastAsia="宋体"/>
          <w:b w:val="0"/>
          <w:sz w:val="21"/>
        </w:rPr>
        <w:t xml:space="preserve">、可逆堵塞 </w:t>
      </w:r>
      <w:r>
        <w:rPr>
          <w:rFonts w:ascii="Times New Roman" w:hAnsi="Times New Roman" w:eastAsia="宋体"/>
          <w:b w:val="0"/>
          <w:sz w:val="21"/>
        </w:rPr>
        <w:t>F_i(t)</w:t>
      </w:r>
      <w:r>
        <w:rPr>
          <w:rFonts w:ascii="Times New Roman" w:hAnsi="Times New Roman" w:eastAsia="宋体"/>
          <w:b w:val="0"/>
          <w:sz w:val="21"/>
        </w:rPr>
        <w:t xml:space="preserve">、季节项 </w:t>
      </w:r>
      <w:r>
        <w:rPr>
          <w:rFonts w:ascii="Times New Roman" w:hAnsi="Times New Roman" w:eastAsia="宋体"/>
          <w:b w:val="0"/>
          <w:sz w:val="21"/>
        </w:rPr>
        <w:t>S(t)</w:t>
      </w:r>
      <w:r>
        <w:rPr>
          <w:rFonts w:ascii="Times New Roman" w:hAnsi="Times New Roman" w:eastAsia="宋体"/>
          <w:b w:val="0"/>
          <w:sz w:val="21"/>
        </w:rPr>
        <w:t xml:space="preserve"> 和随机扰动：</w:t>
      </w:r>
    </w:p>
    <w:p>
      <w:pPr>
        <w:keepLines/>
        <w:jc w:val="center"/>
      </w:pP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(t)=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(t)−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t>(t)+S(t)+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t>(t).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模型按日推进，按照附件 2 提取的当前固定维护规律生成未来维护事件，并采用题面“年平均低于 37 且维护后无法有效改善”的双条件终止准则预测寿命。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5.2 双状态退化模型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5.2.1 季节项</w:t>
      </w:r>
    </w:p>
    <w:p>
      <w:pPr/>
      <w:r>
        <w:rPr>
          <w:rFonts w:ascii="Times New Roman" w:hAnsi="Times New Roman" w:eastAsia="宋体"/>
          <w:b w:val="0"/>
          <w:sz w:val="21"/>
        </w:rPr>
        <w:t>第二问直接复用第一问拟合得到的四个谐波系数，而不是根据峰值日重新构造相位：</w:t>
      </w:r>
    </w:p>
    <w:p>
      <w:pPr>
        <w:keepLines/>
        <w:jc w:val="center"/>
      </w:pPr>
      <w:r>
        <w:rPr>
          <w:rFonts w:ascii="Cambria Math" w:hAnsi="Cambria Math" w:eastAsia="Cambria Math"/>
          <w:sz w:val="21"/>
        </w:rPr>
        <w:t>\begin{aligned}</w:t>
        <w:br/>
        <w:t>S(t)=\;&amp;a_1\sin\frac{2\pi q_t}{365.25}</w:t>
        <w:br/>
        <w:t>+b_1\cos\frac{2\pi q_t}{365.25}\\</w:t>
        <w:br/>
        <w:t>&amp;+a_2\sin\frac{4\pi q_t}{365.25}</w:t>
        <w:br/>
        <w:t>+b_2\cos\frac{4\pi q_t}{365.25},</w:t>
        <w:br/>
        <w:t>\end{aligned}</w:t>
        <w:br/>
      </w:r>
    </w:p>
    <w:p>
      <w:pPr/>
      <w:r>
        <w:rPr>
          <w:rFonts w:ascii="Times New Roman" w:hAnsi="Times New Roman" w:eastAsia="宋体"/>
          <w:b w:val="0"/>
          <w:sz w:val="21"/>
        </w:rPr>
        <w:t>其中</w:t>
      </w:r>
    </w:p>
    <w:p>
      <w:pPr>
        <w:keepLines/>
        <w:jc w:val="center"/>
      </w:pPr>
      <m:oMath>
        <m: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)=(−9.633,−11.646,2.111,−1.893).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该写法与第一问的年、半年联合季节曲线完全一致。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5.2.2 日状态推进</w:t>
      </w:r>
    </w:p>
    <w:p>
      <w:pPr>
        <w:keepLines/>
        <w:jc w:val="center"/>
      </w:pPr>
      <w:r>
        <w:rPr>
          <w:rFonts w:ascii="Cambria Math" w:hAnsi="Cambria Math" w:eastAsia="Cambria Math"/>
          <w:sz w:val="21"/>
        </w:rPr>
        <w:t>\begin{aligned}</w:t>
        <w:br/>
        <w:t>C_i(t+1)&amp;=C_i(t)-\alpha_i+\eta_{C,i}(t),\\</w:t>
        <w:br/>
        <w:t>F_i(t+1)&amp;=\max\{F_i(t)+\beta_i+\eta_{F,i}(t),0\},\\</w:t>
        <w:br/>
        <w:t>\varepsilon_i(t)&amp;\sim\mathcal N(0,\sigma_i^2).</w:t>
        <w:br/>
        <w:t>\end{aligned}</w:t>
        <w:br/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程序中 </w:t>
      </w:r>
      <w:r>
        <w:rPr>
          <w:rFonts w:ascii="Times New Roman" w:hAnsi="Times New Roman" w:eastAsia="宋体"/>
          <w:b w:val="0"/>
          <w:sz w:val="21"/>
        </w:rPr>
        <w:t>\eta_C</w:t>
      </w:r>
      <w:r>
        <w:rPr>
          <w:rFonts w:ascii="Times New Roman" w:hAnsi="Times New Roman" w:eastAsia="宋体"/>
          <w:b w:val="0"/>
          <w:sz w:val="21"/>
        </w:rPr>
        <w:t xml:space="preserve"> 和 </w:t>
      </w:r>
      <w:r>
        <w:rPr>
          <w:rFonts w:ascii="Times New Roman" w:hAnsi="Times New Roman" w:eastAsia="宋体"/>
          <w:b w:val="0"/>
          <w:sz w:val="21"/>
        </w:rPr>
        <w:t>\eta_F</w:t>
      </w:r>
      <w:r>
        <w:rPr>
          <w:rFonts w:ascii="Times New Roman" w:hAnsi="Times New Roman" w:eastAsia="宋体"/>
          <w:b w:val="0"/>
          <w:sz w:val="21"/>
        </w:rPr>
        <w:t xml:space="preserve"> 的标准差分别设为 </w:t>
      </w:r>
      <w:r>
        <w:rPr>
          <w:rFonts w:ascii="Times New Roman" w:hAnsi="Times New Roman" w:eastAsia="宋体"/>
          <w:b w:val="0"/>
          <w:sz w:val="21"/>
        </w:rPr>
        <w:t>0.5\max(\alpha_i,0.001)</w:t>
      </w:r>
      <w:r>
        <w:rPr>
          <w:rFonts w:ascii="Times New Roman" w:hAnsi="Times New Roman" w:eastAsia="宋体"/>
          <w:b w:val="0"/>
          <w:sz w:val="21"/>
        </w:rPr>
        <w:t xml:space="preserve"> 和 </w:t>
      </w:r>
      <w:r>
        <w:rPr>
          <w:rFonts w:ascii="Times New Roman" w:hAnsi="Times New Roman" w:eastAsia="宋体"/>
          <w:b w:val="0"/>
          <w:sz w:val="21"/>
        </w:rPr>
        <w:t>0.3\beta_i</w:t>
      </w:r>
      <w:r>
        <w:rPr>
          <w:rFonts w:ascii="Times New Roman" w:hAnsi="Times New Roman" w:eastAsia="宋体"/>
          <w:b w:val="0"/>
          <w:sz w:val="21"/>
        </w:rPr>
        <w:t xml:space="preserve">。小维护没有日期记录，且成本可忽略，因此其平均作用已包含在历史周期净下降率 </w:t>
      </w:r>
      <w:r>
        <w:rPr>
          <w:rFonts w:ascii="Times New Roman" w:hAnsi="Times New Roman" w:eastAsia="宋体"/>
          <w:b w:val="0"/>
          <w:sz w:val="21"/>
        </w:rPr>
        <w:t>\beta_i</w:t>
      </w:r>
      <w:r>
        <w:rPr>
          <w:rFonts w:ascii="Times New Roman" w:hAnsi="Times New Roman" w:eastAsia="宋体"/>
          <w:b w:val="0"/>
          <w:sz w:val="21"/>
        </w:rPr>
        <w:t xml:space="preserve"> 中；第三问和第四问保持相同的小维护背景口径。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5.2.3 维护状态更新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第一问的 </w:t>
      </w:r>
      <w:r>
        <w:rPr>
          <w:rFonts w:ascii="Times New Roman" w:hAnsi="Times New Roman" w:eastAsia="宋体"/>
          <w:b w:val="0"/>
          <w:sz w:val="21"/>
        </w:rPr>
        <w:t>MG</w:t>
      </w:r>
      <w:r>
        <w:rPr>
          <w:rFonts w:ascii="Times New Roman" w:hAnsi="Times New Roman" w:eastAsia="宋体"/>
          <w:b w:val="0"/>
          <w:sz w:val="21"/>
        </w:rPr>
        <w:t xml:space="preserve"> 是维护后 1—3 日相对无维护反事实轨迹的恢复量，因而在维护发生时直接用于清除可逆堵塞：</w:t>
      </w:r>
    </w:p>
    <w:p>
      <w:pPr>
        <w:keepLines/>
        <w:jc w:val="center"/>
      </w:pPr>
      <w:r>
        <w:rPr>
          <w:rFonts w:ascii="Cambria Math" w:hAnsi="Cambria Math" w:eastAsia="Cambria Math"/>
          <w:sz w:val="21"/>
        </w:rPr>
        <w:t>\begin{aligned}</w:t>
        <w:br/>
        <w:t>F_i(t^+)&amp;=\max\{F_i(t^-)-MG_i^{(m)},0\},\\</w:t>
        <w:br/>
        <w:t>C_i(t^+)&amp;=C_i(t^-)-\delta_i^{(m)},</w:t>
        <w:br/>
        <w:t>\end{aligned}</w:t>
        <w:br/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其中 </w:t>
      </w:r>
      <w:r>
        <w:rPr>
          <w:rFonts w:ascii="Times New Roman" w:hAnsi="Times New Roman" w:eastAsia="宋体"/>
          <w:b w:val="0"/>
          <w:sz w:val="21"/>
        </w:rPr>
        <w:t>m\in\{\text{中维护},\text{大维护}\}</w:t>
      </w:r>
      <w:r>
        <w:rPr>
          <w:rFonts w:ascii="Times New Roman" w:hAnsi="Times New Roman" w:eastAsia="宋体"/>
          <w:b w:val="0"/>
          <w:sz w:val="21"/>
        </w:rPr>
        <w:t xml:space="preserve">。第一问的 </w:t>
      </w:r>
      <w:r>
        <w:rPr>
          <w:rFonts w:ascii="Times New Roman" w:hAnsi="Times New Roman" w:eastAsia="宋体"/>
          <w:b w:val="0"/>
          <w:sz w:val="21"/>
        </w:rPr>
        <w:t>MP30</w:t>
      </w:r>
      <w:r>
        <w:rPr>
          <w:rFonts w:ascii="Times New Roman" w:hAnsi="Times New Roman" w:eastAsia="宋体"/>
          <w:b w:val="0"/>
          <w:sz w:val="21"/>
        </w:rPr>
        <w:t xml:space="preserve"> 不再乘到瞬时恢复量上，因为它描述第 30 日保持程度，并不是瞬时清除系数。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题面指出维护也会破坏过滤器性能，但仅凭两年观测无法把自然老化与逐次维护损伤完全识别。为使模型能用于第三问改变维护频率，基准情景将历史上包络年衰减 </w:t>
      </w:r>
      <w:r>
        <w:rPr>
          <w:rFonts w:ascii="Times New Roman" w:hAnsi="Times New Roman" w:eastAsia="宋体"/>
          <w:b w:val="0"/>
          <w:sz w:val="21"/>
        </w:rPr>
        <w:t>ED_i</w:t>
      </w:r>
      <w:r>
        <w:rPr>
          <w:rFonts w:ascii="Times New Roman" w:hAnsi="Times New Roman" w:eastAsia="宋体"/>
          <w:b w:val="0"/>
          <w:sz w:val="21"/>
        </w:rPr>
        <w:t xml:space="preserve"> 的 20% 分配给维护损伤，并假设一次大维护的损伤为一次中维护的 3 倍：</w:t>
      </w:r>
    </w:p>
    <w:p>
      <w:pPr>
        <w:keepLines/>
        <w:jc w:val="center"/>
      </w:pPr>
      <w:r>
        <w:rPr>
          <w:rFonts w:ascii="Cambria Math" w:hAnsi="Cambria Math" w:eastAsia="Cambria Math"/>
          <w:sz w:val="21"/>
        </w:rPr>
        <w:t>\begin{aligned}</w:t>
        <w:br/>
        <w:t>365.25\alpha_i</w:t>
        <w:br/>
        <w:t>+n_{i,\mathrm{med}}\delta_{i,\mathrm{med}}</w:t>
        <w:br/>
        <w:t>+n_{i,\mathrm{maj}}\delta_{i,\mathrm{maj}}</w:t>
        <w:br/>
        <w:t>&amp;=ED_i,\\</w:t>
        <w:br/>
        <w:t>\delta_{i,\mathrm{maj}}&amp;=3\delta_{i,\mathrm{med}}.</w:t>
        <w:br/>
        <w:t>\end{aligned}</w:t>
        <w:br/>
      </w:r>
    </w:p>
    <w:p>
      <w:pPr/>
      <w:r>
        <w:rPr>
          <w:rFonts w:ascii="Times New Roman" w:hAnsi="Times New Roman" w:eastAsia="宋体"/>
          <w:b w:val="0"/>
          <w:sz w:val="21"/>
        </w:rPr>
        <w:t>20% 是透明的结构情景，而非可由当前数据唯一识别的事实。第三问应对 0%、20% 和 40% 损伤占比做稳健性比较；第四问的价格敏感性应在这些模型情景下复核。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5.3 参数估计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自然老化率由正则化后的 </w:t>
      </w:r>
      <w:r>
        <w:rPr>
          <w:rFonts w:ascii="Times New Roman" w:hAnsi="Times New Roman" w:eastAsia="宋体"/>
          <w:b w:val="0"/>
          <w:sz w:val="21"/>
        </w:rPr>
        <w:t>ED_i</w:t>
      </w:r>
      <w:r>
        <w:rPr>
          <w:rFonts w:ascii="Times New Roman" w:hAnsi="Times New Roman" w:eastAsia="宋体"/>
          <w:b w:val="0"/>
          <w:sz w:val="21"/>
        </w:rPr>
        <w:t xml:space="preserve"> 扣除基准维护损伤份额后得到；堵塞增长率按</w:t>
      </w:r>
    </w:p>
    <w:p>
      <w:pPr>
        <w:keepLines/>
        <w:jc w:val="center"/>
      </w:pPr>
      <m:oMath>
        <m:sSub>
          <m:e>
            <m:r>
              <m:t>β</m:t>
            </m:r>
          </m:e>
          <m:sub>
            <m:r>
              <m:t>i</m:t>
            </m:r>
          </m:sub>
        </m:sSub>
        <m:r>
          <m:t>=max{D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t>,0.01}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计算。维护恢复量取设备级事件中位数；A4、A8 没有大维护记录，其大维护恢复量采用其余设备总体中位数。过程噪声取第一问完整模型的设备级残差标准差。</w:t>
      </w:r>
    </w:p>
    <w:p>
      <w:pPr>
        <w:pStyle w:val="CaptionCN"/>
        <w:keepNext/>
      </w:pPr>
      <w:r>
        <w:rPr>
          <w:rFonts w:ascii="Times New Roman" w:hAnsi="Times New Roman" w:eastAsia="宋体"/>
          <w:b/>
          <w:sz w:val="21"/>
        </w:rPr>
        <w:t>表 5  双状态模型主要参数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\alpha_i</w:t>
            </w:r>
            <w:r>
              <w:rPr>
                <w:rFonts w:ascii="Times New Roman" w:hAnsi="Times New Roman" w:eastAsia="宋体"/>
                <w:b/>
                <w:sz w:val="21"/>
              </w:rPr>
              <w:t>/日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\beta_i</w:t>
            </w:r>
            <w:r>
              <w:rPr>
                <w:rFonts w:ascii="Times New Roman" w:hAnsi="Times New Roman" w:eastAsia="宋体"/>
                <w:b/>
                <w:sz w:val="21"/>
              </w:rPr>
              <w:t>/日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中维护恢复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大维护恢复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中维护损伤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大维护损伤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\sigma_i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0.0315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0.3580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23.7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12.1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0.36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1.09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9.8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0.0315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0.3301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18.2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19.1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0.97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6.8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0.0191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0.3202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22.9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15.5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0.21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6.8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A4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0.0315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0.3000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24.8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16.7*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1.34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11.8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0.0547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0.3182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18.6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0.67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2.01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11.2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A6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0.0315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0.3560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26.8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25.1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0.36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1.09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A7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0.0257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18.2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25.0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0.28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0.83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9.8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A8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0.0606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0.3188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16.2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16.7*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2.58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6.4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A9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0.0102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0.3207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19.2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17.9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0.11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0.33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6.2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0.0929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0.3003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20.4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14.1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2.70</w:t>
            </w:r>
          </w:p>
        </w:tc>
        <w:tc>
          <w:tcPr>
            <w:tcW w:type="dxa" w:w="11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6.7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*</w:t>
      </w:r>
      <w:r>
        <w:rPr>
          <w:rFonts w:ascii="Times New Roman" w:hAnsi="Times New Roman" w:eastAsia="宋体"/>
          <w:b w:val="0"/>
          <w:sz w:val="21"/>
        </w:rPr>
        <w:t xml:space="preserve"> 跨设备共享估计。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34069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参数对比热力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4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11  各设备退化参数对比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5.4 当前固定维护规律</w:t>
      </w:r>
    </w:p>
    <w:p>
      <w:pPr/>
      <w:r>
        <w:rPr>
          <w:rFonts w:ascii="Times New Roman" w:hAnsi="Times New Roman" w:eastAsia="宋体"/>
          <w:b w:val="0"/>
          <w:sz w:val="21"/>
        </w:rPr>
        <w:t>附件 2 共含 127 次维护，其中中维护 110 次、大维护 17 次。程序按“上一记录维护到下一记录维护”的事件间隔分别估计下一事件为中维护或大维护时的间隔，避免把约 50—65 日的事件间隔误称为两次大维护之间的间隔。未来排程从 2026-04-10 的真实状态继续：首个间隔扣除距最近一次维护已经过去的天数，并继承距最近大维护后的中维护计数。</w:t>
      </w:r>
    </w:p>
    <w:p>
      <w:pPr/>
      <w:r>
        <w:rPr>
          <w:rFonts w:ascii="Times New Roman" w:hAnsi="Times New Roman" w:eastAsia="宋体"/>
          <w:b w:val="0"/>
          <w:sz w:val="21"/>
        </w:rPr>
        <w:t>设备级中维护事件间隔约为 54—60 日。存在大维护记录的设备通常在 2—8 次中维护后插入一次大维护；A4、A8 没有大维护记录，采用总体典型的“4 次中维护后进行大维护”和总体大维护事件间隔。该插补必须在第三问中作为不确定情景单独检查。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26338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维护间隔分布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3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12  各设备维护事件间隔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5.5 寿命终止准则</w:t>
      </w:r>
    </w:p>
    <w:p>
      <w:pPr/>
      <w:r>
        <w:rPr>
          <w:rFonts w:ascii="Times New Roman" w:hAnsi="Times New Roman" w:eastAsia="宋体"/>
          <w:b w:val="0"/>
          <w:sz w:val="21"/>
        </w:rPr>
        <w:t>条件一为 365 个连续日历日的平均透水率低于 37：</w:t>
      </w:r>
    </w:p>
    <w:p>
      <w:pPr>
        <w:keepLines/>
        <w:jc w:val="center"/>
      </w:pPr>
      <m:oMath>
        <m:sSub>
          <m:e>
            <m:acc>
              <m:accPr>
                <m:chr m:val="―"/>
              </m:accPr>
              <m:e>
                <m:r>
                  <m:t>P</m:t>
                </m:r>
              </m:e>
            </m:acc>
          </m:e>
          <m:sub>
            <m:r>
              <m:t>i,365</m:t>
            </m:r>
          </m:sub>
        </m:sSub>
        <m:r>
          <m:t>(t)=</m:t>
        </m:r>
        <m:f>
          <m:fPr>
            <m:type m:val="bar"/>
          </m:fPr>
          <m:num>
            <m:r>
              <m:t>1</m:t>
            </m:r>
          </m:num>
          <m:den>
            <m:r>
              <m:t>365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k=0</m:t>
            </m:r>
          </m:sub>
          <m:sup>
            <m:r>
              <m:t>364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t>(t−k)&lt;37.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满足条件一时，在当前状态上实施一次假设大维护，并按式（18）继续无噪声推进 30 日。若</w:t>
      </w:r>
    </w:p>
    <w:p>
      <w:pPr>
        <w:keepLines/>
        <w:jc w:val="center"/>
      </w:pPr>
      <m:oMath>
        <m:sSubSup>
          <m:e>
            <m:limUpp>
              <m:e>
                <m:acc>
                  <m:accPr>
                    <m:chr m:val="―"/>
                  </m:accPr>
                  <m:e>
                    <m:r>
                      <m:t>P</m:t>
                    </m:r>
                  </m:e>
                </m:acc>
              </m:e>
              <m:lim>
                <m:r>
                  <m:t>^</m:t>
                </m:r>
              </m:lim>
            </m:limUpp>
          </m:e>
          <m:sub>
            <m:r>
              <m:t>i,30</m:t>
            </m:r>
          </m:sub>
          <m:sup>
            <m:r>
              <m:rPr>
                <m:sty m:val="p"/>
              </m:rPr>
              <m:t>大维护后</m:t>
            </m:r>
          </m:sup>
        </m:sSubSup>
        <m:r>
          <m:t>(t)&lt;37,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则认为即使大维护也不能有效恢复，寿命终止。这里计算的确实是维护后 30 日平均，而不是维护瞬间的单日值。</w:t>
      </w:r>
    </w:p>
    <w:p>
      <w:pPr/>
      <w:r>
        <w:rPr>
          <w:rFonts w:ascii="Times New Roman" w:hAnsi="Times New Roman" w:eastAsia="宋体"/>
          <w:b w:val="0"/>
          <w:sz w:val="21"/>
        </w:rPr>
        <w:t>历史截至 2026-04-10 的 365 日平均透水率均高于 37，因此 10 台设备当前均未终止。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5.6 蒙特卡洛预测</w:t>
      </w:r>
    </w:p>
    <w:p>
      <w:pPr/>
      <w:r>
        <w:rPr>
          <w:rFonts w:ascii="Times New Roman" w:hAnsi="Times New Roman" w:eastAsia="宋体"/>
          <w:b w:val="0"/>
          <w:sz w:val="21"/>
        </w:rPr>
        <w:t>仿真从 2026-04-10 开始，每台设备运行 1000 次。每次运行对自然老化率和维护损伤施加相关乘性扰动，对堵塞率及维护恢复量分别施加乘性扰动。最长随访 25 年；未达到寿命终点的运行按右删失处理，并使用 Kaplan–Meier 寿命分位数。此次全量结果的 10 000 条轨迹均在 25 年内观察到寿命终点，右删失率为 0。</w:t>
      </w:r>
    </w:p>
    <w:p>
      <w:pPr>
        <w:pStyle w:val="CaptionCN"/>
        <w:keepNext/>
      </w:pPr>
      <w:r>
        <w:rPr>
          <w:rFonts w:ascii="Times New Roman" w:hAnsi="Times New Roman" w:eastAsia="宋体"/>
          <w:b/>
          <w:sz w:val="21"/>
        </w:rPr>
        <w:t>表 6  当前固定维护规律下的剩余寿命预测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中位寿命/年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95%预测区间/年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中位终止日期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中维护次数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大维护次数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3.49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1.30—6.50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2029-10-04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1.30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0.63—2.46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2027-07-27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4.91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1.44—7.66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2031-03-09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5.31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2.71—7.64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2031-08-01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0.74—1.62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2027-04-12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3.49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1.51—5.04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2029-10-07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2.61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1.04—4.00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2028-11-17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1.14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0.76—1.78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2027-06-02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7.06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1.24—12.55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2033-05-02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40.5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0.59—0.95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2027-01-04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A9 的中位剩余寿命最长，但区间也最宽；A10、A5、A8 和 A2 属于近期高风险设备。寿命排序主要受不可逆上包络衰减、当前状态和维护恢复量共同影响，不能仅按当前单日透水率排序。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5.7 无时间泄漏回测</w:t>
      </w:r>
    </w:p>
    <w:p>
      <w:pPr/>
      <w:r>
        <w:rPr>
          <w:rFonts w:ascii="Times New Roman" w:hAnsi="Times New Roman" w:eastAsia="宋体"/>
          <w:b w:val="0"/>
          <w:sz w:val="21"/>
        </w:rPr>
        <w:t>以 2025-04-10 为切分点，只使用此前数据重新估计全部季节、退化和维护参数，再使用验证期的真实维护日期预测 2025-04-10 至 2026-04-10。该过程避免了原方案用验证期数据估计参数的时间泄漏。</w:t>
      </w:r>
    </w:p>
    <w:p>
      <w:pPr>
        <w:pStyle w:val="CaptionCN"/>
        <w:keepNext/>
      </w:pPr>
      <w:r>
        <w:rPr>
          <w:rFonts w:ascii="Times New Roman" w:hAnsi="Times New Roman" w:eastAsia="宋体"/>
          <w:b/>
          <w:sz w:val="21"/>
        </w:rPr>
        <w:t>表 7  一年期训练外回测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偏差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90%区间覆盖率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12.90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-4.74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0.326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5.22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2.56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0.870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8.89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7.68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0.587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A4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8.46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0.36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0.843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A5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27.42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-27.41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0.025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A6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27.52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27.52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0.057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A7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7.38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-0.90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0.905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A8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5.93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-1.57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0.815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A9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11.24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8.41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0.513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4.14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2.20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0.961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回测显示 A2、A4、A7、A8、A10 的一年期轨迹具有一定预测能力，但 A5、A6 存在明显结构变化，A1、A3、A9 也存在较大误差。因此表 6 应解释为“在当前双状态结构、固定维护规律和参数扰动假设下的条件预测”，而不是高精度确定性寿命。第三问不能只优化表 6 的点估计，必须同时检查不同参数样本、维护损伤占比和 A4/A8 大维护插补情景。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5.8 第三问和第四问接口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动态函数 </w:t>
      </w:r>
      <w:r>
        <w:rPr>
          <w:rFonts w:ascii="Times New Roman" w:hAnsi="Times New Roman" w:eastAsia="宋体"/>
          <w:b w:val="0"/>
          <w:sz w:val="21"/>
        </w:rPr>
        <w:t>simulate_one_device()</w:t>
      </w:r>
      <w:r>
        <w:rPr>
          <w:rFonts w:ascii="Times New Roman" w:hAnsi="Times New Roman" w:eastAsia="宋体"/>
          <w:b w:val="0"/>
          <w:sz w:val="21"/>
        </w:rPr>
        <w:t xml:space="preserve"> 已实际支持：</w:t>
      </w:r>
    </w:p>
    <w:p>
      <w:pPr/>
      <w:r>
        <w:rPr>
          <w:rFonts w:ascii="Times New Roman" w:hAnsi="Times New Roman" w:eastAsia="宋体"/>
          <w:b w:val="0"/>
          <w:sz w:val="21"/>
        </w:rPr>
        <w:t>- 中维护事件间隔、波动和大维护插入规则；</w:t>
      </w:r>
    </w:p>
    <w:p>
      <w:pPr/>
      <w:r>
        <w:rPr>
          <w:rFonts w:ascii="Times New Roman" w:hAnsi="Times New Roman" w:eastAsia="宋体"/>
          <w:b w:val="0"/>
          <w:sz w:val="21"/>
        </w:rPr>
        <w:t>- 当前周期已运行天数及距最近大维护的中维护次数；</w:t>
      </w:r>
    </w:p>
    <w:p>
      <w:pPr/>
      <w:r>
        <w:rPr>
          <w:rFonts w:ascii="Times New Roman" w:hAnsi="Times New Roman" w:eastAsia="宋体"/>
          <w:b w:val="0"/>
          <w:sz w:val="21"/>
        </w:rPr>
        <w:t>- 中、大维护恢复量和逐次性能损伤；</w:t>
      </w:r>
    </w:p>
    <w:p>
      <w:pPr/>
      <w:r>
        <w:rPr>
          <w:rFonts w:ascii="Times New Roman" w:hAnsi="Times New Roman" w:eastAsia="宋体"/>
          <w:b w:val="0"/>
          <w:sz w:val="21"/>
        </w:rPr>
        <w:t>- 寿命阈值、维护后恢复窗口和最长随访；</w:t>
      </w:r>
    </w:p>
    <w:p>
      <w:pPr/>
      <w:r>
        <w:rPr>
          <w:rFonts w:ascii="Times New Roman" w:hAnsi="Times New Roman" w:eastAsia="宋体"/>
          <w:b w:val="0"/>
          <w:sz w:val="21"/>
        </w:rPr>
        <w:t>- 设备购置成本、中维护成本和大维护成本。</w:t>
      </w:r>
    </w:p>
    <w:p>
      <w:pPr/>
      <w:r>
        <w:rPr>
          <w:rFonts w:ascii="Times New Roman" w:hAnsi="Times New Roman" w:eastAsia="宋体"/>
          <w:b w:val="0"/>
          <w:sz w:val="21"/>
        </w:rPr>
        <w:t>单次运行输出寿命或右删失状态、中/大维护次数、全周期平均透水率、最终 365 日均值、维护后 30 日恢复值、总成本和年均成本。</w:t>
      </w:r>
      <w:r>
        <w:rPr>
          <w:rFonts w:ascii="Times New Roman" w:hAnsi="Times New Roman" w:eastAsia="宋体"/>
          <w:b w:val="0"/>
          <w:sz w:val="21"/>
        </w:rPr>
        <w:t>monte_carlo_simulate()</w:t>
      </w:r>
      <w:r>
        <w:rPr>
          <w:rFonts w:ascii="Times New Roman" w:hAnsi="Times New Roman" w:eastAsia="宋体"/>
          <w:b w:val="0"/>
          <w:sz w:val="21"/>
        </w:rPr>
        <w:t xml:space="preserve"> 可在任意候选维护方案下返回寿命与成本分布，因而可直接作为第三问目标函数，并由第四问循环改变价格参数。</w:t>
      </w:r>
    </w:p>
    <w:p>
      <w:pPr/>
      <w:r>
        <w:rPr>
          <w:rFonts w:ascii="Times New Roman" w:hAnsi="Times New Roman" w:eastAsia="宋体"/>
          <w:b w:val="0"/>
          <w:sz w:val="21"/>
        </w:rPr>
        <w:t>进入第三问时应采用以下约束：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1. 对每个候选策略使用共同随机数，降低方案比较噪声；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2. 对 A4/A8 大维护规律、维护损伤占比和关键退化参数做情景鲁棒优化；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3. 若存在右删失，不得把最长随访当作真实寿命；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4. 年均成本比较必须同时报告透水率约束违约概率；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5. A5/A6 的结果应给予更高不确定性权重，并单独做保守方案。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5.9 本问结论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1. 建立了由不可逆性能状态和可逆堵塞状态组成的日尺度寿命模型，并精确复用第一问四个季节谐波系数。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2. 正确实现“365日平均低于37且大维护后30日平均仍低于37”的双条件终止规则。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3. 当前固定维护下，A9 的剩余寿命中位数最长，为 7.06 年；A10 最短，为 0.74 年。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4. 1000次蒙特卡洛结果显式处理右删失，本次全量仿真未出现25年右删失。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5. 训练期限定回测揭示 A5/A6 等设备存在显著结构不确定性，因此后续维护优化必须采用情景和风险约束，不能仅优化点估计。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6. 仿真器已经输出寿命、维护次数、透水率和年均成本，可进入第三问维护策略优化及第四问成本敏感性分析。</w:t>
      </w: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>6 第三问：年均成本最小的维护策略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6.1 问题重述</w:t>
      </w:r>
    </w:p>
    <w:p>
      <w:pPr/>
      <w:r>
        <w:rPr>
          <w:rFonts w:ascii="Times New Roman" w:hAnsi="Times New Roman" w:eastAsia="宋体"/>
          <w:b w:val="0"/>
          <w:sz w:val="21"/>
        </w:rPr>
        <w:t>第二问给出了过滤器在指定维护规则下的随机退化与寿命仿真器。第三问需要在不改变该物理模型和寿命判据的前提下，决定何时实施中维护、何时实施大维护以及何时进入设备更换，从而使 10 台并联过滤器的长期年均成本最小。</w:t>
      </w:r>
    </w:p>
    <w:p>
      <w:pPr/>
      <w:r>
        <w:rPr>
          <w:rFonts w:ascii="Times New Roman" w:hAnsi="Times New Roman" w:eastAsia="宋体"/>
          <w:b w:val="0"/>
          <w:sz w:val="21"/>
        </w:rPr>
        <w:t>购置、中维护和大维护费用分别为 300 万元、3 万元和 12 万元。小维护成本可忽略，其平均作用已包含在第二问估计的周期净堵塞率中。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6.2 长期年均成本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设策略 </w:t>
      </w:r>
      <w:r>
        <w:rPr>
          <w:rFonts w:ascii="Times New Roman" w:hAnsi="Times New Roman" w:eastAsia="宋体"/>
          <w:b w:val="0"/>
          <w:sz w:val="21"/>
        </w:rPr>
        <w:t>\pi</w:t>
      </w:r>
      <w:r>
        <w:rPr>
          <w:rFonts w:ascii="Times New Roman" w:hAnsi="Times New Roman" w:eastAsia="宋体"/>
          <w:b w:val="0"/>
          <w:sz w:val="21"/>
        </w:rPr>
        <w:t xml:space="preserve"> 下第 </w:t>
      </w:r>
      <w:r>
        <w:rPr>
          <w:rFonts w:ascii="Times New Roman" w:hAnsi="Times New Roman" w:eastAsia="宋体"/>
          <w:b w:val="0"/>
          <w:sz w:val="21"/>
        </w:rPr>
        <w:t>r</w:t>
      </w:r>
      <w:r>
        <w:rPr>
          <w:rFonts w:ascii="Times New Roman" w:hAnsi="Times New Roman" w:eastAsia="宋体"/>
          <w:b w:val="0"/>
          <w:sz w:val="21"/>
        </w:rPr>
        <w:t xml:space="preserve"> 条蒙特卡洛轨迹的剩余寿命为 </w:t>
      </w:r>
      <w:r>
        <w:rPr>
          <w:rFonts w:ascii="Times New Roman" w:hAnsi="Times New Roman" w:eastAsia="宋体"/>
          <w:b w:val="0"/>
          <w:sz w:val="21"/>
        </w:rPr>
        <w:t>T_{ir}^{\pi}</w:t>
      </w:r>
      <w:r>
        <w:rPr>
          <w:rFonts w:ascii="Times New Roman" w:hAnsi="Times New Roman" w:eastAsia="宋体"/>
          <w:b w:val="0"/>
          <w:sz w:val="21"/>
        </w:rPr>
        <w:t xml:space="preserve">，中维护和大维护次数分别为 </w:t>
      </w:r>
      <w:r>
        <w:rPr>
          <w:rFonts w:ascii="Times New Roman" w:hAnsi="Times New Roman" w:eastAsia="宋体"/>
          <w:b w:val="0"/>
          <w:sz w:val="21"/>
        </w:rPr>
        <w:t>N_{M,ir}^{\pi}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Times New Roman" w:hAnsi="Times New Roman" w:eastAsia="宋体"/>
          <w:b w:val="0"/>
          <w:sz w:val="21"/>
        </w:rPr>
        <w:t>N_{L,ir}^{\pi}</w:t>
      </w:r>
      <w:r>
        <w:rPr>
          <w:rFonts w:ascii="Times New Roman" w:hAnsi="Times New Roman" w:eastAsia="宋体"/>
          <w:b w:val="0"/>
          <w:sz w:val="21"/>
        </w:rPr>
        <w:t>，则单个更新周期成本为</w:t>
      </w:r>
    </w:p>
    <w:p>
      <w:pPr>
        <w:keepLines/>
        <w:jc w:val="center"/>
      </w:pPr>
      <m:oMath>
        <m:sSubSup>
          <m:e>
            <m:r>
              <m:t>C</m:t>
            </m:r>
          </m:e>
          <m:sub>
            <m:r>
              <m:t>ir</m:t>
            </m:r>
          </m:sub>
          <m:sup>
            <m:r>
              <m:t>π</m:t>
            </m:r>
          </m:sup>
        </m:sSubSup>
        <m:r>
          <m:t>=300+3</m:t>
        </m:r>
        <m:sSubSup>
          <m:e>
            <m:r>
              <m:t>N</m:t>
            </m:r>
          </m:e>
          <m:sub>
            <m:r>
              <m:t>M,ir</m:t>
            </m:r>
          </m:sub>
          <m:sup>
            <m:r>
              <m:t>π</m:t>
            </m:r>
          </m:sup>
        </m:sSubSup>
        <m:r>
          <m:t>+12</m:t>
        </m:r>
        <m:sSubSup>
          <m:e>
            <m:r>
              <m:t>N</m:t>
            </m:r>
          </m:e>
          <m:sub>
            <m:r>
              <m:t>L,ir</m:t>
            </m:r>
          </m:sub>
          <m:sup>
            <m:r>
              <m:t>π</m:t>
            </m:r>
          </m:sup>
        </m:sSubSup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 xml:space="preserve">按照更新报酬定理，设备 </w:t>
      </w:r>
      <w:r>
        <w:rPr>
          <w:rFonts w:ascii="Times New Roman" w:hAnsi="Times New Roman" w:eastAsia="宋体"/>
          <w:b w:val="0"/>
          <w:sz w:val="21"/>
        </w:rPr>
        <w:t>i</w:t>
      </w:r>
      <w:r>
        <w:rPr>
          <w:rFonts w:ascii="Times New Roman" w:hAnsi="Times New Roman" w:eastAsia="宋体"/>
          <w:b w:val="0"/>
          <w:sz w:val="21"/>
        </w:rPr>
        <w:t xml:space="preserve"> 的长期年均成本估计为</w:t>
      </w:r>
    </w:p>
    <w:p>
      <w:pPr>
        <w:keepLines/>
        <w:jc w:val="center"/>
      </w:pPr>
      <m:oMath>
        <m:sSub>
          <m:e>
            <m:limUpp>
              <m:e>
                <m:r>
                  <m:t>J</m:t>
                </m:r>
              </m:e>
              <m:lim>
                <m:r>
                  <m:t>^</m:t>
                </m:r>
              </m:lim>
            </m:limUpp>
          </m:e>
          <m:sub>
            <m:r>
              <m:t>i</m:t>
            </m:r>
          </m:sub>
        </m:sSub>
        <m:r>
          <m:t>(π)=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r=1</m:t>
                </m:r>
              </m:sub>
              <m:sup>
                <m:r>
                  <m:t>R</m:t>
                </m:r>
              </m:sup>
              <m:e>
                <m:sSubSup>
                  <m:e>
                    <m:r>
                      <m:t>C</m:t>
                    </m:r>
                  </m:e>
                  <m:sub>
                    <m:r>
                      <m:t>ir</m:t>
                    </m:r>
                  </m:sub>
                  <m:sup>
                    <m:r>
                      <m:t>π</m:t>
                    </m:r>
                  </m:sup>
                </m:sSubSup>
              </m:e>
            </m:nary>
          </m:num>
          <m:den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r=1</m:t>
                </m:r>
              </m:sub>
              <m:sup>
                <m:r>
                  <m:t>R</m:t>
                </m:r>
              </m:sup>
              <m:e>
                <m:sSubSup>
                  <m:e>
                    <m:r>
                      <m:t>T</m:t>
                    </m:r>
                  </m:e>
                  <m:sub>
                    <m:r>
                      <m:t>ir</m:t>
                    </m:r>
                  </m:sub>
                  <m:sup>
                    <m:r>
                      <m:t>π</m:t>
                    </m:r>
                  </m:sup>
                </m:sSubSup>
              </m:e>
            </m:nary>
            <m:r>
              <m:t>/365.25</m:t>
            </m:r>
          </m:den>
        </m:f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工厂 10 台设备并联运行，因此目标函数为</w:t>
      </w:r>
    </w:p>
    <w:p>
      <w:pPr>
        <w:keepLines/>
        <w:jc w:val="center"/>
      </w:pPr>
      <m:oMath>
        <m:sSub>
          <m:e>
            <m:r>
              <m:t>min</m:t>
            </m:r>
          </m:e>
          <m:sub>
            <m:sSub>
              <m:e>
                <m:r>
                  <m:t>π</m:t>
                </m:r>
              </m:e>
              <m:sub>
                <m:r>
                  <m:t>1</m:t>
                </m:r>
              </m:sub>
            </m:sSub>
            <m:r>
              <m:t>,…,</m:t>
            </m:r>
            <m:sSub>
              <m:e>
                <m:r>
                  <m:t>π</m:t>
                </m:r>
              </m:e>
              <m:sub>
                <m:r>
                  <m:t>10</m:t>
                </m:r>
              </m:sub>
            </m:sSub>
          </m:sub>
        </m:sSub>
        <m:sSub>
          <m:e>
            <m:limUpp>
              <m:e>
                <m:r>
                  <m:t>J</m:t>
                </m:r>
              </m:e>
              <m:lim>
                <m:r>
                  <m:t>^</m:t>
                </m:r>
              </m:lim>
            </m:limUpp>
          </m:e>
          <m:sub>
            <m:r>
              <m:rPr>
                <m:sty m:val="p"/>
              </m:rPr>
              <m:t>factory</m:t>
            </m:r>
          </m:sub>
        </m:sSub>
        <m: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10</m:t>
            </m:r>
          </m:sup>
          <m:e>
            <m:sSub>
              <m:e>
                <m:limUpp>
                  <m:e>
                    <m:r>
                      <m:t>J</m:t>
                    </m:r>
                  </m:e>
                  <m:lim>
                    <m:r>
                      <m:t>^</m:t>
                    </m:r>
                  </m:lim>
                </m:limUpp>
              </m:e>
              <m:sub>
                <m:r>
                  <m:t>i</m:t>
                </m:r>
              </m:sub>
            </m:sSub>
          </m:e>
        </m:nary>
        <m: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t>).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式（25）采用“总成本除以总服役时间”，而不是直接平均各轨迹的成本率，可避免短寿命轨迹在简单平均中获得过高权重。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6.3 约束与寿命判据</w:t>
      </w:r>
    </w:p>
    <w:p>
      <w:pPr/>
      <w:r>
        <w:rPr>
          <w:rFonts w:ascii="Times New Roman" w:hAnsi="Times New Roman" w:eastAsia="宋体"/>
          <w:b w:val="0"/>
          <w:sz w:val="21"/>
        </w:rPr>
        <w:t>所有候选策略继续使用第二问的双条件终止规则：</w:t>
      </w:r>
    </w:p>
    <w:p>
      <w:pPr>
        <w:keepLines/>
        <w:jc w:val="center"/>
      </w:pPr>
      <m:oMath>
        <m:sSub>
          <m:e>
            <m:acc>
              <m:accPr>
                <m:chr m:val="―"/>
              </m:accPr>
              <m:e>
                <m:r>
                  <m:t>P</m:t>
                </m:r>
              </m:e>
            </m:acc>
          </m:e>
          <m:sub>
            <m:r>
              <m:t>i,365</m:t>
            </m:r>
          </m:sub>
        </m:sSub>
        <m:r>
          <m:t>(t)&lt;37</m:t>
        </m:r>
        <m:r>
          <m:rPr>
            <m:nor/>
          </m:rPr>
          <m:t>且</m:t>
        </m:r>
        <m:r>
          <m:rPr>
            <m:scr m:val="double-struck"/>
            <m:sty m:val="p"/>
          </m:rPr>
          <m:t>E</m:t>
        </m:r>
        <m:d>
          <m:dPr>
            <m:begChr m:val="["/>
            <m:sepChr m:val=""/>
            <m:endChr m:val="]"/>
          </m:dPr>
          <m:e>
            <m:sSubSup>
              <m:e>
                <m:acc>
                  <m:accPr>
                    <m:chr m:val="―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i,30</m:t>
                </m:r>
              </m:sub>
              <m:sup>
                <m:r>
                  <m:rPr>
                    <m:sty m:val="p"/>
                  </m:rPr>
                  <m:t>大维护后</m:t>
                </m:r>
              </m:sup>
            </m:sSubSup>
            <m:r>
              <m:t>(</m:t>
            </m:r>
            <m:r>
              <m:t>t</m:t>
            </m:r>
            <m:r>
              <m:t>)</m:t>
            </m:r>
          </m:e>
        </m:d>
        <m:r>
          <m:t>&lt;37.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当式（27）成立时立即更换过滤器。策略搜索不得修改阈值、365 日窗口或维护后 30 日窗口。单条轨迹最多随访 25 年，未达到终点时按右删失记录；最终基准方案中不存在右删失轨迹。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6.4 候选策略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6.4.1 固定周期策略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设固定维护间隔为 </w:t>
      </w:r>
      <w:r>
        <w:rPr>
          <w:rFonts w:ascii="Times New Roman" w:hAnsi="Times New Roman" w:eastAsia="宋体"/>
          <w:b w:val="0"/>
          <w:sz w:val="21"/>
        </w:rPr>
        <w:t>d</w:t>
      </w:r>
      <w:r>
        <w:rPr>
          <w:rFonts w:ascii="Times New Roman" w:hAnsi="Times New Roman" w:eastAsia="宋体"/>
          <w:b w:val="0"/>
          <w:sz w:val="21"/>
        </w:rPr>
        <w:t xml:space="preserve">，连续进行 </w:t>
      </w:r>
      <w:r>
        <w:rPr>
          <w:rFonts w:ascii="Times New Roman" w:hAnsi="Times New Roman" w:eastAsia="宋体"/>
          <w:b w:val="0"/>
          <w:sz w:val="21"/>
        </w:rPr>
        <w:t>k</w:t>
      </w:r>
      <w:r>
        <w:rPr>
          <w:rFonts w:ascii="Times New Roman" w:hAnsi="Times New Roman" w:eastAsia="宋体"/>
          <w:b w:val="0"/>
          <w:sz w:val="21"/>
        </w:rPr>
        <w:t xml:space="preserve"> 次中维护后以一次大维护替代下一次中维护：</w:t>
      </w:r>
    </w:p>
    <w:p>
      <w:pPr>
        <w:keepLines/>
        <w:jc w:val="center"/>
      </w:pPr>
      <m:oMath>
        <m:sSup>
          <m:e>
            <m:r>
              <m:t>π</m:t>
            </m:r>
          </m:e>
          <m:sup>
            <m:r>
              <m:rPr>
                <m:sty m:val="p"/>
              </m:rPr>
              <m:t>fix</m:t>
            </m:r>
          </m:sup>
        </m:sSup>
        <m:r>
          <m:t>=(d,k),</m:t>
        </m:r>
        <m:r>
          <m:t>d∈{45,60,75,90,120},\k∈{2,4,6}.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共形成 15 组固定周期候选。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6.4.2 透水率触发策略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以最近 7 日平均透水率 </w:t>
      </w:r>
      <w:r>
        <w:rPr>
          <w:rFonts w:ascii="Times New Roman" w:hAnsi="Times New Roman" w:eastAsia="宋体"/>
          <w:b w:val="0"/>
          <w:sz w:val="21"/>
        </w:rPr>
        <w:t>\overline P_{i,7}(t)</w:t>
      </w:r>
      <w:r>
        <w:rPr>
          <w:rFonts w:ascii="Times New Roman" w:hAnsi="Times New Roman" w:eastAsia="宋体"/>
          <w:b w:val="0"/>
          <w:sz w:val="21"/>
        </w:rPr>
        <w:t xml:space="preserve"> 为观测状态。超过最短冷却期后，若其低于大维护阈值 </w:t>
      </w:r>
      <w:r>
        <w:rPr>
          <w:rFonts w:ascii="Times New Roman" w:hAnsi="Times New Roman" w:eastAsia="宋体"/>
          <w:b w:val="0"/>
          <w:sz w:val="21"/>
        </w:rPr>
        <w:t>h_L</w:t>
      </w:r>
      <w:r>
        <w:rPr>
          <w:rFonts w:ascii="Times New Roman" w:hAnsi="Times New Roman" w:eastAsia="宋体"/>
          <w:b w:val="0"/>
          <w:sz w:val="21"/>
        </w:rPr>
        <w:t xml:space="preserve"> 则大维护；若低于中维护阈值 </w:t>
      </w:r>
      <w:r>
        <w:rPr>
          <w:rFonts w:ascii="Times New Roman" w:hAnsi="Times New Roman" w:eastAsia="宋体"/>
          <w:b w:val="0"/>
          <w:sz w:val="21"/>
        </w:rPr>
        <w:t>h_M</w:t>
      </w:r>
      <w:r>
        <w:rPr>
          <w:rFonts w:ascii="Times New Roman" w:hAnsi="Times New Roman" w:eastAsia="宋体"/>
          <w:b w:val="0"/>
          <w:sz w:val="21"/>
        </w:rPr>
        <w:t xml:space="preserve"> 则中维护：</w:t>
      </w:r>
    </w:p>
    <w:p>
      <w:pPr>
        <w:keepLines/>
        <w:jc w:val="center"/>
      </w:pPr>
      <m:oMath>
        <m:sSub>
          <m:e>
            <m:r>
              <m:t>a</m:t>
            </m:r>
          </m:e>
          <m:sub>
            <m:r>
              <m:t>i</m:t>
            </m:r>
          </m:sub>
        </m:sSub>
        <m:r>
          <m:t>(t)=</m:t>
        </m:r>
        <m:d>
          <m:dPr>
            <m:begChr m:val="{"/>
            <m:sepChr m:val=""/>
            <m:endChr m:val=""/>
          </m:dPr>
          <m:e>
            <m:m>
              <m:mPr>
                <m:baseJc m:val="center"/>
                <m:plcHide m:val="on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m:t>大维护</m:t>
                  </m:r>
                  <m:r>
                    <m:t>,</m:t>
                  </m:r>
                </m:e>
                <m:e>
                  <m:sSub>
                    <m:e>
                      <m:acc>
                        <m:accPr>
                          <m:chr m:val="―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i,7</m:t>
                      </m:r>
                    </m:sub>
                  </m:sSub>
                  <m:r>
                    <m:t>(t)≤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,</m:t>
                  </m:r>
                </m:e>
              </m:mr>
              <m:mr>
                <m:e>
                  <m:r>
                    <m:rPr>
                      <m:nor/>
                    </m:rPr>
                    <m:t>中维护</m:t>
                  </m:r>
                  <m:r>
                    <m:t>,</m:t>
                  </m:r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&lt;</m:t>
                  </m:r>
                  <m:sSub>
                    <m:e>
                      <m:acc>
                        <m:accPr>
                          <m:chr m:val="―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i,7</m:t>
                      </m:r>
                    </m:sub>
                  </m:sSub>
                  <m:r>
                    <m:t>(t)≤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,</m:t>
                  </m:r>
                </m:e>
              </m:mr>
              <m:mr>
                <m:e>
                  <m:r>
                    <m:rPr>
                      <m:nor/>
                    </m:rPr>
                    <m:t>不维护</m:t>
                  </m:r>
                  <m:r>
                    <m:t>,</m:t>
                  </m:r>
                </m:e>
                <m:e>
                  <m:sSub>
                    <m:e>
                      <m:acc>
                        <m:accPr>
                          <m:chr m:val="―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i,7</m:t>
                      </m:r>
                    </m:sub>
                  </m:sSub>
                  <m:r>
                    <m:t>(t)&gt;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.</m:t>
                  </m:r>
                </m:e>
              </m:mr>
            </m:m>
          </m:e>
        </m:d>
      </m:oMath>
    </w:p>
    <w:p>
      <w:pPr/>
      <w:r>
        <w:rPr>
          <w:rFonts w:ascii="Times New Roman" w:hAnsi="Times New Roman" w:eastAsia="宋体"/>
          <w:b w:val="0"/>
          <w:sz w:val="21"/>
        </w:rPr>
        <w:t xml:space="preserve">阈值组合取 </w:t>
      </w:r>
      <w:r>
        <w:rPr>
          <w:rFonts w:ascii="Times New Roman" w:hAnsi="Times New Roman" w:eastAsia="宋体"/>
          <w:b w:val="0"/>
          <w:sz w:val="21"/>
        </w:rPr>
        <w:t>(55,42),(65,47),(75,52)</w:t>
      </w:r>
      <w:r>
        <w:rPr>
          <w:rFonts w:ascii="Times New Roman" w:hAnsi="Times New Roman" w:eastAsia="宋体"/>
          <w:b w:val="0"/>
          <w:sz w:val="21"/>
        </w:rPr>
        <w:t>，并组合 21/35 日冷却期和 90/150 日最长维护间隔，共 12 组候选。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6.4.3 状态触发策略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第二问将透水率分解为不可逆上限 </w:t>
      </w:r>
      <w:r>
        <w:rPr>
          <w:rFonts w:ascii="Times New Roman" w:hAnsi="Times New Roman" w:eastAsia="宋体"/>
          <w:b w:val="0"/>
          <w:sz w:val="21"/>
        </w:rPr>
        <w:t>C_i(t)</w:t>
      </w:r>
      <w:r>
        <w:rPr>
          <w:rFonts w:ascii="Times New Roman" w:hAnsi="Times New Roman" w:eastAsia="宋体"/>
          <w:b w:val="0"/>
          <w:sz w:val="21"/>
        </w:rPr>
        <w:t xml:space="preserve">、可逆堵塞 </w:t>
      </w:r>
      <w:r>
        <w:rPr>
          <w:rFonts w:ascii="Times New Roman" w:hAnsi="Times New Roman" w:eastAsia="宋体"/>
          <w:b w:val="0"/>
          <w:sz w:val="21"/>
        </w:rPr>
        <w:t>F_i(t)</w:t>
      </w:r>
      <w:r>
        <w:rPr>
          <w:rFonts w:ascii="Times New Roman" w:hAnsi="Times New Roman" w:eastAsia="宋体"/>
          <w:b w:val="0"/>
          <w:sz w:val="21"/>
        </w:rPr>
        <w:t xml:space="preserve"> 和季节项。状态触发策略在</w:t>
      </w:r>
    </w:p>
    <w:p>
      <w:pPr>
        <w:keepLines/>
        <w:jc w:val="center"/>
      </w:pPr>
      <m:oMath>
        <m:sSub>
          <m:e>
            <m:r>
              <m:t>F</m:t>
            </m:r>
          </m:e>
          <m:sub>
            <m:r>
              <m:t>i</m:t>
            </m:r>
          </m:sub>
        </m:sSub>
        <m:r>
          <m:t>(t)≥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t>⋆</m:t>
            </m:r>
          </m:sup>
        </m:sSubSup>
        <m:r>
          <m:rPr>
            <m:nor/>
          </m:rPr>
          <m:t>且</m:t>
        </m:r>
        <m:r>
          <m:t>t−</m:t>
        </m:r>
        <m:sSub>
          <m:e>
            <m:r>
              <m:t>t</m:t>
            </m:r>
          </m:e>
          <m:sub>
            <m:r>
              <m:t>i,</m:t>
            </m:r>
            <m:r>
              <m:rPr>
                <m:sty m:val="p"/>
              </m:rPr>
              <m:t>last</m:t>
            </m:r>
          </m:sub>
        </m:sSub>
        <m:r>
          <m:t>≥</m:t>
        </m:r>
        <m:sSubSup>
          <m:e>
            <m:r>
              <m:t>d</m:t>
            </m:r>
          </m:e>
          <m:sub>
            <m:r>
              <m:t>i</m:t>
            </m:r>
          </m:sub>
          <m:sup>
            <m:r>
              <m:t>min</m:t>
            </m:r>
          </m:sup>
        </m:sSubSup>
      </m:oMath>
    </w:p>
    <w:p>
      <w:pPr/>
      <w:r>
        <w:rPr>
          <w:rFonts w:ascii="Times New Roman" w:hAnsi="Times New Roman" w:eastAsia="宋体"/>
          <w:b w:val="0"/>
          <w:sz w:val="21"/>
        </w:rPr>
        <w:t>时进行维护。中维护是默认动作。只有当大维护后的预测透水率至少比中维护高 1，且中维护后性能储备低于 50 或已经连续实施 4 次中维护时，才升级为大维护。堵塞阈值取 10、20、30，性能储备阈值取 50、60，冷却期取 21、35 日，共 12 组候选。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状态量 </w:t>
      </w:r>
      <w:r>
        <w:rPr>
          <w:rFonts w:ascii="Times New Roman" w:hAnsi="Times New Roman" w:eastAsia="宋体"/>
          <w:b w:val="0"/>
          <w:sz w:val="21"/>
        </w:rPr>
        <w:t>F_i(t)</w:t>
      </w:r>
      <w:r>
        <w:rPr>
          <w:rFonts w:ascii="Times New Roman" w:hAnsi="Times New Roman" w:eastAsia="宋体"/>
          <w:b w:val="0"/>
          <w:sz w:val="21"/>
        </w:rPr>
        <w:t xml:space="preserve"> 不是单日透水率，而是根据每日观测、季节项和第二问状态方程滚动更新的可恢复损失，因此能减少季节低谷和测量噪声造成的误触发。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6.5 求解方法</w:t>
      </w:r>
    </w:p>
    <w:p>
      <w:pPr/>
      <w:r>
        <w:rPr>
          <w:rFonts w:ascii="Times New Roman" w:hAnsi="Times New Roman" w:eastAsia="宋体"/>
          <w:b w:val="0"/>
          <w:sz w:val="21"/>
        </w:rPr>
        <w:t>首先对 39 组候选、10 台设备分别运行 40 次蒙特卡洛仿真，使用相同随机种子形成共同随机数，从而降低候选方案差值的抽样方差。每台设备在每类策略中选出式（25）最小的参数组合，再对入选方案运行 300 次蒙特卡洛复核。最后从固定周期、透水率触发和状态触发三类入选方案中选择设备级成本最低者。</w:t>
      </w:r>
    </w:p>
    <w:p>
      <w:pPr/>
      <w:r>
        <w:rPr>
          <w:rFonts w:ascii="Times New Roman" w:hAnsi="Times New Roman" w:eastAsia="宋体"/>
          <w:b w:val="0"/>
          <w:sz w:val="21"/>
        </w:rPr>
        <w:t>维护损伤占历史不可逆衰减的 20% 作为基准情景。0% 和 40% 情景仅用于模型稳健性检查，不参与基准最优参数的选择，避免把第四问的价格敏感性和本问的结构不确定性混为一谈。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6.6 方案比较</w:t>
      </w:r>
    </w:p>
    <w:p>
      <w:pPr/>
      <w:r>
        <w:rPr>
          <w:rFonts w:ascii="Times New Roman" w:hAnsi="Times New Roman" w:eastAsia="宋体"/>
          <w:b w:val="0"/>
          <w:sz w:val="21"/>
        </w:rPr>
        <w:t>表 8 给出 300 次复核后的全厂结果。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策略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全厂年均成本/万元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成本变化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平均剩余寿命/年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中维护/年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大维护/年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当前固定方案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1944.47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基准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3.04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49.31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13.05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优化固定周期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1672.69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-13.98%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3.64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65.45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10.84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透水率触发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2025.54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+4.17%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3.62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47.70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39.15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状态触发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1486.39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-23.56%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3.85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75.56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1.11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状态触发策略为 10 台设备分别取得最低复核成本。因此推荐方案虽允许不同策略族混合，但最终 10 台设备均选择状态触发，只是堵塞阈值和冷却期不同。其全厂长期年均成本为 1486.39 万元/年，较当前方案减少 458.08 万元/年，节约 23.56%；平均剩余寿命中位数由 3.04 年提高至 3.85 年。</w:t>
      </w:r>
    </w:p>
    <w:p>
      <w:pPr/>
      <w:r>
        <w:rPr>
          <w:rFonts w:ascii="Times New Roman" w:hAnsi="Times New Roman" w:eastAsia="宋体"/>
          <w:b w:val="0"/>
          <w:sz w:val="21"/>
        </w:rPr>
        <w:t>透水率触发策略虽然延长了寿命，却使大维护总频率上升到 39.15 次/年。原因是单一观测阈值容易把季节低谷和随机扰动解释为严重退化，导致高成本大维护误触发。因此仅凭观测透水率设阈值并不经济。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6.7 推荐规则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堵塞触发值 </w:t>
            </w:r>
            <w:r>
              <w:rPr>
                <w:rFonts w:ascii="Times New Roman" w:hAnsi="Times New Roman" w:eastAsia="宋体"/>
                <w:b/>
                <w:sz w:val="21"/>
              </w:rPr>
              <w:t>f_i^\star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冷却期 </w:t>
            </w:r>
            <w:r>
              <w:rPr>
                <w:rFonts w:ascii="Times New Roman" w:hAnsi="Times New Roman" w:eastAsia="宋体"/>
                <w:b/>
                <w:sz w:val="21"/>
              </w:rPr>
              <w:t>d_i^{\min}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规则编号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 日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S32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 日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S29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 日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S32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A4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 日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S32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A5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 日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S32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A6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 日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S32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A7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 日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S29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A8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 日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S29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A9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 日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S33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 日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S29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所有设备的维护后性能储备阈值取 50，最长维护间隔取 150 日。实际执行步骤如下：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每日根据第二问模型更新 </w:t>
      </w:r>
      <w:r>
        <w:rPr>
          <w:rFonts w:ascii="Times New Roman" w:hAnsi="Times New Roman" w:eastAsia="宋体"/>
          <w:b w:val="0"/>
          <w:sz w:val="21"/>
        </w:rPr>
        <w:t>C_i(t)</w:t>
      </w:r>
      <w:r>
        <w:rPr>
          <w:rFonts w:ascii="Times New Roman" w:hAnsi="Times New Roman" w:eastAsia="宋体"/>
          <w:b w:val="0"/>
          <w:sz w:val="21"/>
        </w:rPr>
        <w:t xml:space="preserve"> 和 </w:t>
      </w:r>
      <w:r>
        <w:rPr>
          <w:rFonts w:ascii="Times New Roman" w:hAnsi="Times New Roman" w:eastAsia="宋体"/>
          <w:b w:val="0"/>
          <w:sz w:val="21"/>
        </w:rPr>
        <w:t>F_i(t)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2. 若距上次中/大维护未达到表中冷却期，则不进行计划性中、大维护；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3. 达到冷却期且 </w:t>
      </w:r>
      <w:r>
        <w:rPr>
          <w:rFonts w:ascii="Times New Roman" w:hAnsi="Times New Roman" w:eastAsia="宋体"/>
          <w:b w:val="0"/>
          <w:sz w:val="21"/>
        </w:rPr>
        <w:t>F_i(t)\ge f_i^\star</w:t>
      </w:r>
      <w:r>
        <w:rPr>
          <w:rFonts w:ascii="Times New Roman" w:hAnsi="Times New Roman" w:eastAsia="宋体"/>
          <w:b w:val="0"/>
          <w:sz w:val="21"/>
        </w:rPr>
        <w:t xml:space="preserve"> 时，首先计算中维护后的预测透水率；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4. 大维护预测值至少比中维护高 1，且中维护后储备低于 50 或已经连续 4 次中维护时，实施大维护，否则实施中维护；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5. 无论状态如何，150 日未维护时必须进行一次状态复核并触发维护；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6. 满足式（27）时停止维护并更换设备。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6.8 设备级结果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当前成本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推荐成本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节约率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当前寿命/年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推荐寿命/年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120.25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80.15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33.35%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3.25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4.87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264.53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190.87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27.85%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1.39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1.85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92.96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69.37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25.38%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4.91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5.73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88.60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67.49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23.83%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5.17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5.72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323.24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203.29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37.11%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1.58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123.29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91.88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25.48%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3.50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3.99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143.89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120.26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16.42%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2.56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3.46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273.41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223.66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18.19%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1.19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1.53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74.56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57.05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23.49%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6.74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8.94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A10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439.74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382.38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13.04%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0.73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0.84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A10 在推荐策略下仍有 100% 的轨迹于两年内达到终点，A5 和 A8 的对应概率分别为 91.3% 和 96.0%。这三台设备的成本下降不能解释为已经消除近期更新风险：A10应立即准备更换，A5和A8应进入近期更新清单。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6.9 模型稳健性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维护损伤占比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当前方案成本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推荐方案成本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节约率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0%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1885.13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1476.89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21.66%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20%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1944.47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1486.39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23.56%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40%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2057.40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1520.92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26.08%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三个情景中推荐方案均优于当前方案，且所有轨迹均在 25 年内达到寿命终点。维护损伤越强，减少缺乏恢复优势的大维护越有价值。</w:t>
      </w:r>
    </w:p>
    <w:p>
      <w:pPr/>
      <w:r>
        <w:rPr>
          <w:rFonts w:ascii="Times New Roman" w:hAnsi="Times New Roman" w:eastAsia="宋体"/>
          <w:b w:val="0"/>
          <w:sz w:val="21"/>
        </w:rPr>
        <w:t>需要强调，A5/A6 的第二问回测误差较大，A4/A8 缺少历史大维护记录。实际运行中应按月更新状态估计和模型参数，并在获得新维护数据后重新求解。价格变化下是否仍应采用本方案不能由本问的损伤情景代替，必须在第四问中改变价格并重新优化。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6.10 本问结论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1. 当前固定方案的全厂长期年均成本约为 1944.47 万元/年。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2. 优化固定周期可节约 13.98%，但仍不能充分利用设备状态差异。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3. 仅使用透水率阈值会过度触发大维护，成本反而提高 4.17%。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4. 推荐设备级状态触发方案，年均成本降至 1486.39 万元，节约 23.56%，平均剩余寿命提高约 0.81 年。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5. 推荐方案本质上是“及时中维护、严格限制无明确增益的大维护”，而不是简单减少维护。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6. A10应立即准备更换，A5、A8应进入近期更新清单。</w:t>
      </w: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>7 第四问：价格波动下维护方案的稳健性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7.1 问题分析</w:t>
      </w:r>
    </w:p>
    <w:p>
      <w:pPr/>
      <w:r>
        <w:rPr>
          <w:rFonts w:ascii="Times New Roman" w:hAnsi="Times New Roman" w:eastAsia="宋体"/>
          <w:b w:val="0"/>
          <w:sz w:val="21"/>
        </w:rPr>
        <w:t>第三问在购置价格300万元、中维护价格3万元和大维护价格12万元下得到设备级状态触发方案。第四问需要回答价格变化后该方案是否仍可行，并识别过滤器价格上涨、维护价格上涨等情形下最优维护行为的变化。</w:t>
      </w:r>
    </w:p>
    <w:p>
      <w:pPr/>
      <w:r>
        <w:rPr>
          <w:rFonts w:ascii="Times New Roman" w:hAnsi="Times New Roman" w:eastAsia="宋体"/>
          <w:b w:val="0"/>
          <w:sz w:val="21"/>
        </w:rPr>
        <w:t>价格只出现在成本函数中，不进入第二问的状态转移方程。因此对同一维护策略，价格改变不会改变寿命、透水率和维护次数轨迹。可以先对候选策略进行高精度蒙特卡洛复核，再在每一组新价格下重新计价和选择最优策略；这与仅给第三问方案换价不同，后者不能回答价格变化后的最优性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7.2 成本分解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对设备 </w:t>
      </w:r>
      <w:r>
        <w:rPr>
          <w:rFonts w:ascii="Times New Roman" w:hAnsi="Times New Roman" w:eastAsia="宋体"/>
          <w:b w:val="0"/>
          <w:sz w:val="21"/>
        </w:rPr>
        <w:t>i</w:t>
      </w:r>
      <w:r>
        <w:rPr>
          <w:rFonts w:ascii="Times New Roman" w:hAnsi="Times New Roman" w:eastAsia="宋体"/>
          <w:b w:val="0"/>
          <w:sz w:val="21"/>
        </w:rPr>
        <w:t xml:space="preserve"> 和候选策略 </w:t>
      </w:r>
      <w:r>
        <w:rPr>
          <w:rFonts w:ascii="Times New Roman" w:hAnsi="Times New Roman" w:eastAsia="宋体"/>
          <w:b w:val="0"/>
          <w:sz w:val="21"/>
        </w:rPr>
        <w:t>\pi</w:t>
      </w:r>
      <w:r>
        <w:rPr>
          <w:rFonts w:ascii="Times New Roman" w:hAnsi="Times New Roman" w:eastAsia="宋体"/>
          <w:b w:val="0"/>
          <w:sz w:val="21"/>
        </w:rPr>
        <w:t xml:space="preserve">，设蒙特卡洛轨迹的总服役年数为 </w:t>
      </w:r>
      <w:r>
        <w:rPr>
          <w:rFonts w:ascii="Times New Roman" w:hAnsi="Times New Roman" w:eastAsia="宋体"/>
          <w:b w:val="0"/>
          <w:sz w:val="21"/>
        </w:rPr>
        <w:t>\sum_rT_{ir}^{\pi}/365.25</w:t>
      </w:r>
      <w:r>
        <w:rPr>
          <w:rFonts w:ascii="Times New Roman" w:hAnsi="Times New Roman" w:eastAsia="宋体"/>
          <w:b w:val="0"/>
          <w:sz w:val="21"/>
        </w:rPr>
        <w:t>。定义年更换率、年中维护次数和年大维护次数：</w:t>
      </w:r>
    </w:p>
    <w:p>
      <w:pPr>
        <w:keepLines/>
        <w:jc w:val="center"/>
      </w:pPr>
      <m:oMath>
        <m:sSubSup>
          <m:e>
            <m:r>
              <m:t>ρ</m:t>
            </m:r>
          </m:e>
          <m:sub>
            <m:r>
              <m:t>i</m:t>
            </m:r>
          </m:sub>
          <m:sup>
            <m:r>
              <m:t>π</m:t>
            </m:r>
          </m:sup>
        </m:sSubSup>
        <m:r>
          <m:t>=</m:t>
        </m:r>
        <m:f>
          <m:fPr>
            <m:type m:val="bar"/>
          </m:fPr>
          <m:num>
            <m:r>
              <m:t>R</m:t>
            </m:r>
          </m:num>
          <m:den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r</m:t>
                </m:r>
              </m:sub>
              <m:sup/>
              <m:e>
                <m:sSubSup>
                  <m:e>
                    <m:r>
                      <m:t>T</m:t>
                    </m:r>
                  </m:e>
                  <m:sub>
                    <m:r>
                      <m:t>ir</m:t>
                    </m:r>
                  </m:sub>
                  <m:sup>
                    <m:r>
                      <m:t>π</m:t>
                    </m:r>
                  </m:sup>
                </m:sSubSup>
              </m:e>
            </m:nary>
            <m:r>
              <m:t>/365.25</m:t>
            </m:r>
          </m:den>
        </m:f>
        <m:r>
          <m:t>,</m:t>
        </m:r>
        <m:sSubSup>
          <m:e>
            <m:r>
              <m:t>m</m:t>
            </m:r>
          </m:e>
          <m:sub>
            <m:r>
              <m:t>i</m:t>
            </m:r>
          </m:sub>
          <m:sup>
            <m:r>
              <m:t>π</m:t>
            </m:r>
          </m:sup>
        </m:sSubSup>
        <m: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r</m:t>
                </m:r>
              </m:sub>
              <m:sup/>
              <m:e>
                <m:sSubSup>
                  <m:e>
                    <m:r>
                      <m:t>N</m:t>
                    </m:r>
                  </m:e>
                  <m:sub>
                    <m:r>
                      <m:t>M,ir</m:t>
                    </m:r>
                  </m:sub>
                  <m:sup>
                    <m:r>
                      <m:t>π</m:t>
                    </m:r>
                  </m:sup>
                </m:sSubSup>
              </m:e>
            </m:nary>
          </m:num>
          <m:den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r</m:t>
                </m:r>
              </m:sub>
              <m:sup/>
              <m:e>
                <m:sSubSup>
                  <m:e>
                    <m:r>
                      <m:t>T</m:t>
                    </m:r>
                  </m:e>
                  <m:sub>
                    <m:r>
                      <m:t>ir</m:t>
                    </m:r>
                  </m:sub>
                  <m:sup>
                    <m:r>
                      <m:t>π</m:t>
                    </m:r>
                  </m:sup>
                </m:sSubSup>
              </m:e>
            </m:nary>
            <m:r>
              <m:t>/365.25</m:t>
            </m:r>
          </m:den>
        </m:f>
        <m:r>
          <m:t>,</m:t>
        </m:r>
        <m:sSubSup>
          <m:e>
            <m:r>
              <m:t>l</m:t>
            </m:r>
          </m:e>
          <m:sub>
            <m:r>
              <m:t>i</m:t>
            </m:r>
          </m:sub>
          <m:sup>
            <m:r>
              <m:t>π</m:t>
            </m:r>
          </m:sup>
        </m:sSubSup>
        <m: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r</m:t>
                </m:r>
              </m:sub>
              <m:sup/>
              <m:e>
                <m:sSubSup>
                  <m:e>
                    <m:r>
                      <m:t>N</m:t>
                    </m:r>
                  </m:e>
                  <m:sub>
                    <m:r>
                      <m:t>L,ir</m:t>
                    </m:r>
                  </m:sub>
                  <m:sup>
                    <m:r>
                      <m:t>π</m:t>
                    </m:r>
                  </m:sup>
                </m:sSubSup>
              </m:e>
            </m:nary>
          </m:num>
          <m:den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m:t>r</m:t>
                </m:r>
              </m:sub>
              <m:sup/>
              <m:e>
                <m:sSubSup>
                  <m:e>
                    <m:r>
                      <m:t>T</m:t>
                    </m:r>
                  </m:e>
                  <m:sub>
                    <m:r>
                      <m:t>ir</m:t>
                    </m:r>
                  </m:sub>
                  <m:sup>
                    <m:r>
                      <m:t>π</m:t>
                    </m:r>
                  </m:sup>
                </m:sSubSup>
              </m:e>
            </m:nary>
            <m:r>
              <m:t>/365.25</m:t>
            </m:r>
          </m:den>
        </m:f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 xml:space="preserve">当购置、中维护和大维护价格为 </w:t>
      </w:r>
      <w:r>
        <w:rPr>
          <w:rFonts w:ascii="Times New Roman" w:hAnsi="Times New Roman" w:eastAsia="宋体"/>
          <w:b w:val="0"/>
          <w:sz w:val="21"/>
        </w:rPr>
        <w:t>(c_0,c_M,c_L)</w:t>
      </w:r>
      <w:r>
        <w:rPr>
          <w:rFonts w:ascii="Times New Roman" w:hAnsi="Times New Roman" w:eastAsia="宋体"/>
          <w:b w:val="0"/>
          <w:sz w:val="21"/>
        </w:rPr>
        <w:t xml:space="preserve"> 时，长期年均成本可以写成</w:t>
      </w:r>
    </w:p>
    <w:p>
      <w:pPr>
        <w:keepLines/>
        <w:jc w:val="center"/>
      </w:pPr>
      <m:oMath>
        <m:sSubSup>
          <m:e>
            <m:r>
              <m:t>J</m:t>
            </m:r>
          </m:e>
          <m:sub>
            <m:r>
              <m:t>i</m:t>
            </m:r>
          </m:sub>
          <m:sup>
            <m:r>
              <m:t>π</m:t>
            </m:r>
          </m:sup>
        </m:sSubSup>
        <m: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L</m:t>
            </m:r>
          </m:sub>
        </m:sSub>
        <m:r>
          <m:t>)=</m:t>
        </m:r>
        <m:sSub>
          <m:e>
            <m:r>
              <m:t>c</m:t>
            </m:r>
          </m:e>
          <m:sub>
            <m:r>
              <m:t>0</m:t>
            </m:r>
          </m:sub>
        </m:sSub>
        <m:sSubSup>
          <m:e>
            <m:r>
              <m:t>ρ</m:t>
            </m:r>
          </m:e>
          <m:sub>
            <m:r>
              <m:t>i</m:t>
            </m:r>
          </m:sub>
          <m:sup>
            <m:r>
              <m:t>π</m:t>
            </m:r>
          </m:sup>
        </m:sSubSup>
        <m:r>
          <m:t>+</m:t>
        </m:r>
        <m:sSub>
          <m:e>
            <m:r>
              <m:t>c</m:t>
            </m:r>
          </m:e>
          <m:sub>
            <m:r>
              <m:t>M</m:t>
            </m:r>
          </m:sub>
        </m:sSub>
        <m:sSubSup>
          <m:e>
            <m:r>
              <m:t>m</m:t>
            </m:r>
          </m:e>
          <m:sub>
            <m:r>
              <m:t>i</m:t>
            </m:r>
          </m:sub>
          <m:sup>
            <m:r>
              <m:t>π</m:t>
            </m:r>
          </m:sup>
        </m:sSubSup>
        <m:r>
          <m:t>+</m:t>
        </m:r>
        <m:sSub>
          <m:e>
            <m:r>
              <m:t>c</m:t>
            </m:r>
          </m:e>
          <m:sub>
            <m:r>
              <m:t>L</m:t>
            </m:r>
          </m:sub>
        </m:sSub>
        <m:sSubSup>
          <m:e>
            <m:r>
              <m:t>l</m:t>
            </m:r>
          </m:e>
          <m:sub>
            <m:r>
              <m:t>i</m:t>
            </m:r>
          </m:sub>
          <m:sup>
            <m:r>
              <m:t>π</m:t>
            </m:r>
          </m:sup>
        </m:sSubSup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每组价格下均重新优化：</w:t>
      </w:r>
    </w:p>
    <w:p>
      <w:pPr>
        <w:keepLines/>
        <w:jc w:val="center"/>
      </w:pP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t>⋆</m:t>
            </m:r>
          </m:sup>
        </m:sSubSup>
        <m: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L</m:t>
            </m:r>
          </m:sub>
        </m:sSub>
        <m:r>
          <m:t>)=</m:t>
        </m:r>
        <m:r>
          <m:rPr>
            <m:sty m:val="p"/>
          </m:rPr>
          <m:t>\arg</m:t>
        </m:r>
        <m:sSub>
          <m:e>
            <m:r>
              <m:t>min</m:t>
            </m:r>
          </m:e>
          <m:sub>
            <m:r>
              <m:t>π∈Π</m:t>
            </m:r>
          </m:sub>
        </m:sSub>
        <m:sSubSup>
          <m:e>
            <m:r>
              <m:t>J</m:t>
            </m:r>
          </m:e>
          <m:sub>
            <m:r>
              <m:t>i</m:t>
            </m:r>
          </m:sub>
          <m:sup>
            <m:r>
              <m:t>π</m:t>
            </m:r>
          </m:sup>
        </m:sSubSup>
        <m: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L</m:t>
            </m:r>
          </m:sub>
        </m:sSub>
        <m:r>
          <m:t>),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 xml:space="preserve">其中 </w:t>
      </w:r>
      <w:r>
        <w:rPr>
          <w:rFonts w:ascii="Times New Roman" w:hAnsi="Times New Roman" w:eastAsia="宋体"/>
          <w:b w:val="0"/>
          <w:sz w:val="21"/>
        </w:rPr>
        <w:t>\Pi</w:t>
      </w:r>
      <w:r>
        <w:rPr>
          <w:rFonts w:ascii="Times New Roman" w:hAnsi="Times New Roman" w:eastAsia="宋体"/>
          <w:b w:val="0"/>
          <w:sz w:val="21"/>
        </w:rPr>
        <w:t xml:space="preserve"> 为第三问建立的39组固定周期、透水率触发和状态触发候选。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7.3 后悔值与可行性标准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设第三问推荐策略为 </w:t>
      </w:r>
      <w:r>
        <w:rPr>
          <w:rFonts w:ascii="Times New Roman" w:hAnsi="Times New Roman" w:eastAsia="宋体"/>
          <w:b w:val="0"/>
          <w:sz w:val="21"/>
        </w:rPr>
        <w:t>\pi_i^{(3)}</w:t>
      </w:r>
      <w:r>
        <w:rPr>
          <w:rFonts w:ascii="Times New Roman" w:hAnsi="Times New Roman" w:eastAsia="宋体"/>
          <w:b w:val="0"/>
          <w:sz w:val="21"/>
        </w:rPr>
        <w:t>，价格变化后的全厂绝对后悔值为</w:t>
      </w:r>
    </w:p>
    <w:p>
      <w:pPr>
        <w:keepLines/>
        <w:jc w:val="center"/>
      </w:pPr>
      <m:oMath>
        <m:r>
          <m:t>ΔJ=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10</m:t>
            </m:r>
          </m:sup>
          <m:e>
            <m:d>
              <m:dPr>
                <m:begChr m:val="["/>
                <m:sepChr m:val="−"/>
                <m:endChr m:val="]"/>
              </m:dPr>
              <m:e>
                <m:sSubSup>
                  <m:e>
                    <m:r>
                      <m:t>J</m:t>
                    </m:r>
                  </m:e>
                  <m:sub>
                    <m:r>
                      <m:t>i</m:t>
                    </m:r>
                  </m:sub>
                  <m:sup>
                    <m:sSubSup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d>
                          <m:dPr>
                            <m:sepChr m:val=""/>
                          </m:dPr>
                          <m:e>
                            <m:r>
                              <m:t>3</m:t>
                            </m:r>
                          </m:e>
                        </m:d>
                      </m:sup>
                    </m:sSubSup>
                  </m:sup>
                </m:sSubSup>
              </m:e>
              <m:e>
                <m:sSubSup>
                  <m:e>
                    <m:r>
                      <m:t>J</m:t>
                    </m:r>
                  </m:e>
                  <m:sub>
                    <m:r>
                      <m:t>i</m:t>
                    </m:r>
                  </m:sub>
                  <m:sup>
                    <m:sSubSup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⋆</m:t>
                        </m:r>
                      </m:sup>
                    </m:sSubSup>
                  </m:sup>
                </m:sSubSup>
              </m:e>
            </m:d>
          </m:e>
        </m:nary>
        <m:r>
          <m:t>,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>相对后悔值定义为</w:t>
      </w:r>
    </w:p>
    <w:p>
      <w:pPr>
        <w:keepLines/>
        <w:jc w:val="center"/>
      </w:pPr>
      <m:oMath>
        <m:r>
          <m:t>R=</m:t>
        </m:r>
        <m:f>
          <m:fPr>
            <m:type m:val="bar"/>
          </m:fPr>
          <m:num>
            <m:r>
              <m:t>ΔJ</m:t>
            </m:r>
          </m:num>
          <m:den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10</m:t>
                </m:r>
              </m:sup>
              <m:e>
                <m:sSubSup>
                  <m:e>
                    <m:r>
                      <m:t>J</m:t>
                    </m:r>
                  </m:e>
                  <m:sub>
                    <m:r>
                      <m:t>i</m:t>
                    </m:r>
                  </m:sub>
                  <m:sup>
                    <m:sSubSup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⋆</m:t>
                        </m:r>
                      </m:sup>
                    </m:sSubSup>
                  </m:sup>
                </m:sSubSup>
              </m:e>
            </m:nary>
          </m:den>
        </m:f>
        <m:r>
          <m:t>.</m:t>
        </m:r>
      </m:oMath>
    </w:p>
    <w:p>
      <w:pPr/>
      <w:r>
        <w:rPr>
          <w:rFonts w:ascii="Times New Roman" w:hAnsi="Times New Roman" w:eastAsia="宋体"/>
          <w:b w:val="0"/>
          <w:sz w:val="21"/>
        </w:rPr>
        <w:t xml:space="preserve">本文将 </w:t>
      </w:r>
      <w:r>
        <w:rPr>
          <w:rFonts w:ascii="Times New Roman" w:hAnsi="Times New Roman" w:eastAsia="宋体"/>
          <w:b w:val="0"/>
          <w:sz w:val="21"/>
        </w:rPr>
        <w:t>R\le5\%</w:t>
      </w:r>
      <w:r>
        <w:rPr>
          <w:rFonts w:ascii="Times New Roman" w:hAnsi="Times New Roman" w:eastAsia="宋体"/>
          <w:b w:val="0"/>
          <w:sz w:val="21"/>
        </w:rPr>
        <w:t xml:space="preserve"> 定义为第三问方案在新价格下仍近似最优、具有经济可行性。该阈值是管理上的近似最优标准，不改变第三问的寿命终止规则。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7.4 情景设计与求解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首先利用第三问40次筛选结果，在粗价格网格中保留每台设备、每个情景成本最低的前3组候选，共得到54个可能入选的设备—策略组合。每个组合重新运行200次蒙特卡洛仿真，得到更稳定的 </w:t>
      </w:r>
      <w:r>
        <w:rPr>
          <w:rFonts w:ascii="Times New Roman" w:hAnsi="Times New Roman" w:eastAsia="宋体"/>
          <w:b w:val="0"/>
          <w:sz w:val="21"/>
        </w:rPr>
        <w:t>\rho_i^\pi,m_i^\pi,l_i^\pi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/>
      <w:r>
        <w:rPr>
          <w:rFonts w:ascii="Times New Roman" w:hAnsi="Times New Roman" w:eastAsia="宋体"/>
          <w:b w:val="0"/>
          <w:sz w:val="21"/>
        </w:rPr>
        <w:t>最终价格情景包括：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1. 购置价格、中维护价格和大维护价格分别在基准值的0.50—1.50倍变化，步长0.05，共63个单因素情景；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2. 购置价格与中、大维护价格同比例变化，采用11×11网格；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3. 中维护价格与大维护价格独立变化，采用11×11网格。</w:t>
      </w:r>
    </w:p>
    <w:p>
      <w:pPr/>
      <w:r>
        <w:rPr>
          <w:rFonts w:ascii="Times New Roman" w:hAnsi="Times New Roman" w:eastAsia="宋体"/>
          <w:b w:val="0"/>
          <w:sz w:val="21"/>
        </w:rPr>
        <w:t>总计305个价格情景和3050个设备级重新优化结果。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7.5 基准价格复核</w:t>
      </w:r>
    </w:p>
    <w:p>
      <w:pPr/>
      <w:r>
        <w:rPr>
          <w:rFonts w:ascii="Times New Roman" w:hAnsi="Times New Roman" w:eastAsia="宋体"/>
          <w:b w:val="0"/>
          <w:sz w:val="21"/>
        </w:rPr>
        <w:t>在基准价格下，第四问200次复核得到的重新优化成本为1484.82万元/年，直接执行第三问方案为1484.99万元/年，相对后悔值仅0.012%。A6由S32微调为S33，A9由S33微调为S32，其余8台设备不变。该差异属于蒙特卡洛复核样本变化，不改变第三问结论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7.6 单因素敏感性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7.6.1 购置价格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购置价/万元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新最优成本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第三问方案成本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后悔值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年更换率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中维护/年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860.84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862.75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0.22%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4.18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73.29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1173.34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1173.87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0.05%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4.16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74.52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1484.82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1484.99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4.15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75.58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375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1795.11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1796.11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0.06%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4.12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79.04</w:t>
            </w:r>
          </w:p>
        </w:tc>
      </w:tr>
      <w:tr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2103.92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2107.23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0.16%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4.12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79.04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购置价格上涨时，更换变得昂贵，最优方案增加中维护并降低更换率；购置价格下降时则适当减少维护、允许更早更换。这回答了“设备价格上涨后是否应增加维护”和“设备价格下降后是否应提前更换”两个问题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7.6.2 中维护价格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中维护价/万元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新最优成本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第三问方案成本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后悔值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中维护/年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1.50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1365.05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1371.73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0.49%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86.10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2.25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1427.02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1428.36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0.09%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79.04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3.00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1484.82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1484.99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0.01%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75.58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3.75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1541.10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1541.62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0.03%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74.52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4.50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1597.00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1598.26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0.08%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74.52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中维护价格上涨会减少中维护，价格下降会增加中维护，方向符合经济直觉。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7.6.3 大维护价格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大维护价/万元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新最优成本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第三问方案成本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后悔值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大维护/年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1477.84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1478.00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0.01%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1.16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1484.82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1484.99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0.01%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1.16</w:t>
            </w:r>
          </w:p>
        </w:tc>
      </w:tr>
      <w:t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1491.79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1491.99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0.01%</w:t>
            </w:r>
          </w:p>
        </w:tc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1.16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大维护价格单独变化没有改变最优规则，因为第三问已经把缺乏额外恢复优势的大维护压缩到很低频率。此结果不应解释为大维护没有价值，而应解释为当前数据下大维护使用已经接近必要下限。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7.7 双因素敏感性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7.7.1 购置价格与维护价格</w:t>
      </w:r>
    </w:p>
    <w:p>
      <w:pPr/>
      <w:r>
        <w:rPr>
          <w:rFonts w:ascii="Times New Roman" w:hAnsi="Times New Roman" w:eastAsia="宋体"/>
          <w:b w:val="0"/>
          <w:sz w:val="21"/>
        </w:rPr>
        <w:t>在购置价格和两类维护价格均处于基准值50%—150%的121个组合中，第三问方案最大相对后悔值为0.54%。最大值出现在购置价格较高而维护价格较低的区域，此时新最优方案会增加维护以推迟昂贵的设备更新。</w:t>
      </w:r>
    </w:p>
    <w:p>
      <w:pPr>
        <w:pStyle w:val="Heading3"/>
      </w:pPr>
      <w:r>
        <w:rPr>
          <w:rFonts w:ascii="Times New Roman" w:hAnsi="Times New Roman" w:eastAsia="宋体"/>
          <w:b/>
          <w:sz w:val="21"/>
        </w:rPr>
        <w:t>7.7.2 中维护价格与大维护价格</w:t>
      </w:r>
    </w:p>
    <w:p>
      <w:pPr/>
      <w:r>
        <w:rPr>
          <w:rFonts w:ascii="Times New Roman" w:hAnsi="Times New Roman" w:eastAsia="宋体"/>
          <w:b w:val="0"/>
          <w:sz w:val="21"/>
        </w:rPr>
        <w:t>该价格面的最大后悔值为0.79%，出现在中维护价格1.5万元、大维护价格18万元的组合。重新优化后全厂年均成本为1367.89万元，第三问方案为1378.72万元，绝对后悔值10.83万元/年。最优行为是进一步增加低价中维护并压缩高价大维护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7.8 策略参数变化</w:t>
      </w:r>
    </w:p>
    <w:p>
      <w:pPr/>
      <w:r>
        <w:rPr>
          <w:rFonts w:ascii="Times New Roman" w:hAnsi="Times New Roman" w:eastAsia="宋体"/>
          <w:b w:val="0"/>
          <w:sz w:val="21"/>
        </w:rPr>
        <w:t>全部305个价格情景中，10台设备的最优策略族始终是状态触发，变化只出现在设备级堵塞阈值和冷却期：</w:t>
      </w:r>
    </w:p>
    <w:p>
      <w:pPr/>
      <w:r>
        <w:rPr>
          <w:rFonts w:ascii="Times New Roman" w:hAnsi="Times New Roman" w:eastAsia="宋体"/>
          <w:b w:val="0"/>
          <w:sz w:val="21"/>
        </w:rPr>
        <w:t>- 购置价格降到150万元时，A1、A4将堵塞阈值由20提高到30，A9改用35日冷却期；</w:t>
      </w:r>
    </w:p>
    <w:p>
      <w:pPr/>
      <w:r>
        <w:rPr>
          <w:rFonts w:ascii="Times New Roman" w:hAnsi="Times New Roman" w:eastAsia="宋体"/>
          <w:b w:val="0"/>
          <w:sz w:val="21"/>
        </w:rPr>
        <w:t>- 购置价格升到450万元时，A5改用堵塞阈值10和35日冷却期；</w:t>
      </w:r>
    </w:p>
    <w:p>
      <w:pPr/>
      <w:r>
        <w:rPr>
          <w:rFonts w:ascii="Times New Roman" w:hAnsi="Times New Roman" w:eastAsia="宋体"/>
          <w:b w:val="0"/>
          <w:sz w:val="21"/>
        </w:rPr>
        <w:t>- 中维护价格降到1.5万元时，A2、A10把冷却期从35日降到21日，A5、A9改用堵塞阈值10；</w:t>
      </w:r>
    </w:p>
    <w:p>
      <w:pPr/>
      <w:r>
        <w:rPr>
          <w:rFonts w:ascii="Times New Roman" w:hAnsi="Times New Roman" w:eastAsia="宋体"/>
          <w:b w:val="0"/>
          <w:sz w:val="21"/>
        </w:rPr>
        <w:t>- 中维护价格升到4.5万元时，A4将堵塞阈值提高到30；</w:t>
      </w:r>
    </w:p>
    <w:p>
      <w:pPr/>
      <w:r>
        <w:rPr>
          <w:rFonts w:ascii="Times New Roman" w:hAnsi="Times New Roman" w:eastAsia="宋体"/>
          <w:b w:val="0"/>
          <w:sz w:val="21"/>
        </w:rPr>
        <w:t>- 大维护价格单独变化时，所有设备规则不变。</w:t>
      </w:r>
    </w:p>
    <w:p>
      <w:pPr/>
      <w:r>
        <w:rPr>
          <w:rFonts w:ascii="Times New Roman" w:hAnsi="Times New Roman" w:eastAsia="宋体"/>
          <w:b w:val="0"/>
          <w:sz w:val="21"/>
        </w:rPr>
        <w:t>因此价格变化不会改变“按堵塞状态触发、以中维护为主、严格限制无明确收益大维护”的结构，只会微调维护积极程度。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7.9 方案适用区间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价格因素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测试范围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第三问方案最大后悔值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EF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是否保持5%近似最优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过滤器购置价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150—450万元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0.22%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中维护价格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1.5—4.5万元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0.49%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大维护价格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6—18万元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0.01%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购置价×维护价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各0.5—1.5倍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0.54%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中维护价×大维护价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各0.5—1.5倍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0.79%</w:t>
            </w:r>
          </w:p>
        </w:tc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>
      <w:pPr>
        <w:spacing w:after="0"/>
      </w:pPr>
    </w:p>
    <w:p>
      <w:pPr/>
      <w:r>
        <w:rPr>
          <w:rFonts w:ascii="Times New Roman" w:hAnsi="Times New Roman" w:eastAsia="宋体"/>
          <w:b w:val="0"/>
          <w:sz w:val="21"/>
        </w:rPr>
        <w:t>由此可得，在题面价格上下50%的测试区间内，第三问方案始终保持近似最优，可以继续执行，不必因一般价格波动频繁切换维护规则。若价格接近极端组合，可按第7.8节微调阈值和冷却期。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7.10 本问结论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1. 过滤器价格上涨时应增加中维护、延缓更换；价格下降时可适当提前更换。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2. 中维护价格上涨时应减少中维护，下降时应增加中维护。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3. 大维护价格在6—18万元范围内变化不会改变规则，因为第三问已把大维护压缩到必要低频。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4. 第三问状态触发方案在全部单因素和双因素测试中后悔值均低于1%，远低于5%可行性阈值。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5. 精确最优参数会随价格改变，但最优策略族始终为状态触发。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6. 结论仅适用于基准价格50%—150%的范围；超出范围或设备退化参数更新后应重新优化。</w:t>
      </w: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>8 结论与建议</w:t>
      </w:r>
    </w:p>
    <w:p>
      <w:pPr/>
      <w:r>
        <w:rPr>
          <w:rFonts w:ascii="Times New Roman" w:hAnsi="Times New Roman" w:eastAsia="宋体"/>
          <w:b w:val="0"/>
          <w:sz w:val="21"/>
        </w:rPr>
        <w:t>本文建立了从原始监测数据到全厂维护决策的闭环模型。主要结论为：透水率的季节性和维护周期内衰减必须分离；中维修和大维修通常能带来显著短期恢复，但其保持期高度右删失，不能据此宣称长期永久改善；双状态随机退化模型能够把可逆堵塞和不可逆老化传递到寿命分布；状态触发维护较固定周期维护更能适配设备异质性，在基准价格下可降低约 23.56% 的全厂长期年均成本；推荐方案在所检验的单、双因素价格波动范围内均保持低后悔值。</w:t>
      </w:r>
    </w:p>
    <w:p>
      <w:pPr/>
      <w:r>
        <w:rPr>
          <w:rFonts w:ascii="Times New Roman" w:hAnsi="Times New Roman" w:eastAsia="宋体"/>
          <w:b w:val="0"/>
          <w:sz w:val="21"/>
        </w:rPr>
        <w:t>实施上建议按风险分层：A10 立即准备更换并核验传感器及工况，A5、A8 提高巡检频率，其余设备执行对应状态触发规则；每月更新日尺度状态，每季度用新增数据校准退化率和维护恢复量，每次价格或合同调整后重新运行价格情景评价。由于观测期较短、部分设备缺少大维修记录，寿命尾部和维护损伤分配仍有不可识别性；实际应用中应持续积累维护后的长期追踪数据，并用滚动回测监测模型漂移。</w:t>
      </w: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>参考文献</w:t>
      </w:r>
    </w:p>
    <w:p>
      <w:pPr/>
      <w:r>
        <w:rPr>
          <w:rFonts w:ascii="Times New Roman" w:hAnsi="Times New Roman" w:eastAsia="宋体"/>
          <w:b w:val="0"/>
          <w:sz w:val="21"/>
        </w:rPr>
        <w:t>[1] KAPLAN E L, MEIER P. Nonparametric estimation from incomplete observations[J]. Journal of the American Statistical Association, 1958, 53(282): 457-481.</w:t>
      </w:r>
    </w:p>
    <w:p>
      <w:pPr/>
      <w:r>
        <w:rPr>
          <w:rFonts w:ascii="Times New Roman" w:hAnsi="Times New Roman" w:eastAsia="宋体"/>
          <w:b w:val="0"/>
          <w:sz w:val="21"/>
        </w:rPr>
        <w:t>[2] ROSS S M. Introduction to Probability Models[M]. 12th ed. Amsterdam: Academic Press, 2019.</w:t>
      </w:r>
    </w:p>
    <w:p>
      <w:pPr/>
      <w:r>
        <w:rPr>
          <w:rFonts w:ascii="Times New Roman" w:hAnsi="Times New Roman" w:eastAsia="宋体"/>
          <w:b w:val="0"/>
          <w:sz w:val="21"/>
        </w:rPr>
        <w:t>[3] HUBER P J, RONCHETTI E M. Robust Statistics[M]. 2nd ed. Hoboken: Wiley, 2009.</w:t>
      </w:r>
    </w:p>
    <w:p>
      <w:pPr/>
      <w:r>
        <w:rPr>
          <w:rFonts w:ascii="Times New Roman" w:hAnsi="Times New Roman" w:eastAsia="宋体"/>
          <w:b w:val="0"/>
          <w:sz w:val="21"/>
        </w:rPr>
        <w:t>[4] JARDINE A K S, LIN D, BANJEVIC D. A review on machinery diagnostics and prognostics implementing condition-based maintenance[J]. Mechanical Systems and Signal Processing, 2006, 20(7): 1483-1510.</w:t>
      </w:r>
    </w:p>
    <w:p>
      <w:pPr/>
      <w:r>
        <w:rPr>
          <w:rFonts w:ascii="Times New Roman" w:hAnsi="Times New Roman" w:eastAsia="宋体"/>
          <w:b w:val="0"/>
          <w:sz w:val="21"/>
        </w:rPr>
        <w:t>[5] 全国大学生数学建模竞赛组委会. 全国大学生数学建模竞赛论文格式规范（2025年修订稿）[Z]. 2025.</w:t>
      </w:r>
    </w:p>
    <w:p>
      <w:pPr>
        <w:pStyle w:val="Heading1"/>
      </w:pPr>
      <w:r>
        <w:rPr>
          <w:rFonts w:ascii="Times New Roman" w:hAnsi="Times New Roman" w:eastAsia="宋体"/>
          <w:b/>
          <w:sz w:val="21"/>
        </w:rPr>
        <w:t>附录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附录 A 支撑材料文件清单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src/</w:t>
      </w:r>
      <w:r>
        <w:rPr>
          <w:rFonts w:ascii="Times New Roman" w:hAnsi="Times New Roman" w:eastAsia="宋体"/>
          <w:b w:val="0"/>
          <w:sz w:val="21"/>
        </w:rPr>
        <w:t>：数据预处理、第一问统计分析和公共工具程序。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agent_ppo/</w:t>
      </w:r>
      <w:r>
        <w:rPr>
          <w:rFonts w:ascii="Times New Roman" w:hAnsi="Times New Roman" w:eastAsia="宋体"/>
          <w:b w:val="0"/>
          <w:sz w:val="21"/>
        </w:rPr>
        <w:t>：第二问随机退化、第三问策略优化和第四问价格稳健性程序。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outputs/problem1/</w:t>
      </w:r>
      <w:r>
        <w:rPr>
          <w:rFonts w:ascii="Times New Roman" w:hAnsi="Times New Roman" w:eastAsia="宋体"/>
          <w:b w:val="0"/>
          <w:sz w:val="21"/>
        </w:rPr>
        <w:t>～</w:t>
      </w:r>
      <w:r>
        <w:rPr>
          <w:rFonts w:ascii="Times New Roman" w:hAnsi="Times New Roman" w:eastAsia="宋体"/>
          <w:b w:val="0"/>
          <w:sz w:val="21"/>
        </w:rPr>
        <w:t>outputs/problem4/</w:t>
      </w:r>
      <w:r>
        <w:rPr>
          <w:rFonts w:ascii="Times New Roman" w:hAnsi="Times New Roman" w:eastAsia="宋体"/>
          <w:b w:val="0"/>
          <w:sz w:val="21"/>
        </w:rPr>
        <w:t>：四问的数值结果、汇总表和论文插图。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tests/</w:t>
      </w:r>
      <w:r>
        <w:rPr>
          <w:rFonts w:ascii="Times New Roman" w:hAnsi="Times New Roman" w:eastAsia="宋体"/>
          <w:b w:val="0"/>
          <w:sz w:val="21"/>
        </w:rPr>
        <w:t>：模型接口、数值口径和端到端流程测试。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 w:val="0"/>
          <w:sz w:val="21"/>
        </w:rPr>
        <w:t>paper/</w:t>
      </w:r>
      <w:r>
        <w:rPr>
          <w:rFonts w:ascii="Times New Roman" w:hAnsi="Times New Roman" w:eastAsia="宋体"/>
          <w:b w:val="0"/>
          <w:sz w:val="21"/>
        </w:rPr>
        <w:t>：四问分章正文及最终论文源文件。</w:t>
      </w:r>
    </w:p>
    <w:p>
      <w:pPr/>
      <w:r>
        <w:rPr>
          <w:rFonts w:ascii="Times New Roman" w:hAnsi="Times New Roman" w:eastAsia="宋体"/>
          <w:b w:val="0"/>
          <w:sz w:val="21"/>
        </w:rPr>
        <w:t xml:space="preserve">全部程序均可在项目根目录按 </w:t>
      </w:r>
      <w:r>
        <w:rPr>
          <w:rFonts w:ascii="Times New Roman" w:hAnsi="Times New Roman" w:eastAsia="宋体"/>
          <w:b w:val="0"/>
          <w:sz w:val="21"/>
        </w:rPr>
        <w:t>README.md</w:t>
      </w:r>
      <w:r>
        <w:rPr>
          <w:rFonts w:ascii="Times New Roman" w:hAnsi="Times New Roman" w:eastAsia="宋体"/>
          <w:b w:val="0"/>
          <w:sz w:val="21"/>
        </w:rPr>
        <w:t xml:space="preserve"> 的说明运行。赛题原始数据不在论文中重复嵌入；支撑材料提交时应保留可运行代码、必要配置、结果表和 README，并删除缓存、临时文件以及任何身份信息。</w:t>
      </w:r>
    </w:p>
    <w:p>
      <w:pPr>
        <w:pStyle w:val="Heading2"/>
      </w:pPr>
      <w:r>
        <w:rPr>
          <w:rFonts w:ascii="Times New Roman" w:hAnsi="Times New Roman" w:eastAsia="宋体"/>
          <w:b/>
          <w:sz w:val="21"/>
        </w:rPr>
        <w:t>附录 B 复现说明</w:t>
      </w:r>
    </w:p>
    <w:p>
      <w:pPr/>
      <w:r>
        <w:rPr>
          <w:rFonts w:ascii="Times New Roman" w:hAnsi="Times New Roman" w:eastAsia="宋体"/>
          <w:b w:val="0"/>
          <w:sz w:val="21"/>
        </w:rPr>
        <w:t>依次运行第一问分析、第二问基准寿命、第三问策略搜索和第四问价格情景程序，即可重建本文主要表格与图形。随机仿真固定种子并使用共同随机数，使不同策略和价格情景之间的比较可复核。正式提交前应再次核对支撑材料压缩包不超过 20 MB，且其中不含承诺书、编号专用页或参赛者身份信息。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0"/>
      <w:ind w:firstLine="42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pPr>
      <w:keepNext/>
      <w:spacing w:before="60" w:after="120"/>
      <w:jc w:val="center"/>
    </w:pPr>
    <w:rPr>
      <w:rFonts w:ascii="Times New Roman" w:hAnsi="Times New Roman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过滤设备透水率退化建模与维护策略优化</dc:title>
  <dc:subject>全国大学生数学建模竞赛论文</dc:subject>
  <dc:creator/>
  <cp:keywords>过滤设备, 透水率, 随机退化, 维护优化, 稳健性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