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 w:eastAsia="黑体"/>
          <w:b/>
          <w:color w:val="173F73"/>
          <w:sz w:val="44"/>
        </w:rPr>
        <w:t>学年设计日志</w:t>
      </w:r>
    </w:p>
    <w:p>
      <w:pPr>
        <w:spacing w:after="360"/>
        <w:jc w:val="center"/>
      </w:pPr>
      <w:r>
        <w:rPr>
          <w:rFonts w:ascii="Times New Roman" w:hAnsi="Times New Roman" w:eastAsia="宋体"/>
          <w:color w:val="666666"/>
          <w:sz w:val="20"/>
        </w:rPr>
        <w:t>学生：张浩博｜项目：重庆市二手房源价格数据分析与智能可视化系统</w:t>
      </w:r>
    </w:p>
    <w:p>
      <w:pPr>
        <w:pStyle w:val="Heading1"/>
      </w:pPr>
      <w:r>
        <w:t>1. 日志说明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日志根据仓库文件、数据库任务时间和本轮实际验收记录整理，未虚构部署、长期调度或未确认组员工作。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900"/>
        <w:gridCol w:w="262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日期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工作内容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结果/问题解决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2026-06-08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读取指导手册与模板，整理5万条、增量、可视化、挖掘和8000字文档要求。</w:t>
            </w:r>
          </w:p>
        </w:tc>
        <w:tc>
          <w:tcPr>
            <w:tcW w:type="dxa" w:w="26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形成需求边界与项目资料目录。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2026-06-10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完成Flask/MySQL/React核心模块核对，检查房源、任务、Dashboard、模型和Agent结构。</w:t>
            </w:r>
          </w:p>
        </w:tc>
        <w:tc>
          <w:tcPr>
            <w:tcW w:type="dxa" w:w="26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明确旧库冷启动与新系统采集口径。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2026-06-11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执行真实页面与接口检查，补充采集、快照、系统设置和PDF导出证据。</w:t>
            </w:r>
          </w:p>
        </w:tc>
        <w:tc>
          <w:tcPr>
            <w:tcW w:type="dxa" w:w="26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确认主链路可运行。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2026-06-12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补充本地启动、smoke check与增量快照脚本，完善README。</w:t>
            </w:r>
          </w:p>
        </w:tc>
        <w:tc>
          <w:tcPr>
            <w:tcW w:type="dxa" w:w="26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形成可复用验收命令。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2026-06-18 上午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将分析改为5000条区县分层样本，收紧异常检测，重跑真实模型。</w:t>
            </w:r>
          </w:p>
        </w:tc>
        <w:tc>
          <w:tcPr>
            <w:tcW w:type="dxa" w:w="26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38区县；R²=0.7105；异常率2.46%。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2026-06-18 上午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房天下6区低并发补采与重复采集，刷新质量报告。</w:t>
            </w:r>
          </w:p>
        </w:tc>
        <w:tc>
          <w:tcPr>
            <w:tcW w:type="dxa" w:w="26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fang=539；重复153条未变；失败页可追踪。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2026-06-18 上午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执行DeepSeek真实连接、问数、模型解释和报告生成。</w:t>
            </w:r>
          </w:p>
        </w:tc>
        <w:tc>
          <w:tcPr>
            <w:tcW w:type="dxa" w:w="26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工具调用25条；报告5份。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2026-06-18 中午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修正前端技术文案、favicon和分析证据字段，执行构建与Playwright截图。</w:t>
            </w:r>
          </w:p>
        </w:tc>
        <w:tc>
          <w:tcPr>
            <w:tcW w:type="dxa" w:w="26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核心页面无相关控制台错误。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2026-06-18 下午</w:t>
            </w:r>
          </w:p>
        </w:tc>
        <w:tc>
          <w:tcPr>
            <w:tcW w:type="dxa" w:w="49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重做说明书、安装说明、证据清单和设计日志，统一非部署口径。</w:t>
            </w:r>
          </w:p>
        </w:tc>
        <w:tc>
          <w:tcPr>
            <w:tcW w:type="dxa" w:w="26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形成正式提交材料。</w:t>
            </w:r>
          </w:p>
        </w:tc>
      </w:tr>
    </w:tbl>
    <w:p>
      <w:pPr>
        <w:spacing w:after="40"/>
      </w:pPr>
    </w:p>
    <w:p>
      <w:pPr>
        <w:pStyle w:val="Heading1"/>
      </w:pPr>
      <w:r>
        <w:t>2. 个人总结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本次学年设计的主要收获是建立了证据驱动的开发习惯：数据规模要能用SQL核验，模型结论要有样本覆盖和误差指标，页面完成要有真实后端数据和控制台检查，Agent回答要有工具调用记录。遇到网页和浏览器自动化问题时遵守失败退出规则，比反复尝试更能保证进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80"/>
      <w:jc w:val="both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40"/>
      <w:contextualSpacing/>
    </w:pPr>
    <w:rPr>
      <w:rFonts w:ascii="Times New Roman" w:hAnsi="Times New Roman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40"/>
      <w:contextualSpacing/>
    </w:pPr>
    <w:rPr>
      <w:rFonts w:ascii="Times New Roman" w:hAnsi="Times New Roman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