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60"/>
        <w:jc w:val="center"/>
      </w:pPr>
      <w:r>
        <w:rPr>
          <w:rFonts w:ascii="Times New Roman" w:hAnsi="Times New Roman" w:eastAsia="黑体"/>
          <w:b/>
          <w:color w:val="173F73"/>
          <w:sz w:val="48"/>
        </w:rPr>
        <w:t>系统安装与使用说明</w:t>
      </w:r>
    </w:p>
    <w:p>
      <w:pPr>
        <w:spacing w:after="560"/>
        <w:jc w:val="center"/>
      </w:pPr>
      <w:r>
        <w:rPr>
          <w:rFonts w:ascii="Times New Roman" w:hAnsi="Times New Roman" w:eastAsia="微软雅黑"/>
          <w:color w:val="64748B"/>
          <w:sz w:val="24"/>
        </w:rPr>
        <w:t>Windows 本地运行与课程答辩操作手册</w:t>
      </w:r>
    </w:p>
    <w:tbl>
      <w:tblPr>
        <w:tblW w:type="dxa" w:w="918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050"/>
        <w:gridCol w:w="7134"/>
      </w:tblGrid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8"/>
          </w:tcPr>
          <w:p>
            <w:pPr>
              <w:jc w:val="right"/>
            </w:pPr>
            <w:r>
              <w:rPr>
                <w:rFonts w:ascii="Times New Roman" w:hAnsi="Times New Roman" w:eastAsia="微软雅黑"/>
                <w:b/>
                <w:color w:val="173F73"/>
                <w:sz w:val="20"/>
              </w:rPr>
              <w:t>系统名称</w:t>
            </w:r>
          </w:p>
        </w:tc>
        <w:tc>
          <w:tcPr>
            <w:tcW w:type="dxa" w:w="7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Times New Roman" w:hAnsi="Times New Roman" w:eastAsia="宋体"/>
                <w:color w:val="1F2937"/>
                <w:sz w:val="20"/>
              </w:rPr>
              <w:t>重庆市二手房源价格数据分析与智能可视化系统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8"/>
          </w:tcPr>
          <w:p>
            <w:pPr>
              <w:jc w:val="right"/>
            </w:pPr>
            <w:r>
              <w:rPr>
                <w:rFonts w:ascii="Times New Roman" w:hAnsi="Times New Roman" w:eastAsia="微软雅黑"/>
                <w:b/>
                <w:color w:val="173F73"/>
                <w:sz w:val="20"/>
              </w:rPr>
              <w:t>适用版本</w:t>
            </w:r>
          </w:p>
        </w:tc>
        <w:tc>
          <w:tcPr>
            <w:tcW w:type="dxa" w:w="7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Times New Roman" w:hAnsi="Times New Roman" w:eastAsia="宋体"/>
                <w:color w:val="1F2937"/>
                <w:sz w:val="20"/>
              </w:rPr>
              <w:t>2026年7月1日最终本地版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8"/>
          </w:tcPr>
          <w:p>
            <w:pPr>
              <w:jc w:val="right"/>
            </w:pPr>
            <w:r>
              <w:rPr>
                <w:rFonts w:ascii="Times New Roman" w:hAnsi="Times New Roman" w:eastAsia="微软雅黑"/>
                <w:b/>
                <w:color w:val="173F73"/>
                <w:sz w:val="20"/>
              </w:rPr>
              <w:t>运行方式</w:t>
            </w:r>
          </w:p>
        </w:tc>
        <w:tc>
          <w:tcPr>
            <w:tcW w:type="dxa" w:w="7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Times New Roman" w:hAnsi="Times New Roman" w:eastAsia="宋体"/>
                <w:color w:val="1F2937"/>
                <w:sz w:val="20"/>
              </w:rPr>
              <w:t>Flask API + Vite/React + MySQL 8.x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8"/>
          </w:tcPr>
          <w:p>
            <w:pPr>
              <w:jc w:val="right"/>
            </w:pPr>
            <w:r>
              <w:rPr>
                <w:rFonts w:ascii="Times New Roman" w:hAnsi="Times New Roman" w:eastAsia="微软雅黑"/>
                <w:b/>
                <w:color w:val="173F73"/>
                <w:sz w:val="20"/>
              </w:rPr>
              <w:t>默认端口</w:t>
            </w:r>
          </w:p>
        </w:tc>
        <w:tc>
          <w:tcPr>
            <w:tcW w:type="dxa" w:w="7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Times New Roman" w:hAnsi="Times New Roman" w:eastAsia="宋体"/>
                <w:color w:val="1F2937"/>
                <w:sz w:val="20"/>
              </w:rPr>
              <w:t>前端 5173；后端 5000；MySQL 3306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8"/>
          </w:tcPr>
          <w:p>
            <w:pPr>
              <w:jc w:val="right"/>
            </w:pPr>
            <w:r>
              <w:rPr>
                <w:rFonts w:ascii="Times New Roman" w:hAnsi="Times New Roman" w:eastAsia="微软雅黑"/>
                <w:b/>
                <w:color w:val="173F73"/>
                <w:sz w:val="20"/>
              </w:rPr>
              <w:t>数据口径</w:t>
            </w:r>
          </w:p>
        </w:tc>
        <w:tc>
          <w:tcPr>
            <w:tcW w:type="dxa" w:w="7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Times New Roman" w:hAnsi="Times New Roman" w:eastAsia="宋体"/>
                <w:color w:val="1F2937"/>
                <w:sz w:val="20"/>
              </w:rPr>
              <w:t>二手房挂牌价/报价，不代表成交价</w:t>
            </w:r>
          </w:p>
        </w:tc>
      </w:tr>
    </w:tbl>
    <w:p>
      <w:pPr>
        <w:spacing w:before="560"/>
        <w:jc w:val="center"/>
      </w:pPr>
      <w:r>
        <w:rPr>
          <w:rFonts w:ascii="Times New Roman" w:hAnsi="Times New Roman" w:eastAsia="微软雅黑"/>
          <w:b/>
          <w:color w:val="173F73"/>
          <w:sz w:val="22"/>
        </w:rPr>
        <w:t>西南大学商贸学院</w:t>
      </w:r>
    </w:p>
    <w:p>
      <w:pPr>
        <w:jc w:val="center"/>
      </w:pPr>
      <w:r>
        <w:rPr>
          <w:rFonts w:ascii="Times New Roman" w:hAnsi="Times New Roman" w:eastAsia="宋体"/>
          <w:color w:val="64748B"/>
          <w:sz w:val="20"/>
        </w:rPr>
        <w:t>2026年7月1日</w:t>
      </w:r>
    </w:p>
    <w:p>
      <w:r>
        <w:br w:type="page"/>
      </w:r>
    </w:p>
    <w:p>
      <w:pPr>
        <w:pStyle w:val="Heading1"/>
      </w:pPr>
      <w:r>
        <w:t>1. 文档范围与系统边界</w:t>
      </w:r>
    </w:p>
    <w:p>
      <w:pPr>
        <w:ind w:firstLine="420"/>
      </w:pPr>
      <w:r>
        <w:rPr>
          <w:rFonts w:ascii="Times New Roman" w:hAnsi="Times New Roman" w:eastAsia="宋体"/>
          <w:color w:val="1F2937"/>
          <w:sz w:val="21"/>
        </w:rPr>
        <w:t>本说明用于在 Windows 本地环境安装、启动和验收重庆二手房挂牌价分析系统。运行期数据库统一使用 MySQL 8.x；database 目录中的 SQL 用于恢复最终验收数据。旧 SQLite/CSV 只作为一次性冷启动来源，不作为运行期数据库。</w:t>
      </w:r>
    </w:p>
    <w:tbl>
      <w:tblPr>
        <w:tblW w:type="dxa" w:w="918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7D79A"/>
          <w:left w:val="single" w:sz="6" w:color="E7D79A"/>
          <w:bottom w:val="single" w:sz="6" w:color="E7D79A"/>
          <w:right w:val="single" w:sz="6" w:color="E7D79A"/>
          <w:insideH w:val="single" w:sz="6" w:color="E7D79A"/>
          <w:insideV w:val="single" w:sz="6" w:color="E7D79A"/>
        </w:tblBorders>
      </w:tblPr>
      <w:tblGrid>
        <w:gridCol w:w="9184"/>
      </w:tblGrid>
      <w:tr>
        <w:tc>
          <w:tcPr>
            <w:tcW w:type="dxa" w:w="9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DD"/>
          </w:tcPr>
          <w:p>
            <w:pPr>
              <w:spacing w:after="0"/>
            </w:pPr>
            <w:r>
              <w:rPr>
                <w:rFonts w:ascii="Times New Roman" w:hAnsi="Times New Roman" w:eastAsia="微软雅黑"/>
                <w:b/>
                <w:color w:val="173F73"/>
                <w:sz w:val="19"/>
              </w:rPr>
              <w:t>重要边界：</w:t>
            </w:r>
            <w:r>
              <w:rPr>
                <w:rFonts w:ascii="Times New Roman" w:hAnsi="Times New Roman" w:eastAsia="宋体"/>
                <w:color w:val="1F2937"/>
                <w:sz w:val="19"/>
              </w:rPr>
              <w:t>系统分析的是挂牌价/报价，不是成交价；模型用于解释和辅助估价，不承诺精准预测；采集遇到验证码或验证网关时记录失败，不进行绕过。</w:t>
            </w:r>
          </w:p>
        </w:tc>
      </w:tr>
    </w:tbl>
    <w:p>
      <w:pPr>
        <w:spacing w:after="0"/>
      </w:pPr>
    </w:p>
    <w:p>
      <w:pPr>
        <w:pStyle w:val="Heading1"/>
      </w:pPr>
      <w:r>
        <w:t>2. 交付目录</w:t>
      </w:r>
    </w:p>
    <w:tbl>
      <w:tblPr>
        <w:tblW w:type="dxa" w:w="918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2900"/>
        <w:gridCol w:w="4584"/>
        <w:gridCol w:w="1700"/>
      </w:tblGrid>
      <w:tr>
        <w:trPr>
          <w:tblHeader w:val="true"/>
        </w:trP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4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是否必需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Backend/</w:t>
            </w:r>
          </w:p>
        </w:tc>
        <w:tc>
          <w:tcPr>
            <w:tcW w:type="dxa" w:w="4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Flask API、服务层、模型、爬虫、调度、分析和 Agent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必需</w:t>
            </w:r>
          </w:p>
        </w:tc>
      </w:tr>
      <w:tr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Frontend/</w:t>
            </w:r>
          </w:p>
        </w:tc>
        <w:tc>
          <w:tcPr>
            <w:tcW w:type="dxa" w:w="45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Vite + React + ECharts 前端</w:t>
            </w:r>
          </w:p>
        </w:tc>
        <w:tc>
          <w:tcPr>
            <w:tcW w:type="dxa" w:w="1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必需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database/real_estate_final_20260701.sql</w:t>
            </w:r>
          </w:p>
        </w:tc>
        <w:tc>
          <w:tcPr>
            <w:tcW w:type="dxa" w:w="4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最终 MySQL 数据与表结构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首次恢复必需</w:t>
            </w:r>
          </w:p>
        </w:tc>
      </w:tr>
      <w:tr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scripts/setup_local.ps1</w:t>
            </w:r>
          </w:p>
        </w:tc>
        <w:tc>
          <w:tcPr>
            <w:tcW w:type="dxa" w:w="45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首次安装依赖并创建本地配置模板</w:t>
            </w:r>
          </w:p>
        </w:tc>
        <w:tc>
          <w:tcPr>
            <w:tcW w:type="dxa" w:w="1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推荐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scripts/start_local_dev.ps1</w:t>
            </w:r>
          </w:p>
        </w:tc>
        <w:tc>
          <w:tcPr>
            <w:tcW w:type="dxa" w:w="4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同时启动后端和前端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推荐</w:t>
            </w:r>
          </w:p>
        </w:tc>
      </w:tr>
      <w:tr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.env.example / Frontend/.env.example</w:t>
            </w:r>
          </w:p>
        </w:tc>
        <w:tc>
          <w:tcPr>
            <w:tcW w:type="dxa" w:w="45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本地配置模板，不包含真实密钥</w:t>
            </w:r>
          </w:p>
        </w:tc>
        <w:tc>
          <w:tcPr>
            <w:tcW w:type="dxa" w:w="1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必需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docs/ / deliverables/</w:t>
            </w:r>
          </w:p>
        </w:tc>
        <w:tc>
          <w:tcPr>
            <w:tcW w:type="dxa" w:w="4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测试证据和提交材料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答辩使用</w:t>
            </w:r>
          </w:p>
        </w:tc>
      </w:tr>
    </w:tbl>
    <w:p>
      <w:pPr>
        <w:spacing w:after="0"/>
      </w:pPr>
    </w:p>
    <w:p>
      <w:pPr>
        <w:pStyle w:val="Heading1"/>
      </w:pPr>
      <w:r>
        <w:t>3. 环境要求</w:t>
      </w:r>
    </w:p>
    <w:tbl>
      <w:tblPr>
        <w:tblW w:type="dxa" w:w="918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2100"/>
        <w:gridCol w:w="2100"/>
        <w:gridCol w:w="4984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最低/建议版本</w:t>
            </w:r>
          </w:p>
        </w:tc>
        <w:tc>
          <w:tcPr>
            <w:tcW w:type="dxa" w:w="4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用途与检查命令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Windows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Windows 10/11</w:t>
            </w:r>
          </w:p>
        </w:tc>
        <w:tc>
          <w:tcPr>
            <w:tcW w:type="dxa" w:w="4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本地开发与 PowerShell 脚本</w:t>
            </w:r>
          </w:p>
        </w:tc>
      </w:tr>
      <w:tr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Python</w:t>
            </w:r>
          </w:p>
        </w:tc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3.8+</w:t>
            </w:r>
          </w:p>
        </w:tc>
        <w:tc>
          <w:tcPr>
            <w:tcW w:type="dxa" w:w="4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python --version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Node.js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18+</w:t>
            </w:r>
          </w:p>
        </w:tc>
        <w:tc>
          <w:tcPr>
            <w:tcW w:type="dxa" w:w="4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node --version</w:t>
            </w:r>
          </w:p>
        </w:tc>
      </w:tr>
      <w:tr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npm</w:t>
            </w:r>
          </w:p>
        </w:tc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随 Node.js 安装</w:t>
            </w:r>
          </w:p>
        </w:tc>
        <w:tc>
          <w:tcPr>
            <w:tcW w:type="dxa" w:w="4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npm --version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MySQL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8.x</w:t>
            </w:r>
          </w:p>
        </w:tc>
        <w:tc>
          <w:tcPr>
            <w:tcW w:type="dxa" w:w="4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mysql --version</w:t>
            </w:r>
          </w:p>
        </w:tc>
      </w:tr>
      <w:tr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浏览器</w:t>
            </w:r>
          </w:p>
        </w:tc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Chrome 或 Edge</w:t>
            </w:r>
          </w:p>
        </w:tc>
        <w:tc>
          <w:tcPr>
            <w:tcW w:type="dxa" w:w="4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访问本地系统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DeepSeek API Key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可选</w:t>
            </w:r>
          </w:p>
        </w:tc>
        <w:tc>
          <w:tcPr>
            <w:tcW w:type="dxa" w:w="4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启用智能问答、自然语言 SQL 和报告</w:t>
            </w:r>
          </w:p>
        </w:tc>
      </w:tr>
      <w:tr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高德 JS API Key</w:t>
            </w:r>
          </w:p>
        </w:tc>
        <w:tc>
          <w:tcPr>
            <w:tcW w:type="dxa" w:w="21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可选</w:t>
            </w:r>
          </w:p>
        </w:tc>
        <w:tc>
          <w:tcPr>
            <w:tcW w:type="dxa" w:w="4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启用高德底图；无 Key 时仍可使用本地统计与其他页面</w:t>
            </w:r>
          </w:p>
        </w:tc>
      </w:tr>
    </w:tbl>
    <w:p>
      <w:pPr>
        <w:spacing w:after="0"/>
      </w:pPr>
    </w:p>
    <w:p>
      <w:pPr>
        <w:pStyle w:val="Heading1"/>
      </w:pPr>
      <w:r>
        <w:t>4. 数据库初始化</w:t>
      </w:r>
    </w:p>
    <w:p>
      <w:pPr>
        <w:pStyle w:val="Heading2"/>
      </w:pPr>
      <w:r>
        <w:t>4.1 创建数据库</w:t>
      </w:r>
    </w:p>
    <w:p>
      <w:pPr>
        <w:spacing w:before="60" w:after="60"/>
      </w:pPr>
      <w:r>
        <w:rPr>
          <w:rFonts w:ascii="Times New Roman" w:hAnsi="Times New Roman" w:eastAsia="微软雅黑"/>
          <w:b/>
          <w:color w:val="315F91"/>
          <w:sz w:val="18"/>
        </w:rPr>
        <w:t>在项目根目录执行</w:t>
      </w:r>
    </w:p>
    <w:tbl>
      <w:tblPr>
        <w:tblW w:type="dxa" w:w="918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9184"/>
      </w:tblGrid>
      <w:tr>
        <w:tc>
          <w:tcPr>
            <w:tcW w:type="dxa" w:w="9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等线"/>
                <w:color w:val="243247"/>
                <w:sz w:val="17"/>
              </w:rPr>
              <w:t>mysql -u root -p -e "CREATE DATABASE IF NOT EXISTS real_estate DEFAULT CHARACTER SET utf8mb4 COLLATE utf8mb4_unicode_ci;"</w:t>
            </w:r>
          </w:p>
        </w:tc>
      </w:tr>
    </w:tbl>
    <w:p>
      <w:pPr>
        <w:spacing w:after="0"/>
      </w:pPr>
    </w:p>
    <w:p>
      <w:pPr>
        <w:pStyle w:val="Heading2"/>
      </w:pPr>
      <w:r>
        <w:t>4.2 导入最终 SQL</w:t>
      </w:r>
    </w:p>
    <w:p>
      <w:pPr>
        <w:ind w:firstLine="0"/>
      </w:pPr>
      <w:r>
        <w:rPr>
          <w:rFonts w:ascii="Times New Roman" w:hAnsi="Times New Roman" w:eastAsia="宋体"/>
          <w:color w:val="1F2937"/>
          <w:sz w:val="21"/>
        </w:rPr>
        <w:t>PowerShell 本身不直接支持传统的 &lt; 输入重定向，建议通过 cmd /c 调用 MySQL 客户端：</w:t>
      </w:r>
    </w:p>
    <w:tbl>
      <w:tblPr>
        <w:tblW w:type="dxa" w:w="918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9184"/>
      </w:tblGrid>
      <w:tr>
        <w:tc>
          <w:tcPr>
            <w:tcW w:type="dxa" w:w="9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等线"/>
                <w:color w:val="243247"/>
                <w:sz w:val="17"/>
              </w:rPr>
              <w:t>cmd /c "mysql -u root -p real_estate &lt; database\real_estate_final_20260701.sql"</w:t>
            </w:r>
          </w:p>
        </w:tc>
      </w:tr>
    </w:tbl>
    <w:p>
      <w:pPr>
        <w:spacing w:after="0"/>
      </w:pPr>
    </w:p>
    <w:p>
      <w:pPr>
        <w:pStyle w:val="Heading2"/>
      </w:pPr>
      <w:r>
        <w:t>4.3 导入后核验</w:t>
      </w:r>
    </w:p>
    <w:tbl>
      <w:tblPr>
        <w:tblW w:type="dxa" w:w="918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9184"/>
      </w:tblGrid>
      <w:tr>
        <w:tc>
          <w:tcPr>
            <w:tcW w:type="dxa" w:w="9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等线"/>
                <w:color w:val="243247"/>
                <w:sz w:val="17"/>
              </w:rPr>
              <w:t>mysql -u root -p real_estate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SELECT COUNT(*) FROM listings WHERE status IN ('active','valid');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SELECT COUNT(DISTINCT district) FROM listings;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SELECT source, COUNT(*) FROM listings GROUP BY source ORDER BY COUNT(*) DESC;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SELECT COUNT(*) FROM listing_snapshots;</w:t>
            </w:r>
          </w:p>
        </w:tc>
      </w:tr>
    </w:tbl>
    <w:p>
      <w:pPr>
        <w:spacing w:after="0"/>
      </w:pPr>
    </w:p>
    <w:tbl>
      <w:tblPr>
        <w:tblW w:type="dxa" w:w="918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7D79A"/>
          <w:left w:val="single" w:sz="6" w:color="E7D79A"/>
          <w:bottom w:val="single" w:sz="6" w:color="E7D79A"/>
          <w:right w:val="single" w:sz="6" w:color="E7D79A"/>
          <w:insideH w:val="single" w:sz="6" w:color="E7D79A"/>
          <w:insideV w:val="single" w:sz="6" w:color="E7D79A"/>
        </w:tblBorders>
      </w:tblPr>
      <w:tblGrid>
        <w:gridCol w:w="9184"/>
      </w:tblGrid>
      <w:tr>
        <w:tc>
          <w:tcPr>
            <w:tcW w:type="dxa" w:w="9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4E8"/>
          </w:tcPr>
          <w:p>
            <w:pPr>
              <w:spacing w:after="0"/>
            </w:pPr>
            <w:r>
              <w:rPr>
                <w:rFonts w:ascii="Times New Roman" w:hAnsi="Times New Roman" w:eastAsia="微软雅黑"/>
                <w:b/>
                <w:color w:val="173F73"/>
                <w:sz w:val="19"/>
              </w:rPr>
              <w:t>当前验收结果：</w:t>
            </w:r>
            <w:r>
              <w:rPr>
                <w:rFonts w:ascii="Times New Roman" w:hAnsi="Times New Roman" w:eastAsia="宋体"/>
                <w:color w:val="1F2937"/>
                <w:sz w:val="19"/>
              </w:rPr>
              <w:t>有效房源 100,897 条；Dashboard 标准化展示 38 个区县；fang 98,134 条、anjuke_mobile 2,753 条、lianjia 10 条；快照 100,914 条。</w:t>
            </w:r>
          </w:p>
        </w:tc>
      </w:tr>
    </w:tbl>
    <w:p>
      <w:pPr>
        <w:spacing w:after="0"/>
      </w:pPr>
    </w:p>
    <w:p>
      <w:pPr>
        <w:pStyle w:val="Heading1"/>
      </w:pPr>
      <w:r>
        <w:t>5. 本地配置</w:t>
      </w:r>
    </w:p>
    <w:p>
      <w:pPr>
        <w:pStyle w:val="Heading2"/>
      </w:pPr>
      <w:r>
        <w:t>5.1 配置文件规则</w:t>
      </w:r>
    </w:p>
    <w:p>
      <w:pPr>
        <w:pStyle w:val="ListBullet"/>
      </w:pPr>
      <w:r>
        <w:rPr>
          <w:rFonts w:ascii="Times New Roman" w:hAnsi="Times New Roman" w:eastAsia="宋体"/>
          <w:color w:val="1F2937"/>
          <w:sz w:val="21"/>
        </w:rPr>
        <w:t>根目录 .env：数据库、登录、采集、DeepSeek 和调度配置。</w:t>
      </w:r>
    </w:p>
    <w:p>
      <w:pPr>
        <w:pStyle w:val="ListBullet"/>
      </w:pPr>
      <w:r>
        <w:rPr>
          <w:rFonts w:ascii="Times New Roman" w:hAnsi="Times New Roman" w:eastAsia="宋体"/>
          <w:color w:val="1F2937"/>
          <w:sz w:val="21"/>
        </w:rPr>
        <w:t>Frontend/.env.local：高德 Web Key 与安全密钥等前端本地配置。</w:t>
      </w:r>
    </w:p>
    <w:p>
      <w:pPr>
        <w:pStyle w:val="ListBullet"/>
      </w:pPr>
      <w:r>
        <w:rPr>
          <w:rFonts w:ascii="Times New Roman" w:hAnsi="Times New Roman" w:eastAsia="宋体"/>
          <w:color w:val="1F2937"/>
          <w:sz w:val="21"/>
        </w:rPr>
        <w:t>data/cookies/：需要登录态的数据源 Cookie 文件。</w:t>
      </w:r>
    </w:p>
    <w:p>
      <w:pPr>
        <w:pStyle w:val="ListBullet"/>
      </w:pPr>
      <w:r>
        <w:rPr>
          <w:rFonts w:ascii="Times New Roman" w:hAnsi="Times New Roman" w:eastAsia="宋体"/>
          <w:color w:val="1F2937"/>
          <w:sz w:val="21"/>
        </w:rPr>
        <w:t>上述路径均被 .gitignore 排除，应保留在本机，禁止提交真实密钥和 Cookie。</w:t>
      </w:r>
    </w:p>
    <w:p>
      <w:pPr>
        <w:pStyle w:val="ListBullet"/>
      </w:pPr>
      <w:r>
        <w:rPr>
          <w:rFonts w:ascii="Times New Roman" w:hAnsi="Times New Roman" w:eastAsia="宋体"/>
          <w:color w:val="1F2937"/>
          <w:sz w:val="21"/>
        </w:rPr>
        <w:t>setup_local.ps1 只在文件不存在时从 example 创建，不会覆盖已有配置。</w:t>
      </w:r>
    </w:p>
    <w:p>
      <w:pPr>
        <w:pStyle w:val="Heading2"/>
      </w:pPr>
      <w:r>
        <w:t>5.2 关键环境变量</w:t>
      </w:r>
    </w:p>
    <w:tbl>
      <w:tblPr>
        <w:tblW w:type="dxa" w:w="918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2700"/>
        <w:gridCol w:w="2900"/>
        <w:gridCol w:w="3584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DATABASE_URL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业务数据库连接</w:t>
            </w:r>
          </w:p>
        </w:tc>
        <w:tc>
          <w:tcPr>
            <w:tcW w:type="dxa" w:w="3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必须指向 MySQL real_estate</w:t>
            </w:r>
          </w:p>
        </w:tc>
      </w:tr>
      <w:tr>
        <w:tc>
          <w:tcPr>
            <w:tcW w:type="dxa" w:w="2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TEST_DATABASE_URL</w:t>
            </w:r>
          </w:p>
        </w:tc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测试数据库连接</w:t>
            </w:r>
          </w:p>
        </w:tc>
        <w:tc>
          <w:tcPr>
            <w:tcW w:type="dxa" w:w="35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建议使用独立 real_estate_test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AUTH_ADMIN_USERNAME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管理员账号</w:t>
            </w:r>
          </w:p>
        </w:tc>
        <w:tc>
          <w:tcPr>
            <w:tcW w:type="dxa" w:w="3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默认 admin</w:t>
            </w:r>
          </w:p>
        </w:tc>
      </w:tr>
      <w:tr>
        <w:tc>
          <w:tcPr>
            <w:tcW w:type="dxa" w:w="2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AUTH_ADMIN_PASSWORD</w:t>
            </w:r>
          </w:p>
        </w:tc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管理员密码</w:t>
            </w:r>
          </w:p>
        </w:tc>
        <w:tc>
          <w:tcPr>
            <w:tcW w:type="dxa" w:w="35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默认 swu@2026，正式环境应修改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CRAWL_MAX_WORKERS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采集最大并发</w:t>
            </w:r>
          </w:p>
        </w:tc>
        <w:tc>
          <w:tcPr>
            <w:tcW w:type="dxa" w:w="3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建议 3—5，避免高频请求</w:t>
            </w:r>
          </w:p>
        </w:tc>
      </w:tr>
      <w:tr>
        <w:tc>
          <w:tcPr>
            <w:tcW w:type="dxa" w:w="2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DEEPSEEK_ENABLED</w:t>
            </w:r>
          </w:p>
        </w:tc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启用 Agent</w:t>
            </w:r>
          </w:p>
        </w:tc>
        <w:tc>
          <w:tcPr>
            <w:tcW w:type="dxa" w:w="35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true 时还需有效 API Key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DEEPSEEK_API_KEY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DeepSeek 密钥</w:t>
            </w:r>
          </w:p>
        </w:tc>
        <w:tc>
          <w:tcPr>
            <w:tcW w:type="dxa" w:w="3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只写入本地 .env</w:t>
            </w:r>
          </w:p>
        </w:tc>
      </w:tr>
      <w:tr>
        <w:tc>
          <w:tcPr>
            <w:tcW w:type="dxa" w:w="2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SCHEDULER_ENABLED</w:t>
            </w:r>
          </w:p>
        </w:tc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启用 APScheduler</w:t>
            </w:r>
          </w:p>
        </w:tc>
        <w:tc>
          <w:tcPr>
            <w:tcW w:type="dxa" w:w="35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本地可按需开启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INCREMENTAL_CRAWL_JOB_ENABLED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启用定期增量采集</w:t>
            </w:r>
          </w:p>
        </w:tc>
        <w:tc>
          <w:tcPr>
            <w:tcW w:type="dxa" w:w="3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需先确认采集源可用</w:t>
            </w:r>
          </w:p>
        </w:tc>
      </w:tr>
      <w:tr>
        <w:tc>
          <w:tcPr>
            <w:tcW w:type="dxa" w:w="27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VITE_AMAP_WEB_KEY</w:t>
            </w:r>
          </w:p>
        </w:tc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高德地图 Web Key</w:t>
            </w:r>
          </w:p>
        </w:tc>
        <w:tc>
          <w:tcPr>
            <w:tcW w:type="dxa" w:w="35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写入 Frontend/.env.local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安装与启动</w:t>
      </w:r>
    </w:p>
    <w:p>
      <w:pPr>
        <w:pStyle w:val="Heading2"/>
      </w:pPr>
      <w:r>
        <w:t>6.1 推荐一键安装</w:t>
      </w:r>
    </w:p>
    <w:tbl>
      <w:tblPr>
        <w:tblW w:type="dxa" w:w="918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9184"/>
      </w:tblGrid>
      <w:tr>
        <w:tc>
          <w:tcPr>
            <w:tcW w:type="dxa" w:w="9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等线"/>
                <w:color w:val="243247"/>
                <w:sz w:val="17"/>
              </w:rPr>
              <w:t>powershell -ExecutionPolicy Bypass -File .\scripts\setup_local.ps1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Times New Roman" w:hAnsi="Times New Roman" w:eastAsia="宋体"/>
          <w:color w:val="1F2937"/>
          <w:sz w:val="21"/>
        </w:rPr>
        <w:t>脚本会检查 Python 和 npm，在配置缺失时复制模板，然后安装 requirements.txt 与 Frontend/package-lock.json 中的依赖。已有 .env 和 Frontend/.env.local 会原样保留。</w:t>
      </w:r>
    </w:p>
    <w:p>
      <w:pPr>
        <w:pStyle w:val="Heading2"/>
      </w:pPr>
      <w:r>
        <w:t>6.2 推荐同时启动前后端</w:t>
      </w:r>
    </w:p>
    <w:tbl>
      <w:tblPr>
        <w:tblW w:type="dxa" w:w="918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9184"/>
      </w:tblGrid>
      <w:tr>
        <w:tc>
          <w:tcPr>
            <w:tcW w:type="dxa" w:w="9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等线"/>
                <w:color w:val="243247"/>
                <w:sz w:val="17"/>
              </w:rPr>
              <w:t>powershell -ExecutionPolicy Bypass -File .\scripts\start_local_dev.ps1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Times New Roman" w:hAnsi="Times New Roman" w:eastAsia="宋体"/>
          <w:color w:val="1F2937"/>
          <w:sz w:val="21"/>
        </w:rPr>
        <w:t>启动脚本会检查 5000/5173 端口，只把 Listen 状态视为占用；前端最多等待 20 秒。运行日志写入 .codex-run，服务成功后访问 http://127.0.0.1:5173。</w:t>
      </w:r>
    </w:p>
    <w:p>
      <w:pPr>
        <w:pStyle w:val="Heading2"/>
      </w:pPr>
      <w:r>
        <w:t>6.3 手动启动</w:t>
      </w:r>
    </w:p>
    <w:tbl>
      <w:tblPr>
        <w:tblW w:type="dxa" w:w="918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9184"/>
      </w:tblGrid>
      <w:tr>
        <w:tc>
          <w:tcPr>
            <w:tcW w:type="dxa" w:w="9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等线"/>
                <w:color w:val="243247"/>
                <w:sz w:val="17"/>
              </w:rPr>
              <w:t># 终端 1：后端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python -m flask --app Backend.app run --debug --port 5000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# 终端 2：前端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cd Frontend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npm run dev -- --host 127.0.0.1 --port 5173</w:t>
            </w:r>
          </w:p>
        </w:tc>
      </w:tr>
    </w:tbl>
    <w:p>
      <w:pPr>
        <w:spacing w:after="0"/>
      </w:pPr>
    </w:p>
    <w:p>
      <w:pPr>
        <w:pStyle w:val="Heading2"/>
      </w:pPr>
      <w:r>
        <w:t>6.4 启动检查</w:t>
      </w:r>
    </w:p>
    <w:tbl>
      <w:tblPr>
        <w:tblW w:type="dxa" w:w="918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9184"/>
      </w:tblGrid>
      <w:tr>
        <w:tc>
          <w:tcPr>
            <w:tcW w:type="dxa" w:w="9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等线"/>
                <w:color w:val="243247"/>
                <w:sz w:val="17"/>
              </w:rPr>
              <w:t>curl http://127.0.0.1:5000/api/health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curl http://127.0.0.1:5000/api/overview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# 浏览器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http://127.0.0.1:5173</w:t>
            </w:r>
          </w:p>
        </w:tc>
      </w:tr>
    </w:tbl>
    <w:p>
      <w:pPr>
        <w:spacing w:after="0"/>
      </w:pPr>
    </w:p>
    <w:tbl>
      <w:tblPr>
        <w:tblW w:type="dxa" w:w="918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7D79A"/>
          <w:left w:val="single" w:sz="6" w:color="E7D79A"/>
          <w:bottom w:val="single" w:sz="6" w:color="E7D79A"/>
          <w:right w:val="single" w:sz="6" w:color="E7D79A"/>
          <w:insideH w:val="single" w:sz="6" w:color="E7D79A"/>
          <w:insideV w:val="single" w:sz="6" w:color="E7D79A"/>
        </w:tblBorders>
      </w:tblPr>
      <w:tblGrid>
        <w:gridCol w:w="9184"/>
      </w:tblGrid>
      <w:tr>
        <w:tc>
          <w:tcPr>
            <w:tcW w:type="dxa" w:w="9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4E8"/>
          </w:tcPr>
          <w:p>
            <w:pPr>
              <w:spacing w:after="0"/>
            </w:pPr>
            <w:r>
              <w:rPr>
                <w:rFonts w:ascii="Times New Roman" w:hAnsi="Times New Roman" w:eastAsia="微软雅黑"/>
                <w:b/>
                <w:color w:val="173F73"/>
                <w:sz w:val="19"/>
              </w:rPr>
              <w:t>正常状态：</w:t>
            </w:r>
            <w:r>
              <w:rPr>
                <w:rFonts w:ascii="Times New Roman" w:hAnsi="Times New Roman" w:eastAsia="宋体"/>
                <w:color w:val="1F2937"/>
                <w:sz w:val="19"/>
              </w:rPr>
              <w:t>健康接口返回 status=healthy；前端首页显示 100,897 条房源和 38 个标准化区县。</w:t>
            </w:r>
          </w:p>
        </w:tc>
      </w:tr>
    </w:tbl>
    <w:p>
      <w:pPr>
        <w:spacing w:after="0"/>
      </w:pPr>
    </w:p>
    <w:p>
      <w:pPr>
        <w:pStyle w:val="Heading1"/>
      </w:pPr>
      <w:r>
        <w:t>7. 登录与页面使用</w:t>
      </w:r>
    </w:p>
    <w:p>
      <w:pPr>
        <w:pStyle w:val="Heading2"/>
      </w:pPr>
      <w:r>
        <w:t>7.1 登录</w:t>
      </w:r>
    </w:p>
    <w:tbl>
      <w:tblPr>
        <w:tblW w:type="dxa" w:w="918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2200"/>
        <w:gridCol w:w="2900"/>
        <w:gridCol w:w="4084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40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地址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http://127.0.0.1:5173</w:t>
            </w:r>
          </w:p>
        </w:tc>
        <w:tc>
          <w:tcPr>
            <w:tcW w:type="dxa" w:w="40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本地前端</w:t>
            </w:r>
          </w:p>
        </w:tc>
      </w:tr>
      <w:tr>
        <w:tc>
          <w:tcPr>
            <w:tcW w:type="dxa" w:w="2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用户名</w:t>
            </w:r>
          </w:p>
        </w:tc>
        <w:tc>
          <w:tcPr>
            <w:tcW w:type="dxa" w:w="2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admin</w:t>
            </w:r>
          </w:p>
        </w:tc>
        <w:tc>
          <w:tcPr>
            <w:tcW w:type="dxa" w:w="40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可在 .env 修改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密码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swu@2026</w:t>
            </w:r>
          </w:p>
        </w:tc>
        <w:tc>
          <w:tcPr>
            <w:tcW w:type="dxa" w:w="40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8"/>
              </w:rPr>
              <w:t>正式使用前应修改</w:t>
            </w:r>
          </w:p>
        </w:tc>
      </w:tr>
    </w:tbl>
    <w:p>
      <w:pPr>
        <w:spacing w:after="0"/>
      </w:pPr>
    </w:p>
    <w:p>
      <w:pPr>
        <w:pStyle w:val="Heading2"/>
      </w:pPr>
      <w:r>
        <w:t>7.2 页面功能</w:t>
      </w:r>
    </w:p>
    <w:tbl>
      <w:tblPr>
        <w:tblW w:type="dxa" w:w="918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1900"/>
        <w:gridCol w:w="4300"/>
        <w:gridCol w:w="2984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主要操作</w:t>
            </w:r>
          </w:p>
        </w:tc>
        <w:tc>
          <w:tcPr>
            <w:tcW w:type="dxa" w:w="2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数据来源/结果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首页总览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查看 KPI、地图、区县排行、趋势、散点、总价与户型分布</w:t>
            </w:r>
          </w:p>
        </w:tc>
        <w:tc>
          <w:tcPr>
            <w:tcW w:type="dxa" w:w="2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/api/overview 与 /api/charts/*</w:t>
            </w:r>
          </w:p>
        </w:tc>
      </w:tr>
      <w:tr>
        <w:tc>
          <w:tcPr>
            <w:tcW w:type="dxa" w:w="1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房源数据管理</w:t>
            </w:r>
          </w:p>
        </w:tc>
        <w:tc>
          <w:tcPr>
            <w:tcW w:type="dxa" w:w="43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关键词、区县、来源、价格和面积筛选；分页、详情、CSV 导出</w:t>
            </w:r>
          </w:p>
        </w:tc>
        <w:tc>
          <w:tcPr>
            <w:tcW w:type="dxa" w:w="2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MySQL listings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采集任务管理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创建、运行、取消任务；查看进度、失败原因和页级日志</w:t>
            </w:r>
          </w:p>
        </w:tc>
        <w:tc>
          <w:tcPr>
            <w:tcW w:type="dxa" w:w="2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crawl_tasks / crawl_logs</w:t>
            </w:r>
          </w:p>
        </w:tc>
      </w:tr>
      <w:tr>
        <w:tc>
          <w:tcPr>
            <w:tcW w:type="dxa" w:w="1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数据清洗质量</w:t>
            </w:r>
          </w:p>
        </w:tc>
        <w:tc>
          <w:tcPr>
            <w:tcW w:type="dxa" w:w="43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查看六维质量、异常样本、来源分层和清洗步骤</w:t>
            </w:r>
          </w:p>
        </w:tc>
        <w:tc>
          <w:tcPr>
            <w:tcW w:type="dxa" w:w="2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data_quality_reports 与实时聚合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分析建模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运行 EDA、回归、参数搜索、聚类和异常检测；查看历史任务</w:t>
            </w:r>
          </w:p>
        </w:tc>
        <w:tc>
          <w:tcPr>
            <w:tcW w:type="dxa" w:w="2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analysis_jobs / model_results</w:t>
            </w:r>
          </w:p>
        </w:tc>
      </w:tr>
      <w:tr>
        <w:tc>
          <w:tcPr>
            <w:tcW w:type="dxa" w:w="19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智能问答与报告</w:t>
            </w:r>
          </w:p>
        </w:tc>
        <w:tc>
          <w:tcPr>
            <w:tcW w:type="dxa" w:w="43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市场问数、模型解释、工具轨迹、自然语言 SQL、PDF 报告</w:t>
            </w:r>
          </w:p>
        </w:tc>
        <w:tc>
          <w:tcPr>
            <w:tcW w:type="dxa" w:w="2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DeepSeek + ToolRegistry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系统设置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修改采集、调度和 DeepSeek 配置，执行连接测试</w:t>
            </w:r>
          </w:p>
        </w:tc>
        <w:tc>
          <w:tcPr>
            <w:tcW w:type="dxa" w:w="2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system_settings 与本地环境变量</w:t>
            </w:r>
          </w:p>
        </w:tc>
      </w:tr>
    </w:tbl>
    <w:p>
      <w:pPr>
        <w:spacing w:after="0"/>
      </w:pPr>
    </w:p>
    <w:p>
      <w:pPr>
        <w:pStyle w:val="Heading1"/>
      </w:pPr>
      <w:r>
        <w:t>8. 典型操作流程</w:t>
      </w:r>
    </w:p>
    <w:p>
      <w:pPr>
        <w:pStyle w:val="Heading2"/>
      </w:pPr>
      <w:r>
        <w:t>8.1 创建采集任务</w:t>
      </w:r>
    </w:p>
    <w:p>
      <w:pPr>
        <w:pStyle w:val="ListNumber"/>
      </w:pPr>
      <w:r>
        <w:rPr>
          <w:rFonts w:ascii="Times New Roman" w:hAnsi="Times New Roman" w:eastAsia="宋体"/>
          <w:color w:val="1F2937"/>
          <w:sz w:val="21"/>
        </w:rPr>
        <w:t>进入“采集任务管理”，点击新建任务。</w:t>
      </w:r>
    </w:p>
    <w:p>
      <w:pPr>
        <w:pStyle w:val="ListNumber"/>
      </w:pPr>
      <w:r>
        <w:rPr>
          <w:rFonts w:ascii="Times New Roman" w:hAnsi="Times New Roman" w:eastAsia="宋体"/>
          <w:color w:val="1F2937"/>
          <w:sz w:val="21"/>
        </w:rPr>
        <w:t>选择数据源和区县，首次测试建议每区 1 页、并发 1—3。</w:t>
      </w:r>
    </w:p>
    <w:p>
      <w:pPr>
        <w:pStyle w:val="ListNumber"/>
      </w:pPr>
      <w:r>
        <w:rPr>
          <w:rFonts w:ascii="Times New Roman" w:hAnsi="Times New Roman" w:eastAsia="宋体"/>
          <w:color w:val="1F2937"/>
          <w:sz w:val="21"/>
        </w:rPr>
        <w:t>创建后启动任务，观察 pending、running、success 或 partial_failed 状态。</w:t>
      </w:r>
    </w:p>
    <w:p>
      <w:pPr>
        <w:pStyle w:val="ListNumber"/>
      </w:pPr>
      <w:r>
        <w:rPr>
          <w:rFonts w:ascii="Times New Roman" w:hAnsi="Times New Roman" w:eastAsia="宋体"/>
          <w:color w:val="1F2937"/>
          <w:sz w:val="21"/>
        </w:rPr>
        <w:t>查看日志中的 URL、HTTP 状态、解析数量和失败原因。</w:t>
      </w:r>
    </w:p>
    <w:p>
      <w:pPr>
        <w:pStyle w:val="ListNumber"/>
      </w:pPr>
      <w:r>
        <w:rPr>
          <w:rFonts w:ascii="Times New Roman" w:hAnsi="Times New Roman" w:eastAsia="宋体"/>
          <w:color w:val="1F2937"/>
          <w:sz w:val="21"/>
        </w:rPr>
        <w:t>遇验证码或验证网关时停止重复尝试，不绕过验证。</w:t>
      </w:r>
    </w:p>
    <w:p>
      <w:pPr>
        <w:pStyle w:val="Heading2"/>
      </w:pPr>
      <w:r>
        <w:t>8.2 执行分析任务</w:t>
      </w:r>
    </w:p>
    <w:p>
      <w:pPr>
        <w:pStyle w:val="ListNumber"/>
      </w:pPr>
      <w:r>
        <w:rPr>
          <w:rFonts w:ascii="Times New Roman" w:hAnsi="Times New Roman" w:eastAsia="宋体"/>
          <w:color w:val="1F2937"/>
          <w:sz w:val="21"/>
        </w:rPr>
        <w:t>进入“分析建模”，选择重新训练或相应分析类型。</w:t>
      </w:r>
    </w:p>
    <w:p>
      <w:pPr>
        <w:pStyle w:val="ListNumber"/>
      </w:pPr>
      <w:r>
        <w:rPr>
          <w:rFonts w:ascii="Times New Roman" w:hAnsi="Times New Roman" w:eastAsia="宋体"/>
          <w:color w:val="1F2937"/>
          <w:sz w:val="21"/>
        </w:rPr>
        <w:t>等待任务完成后检查样本量、训练集、测试集和区县/来源覆盖。</w:t>
      </w:r>
    </w:p>
    <w:p>
      <w:pPr>
        <w:pStyle w:val="ListNumber"/>
      </w:pPr>
      <w:r>
        <w:rPr>
          <w:rFonts w:ascii="Times New Roman" w:hAnsi="Times New Roman" w:eastAsia="宋体"/>
          <w:color w:val="1F2937"/>
          <w:sz w:val="21"/>
        </w:rPr>
        <w:t>回归结果同时查看 MAE、RMSE、R² 和 MAPE，不只看单一最好指标。</w:t>
      </w:r>
    </w:p>
    <w:p>
      <w:pPr>
        <w:pStyle w:val="ListNumber"/>
      </w:pPr>
      <w:r>
        <w:rPr>
          <w:rFonts w:ascii="Times New Roman" w:hAnsi="Times New Roman" w:eastAsia="宋体"/>
          <w:color w:val="1F2937"/>
          <w:sz w:val="21"/>
        </w:rPr>
        <w:t>聚类用于市场画像；异常结果用于人工复核，不直接删除房源。</w:t>
      </w:r>
    </w:p>
    <w:p>
      <w:pPr>
        <w:pStyle w:val="Heading2"/>
      </w:pPr>
      <w:r>
        <w:t>8.3 使用智能问答</w:t>
      </w:r>
    </w:p>
    <w:p>
      <w:pPr>
        <w:pStyle w:val="ListNumber"/>
      </w:pPr>
      <w:r>
        <w:rPr>
          <w:rFonts w:ascii="Times New Roman" w:hAnsi="Times New Roman" w:eastAsia="宋体"/>
          <w:color w:val="1F2937"/>
          <w:sz w:val="21"/>
        </w:rPr>
        <w:t>在系统设置中启用 DeepSeek，填写 Key，并执行真实连接测试。</w:t>
      </w:r>
    </w:p>
    <w:p>
      <w:pPr>
        <w:pStyle w:val="ListNumber"/>
      </w:pPr>
      <w:r>
        <w:rPr>
          <w:rFonts w:ascii="Times New Roman" w:hAnsi="Times New Roman" w:eastAsia="宋体"/>
          <w:color w:val="1F2937"/>
          <w:sz w:val="21"/>
        </w:rPr>
        <w:t>进入“智能问答与报告”，提出区县统计、模型结果或采集状态问题。</w:t>
      </w:r>
    </w:p>
    <w:p>
      <w:pPr>
        <w:pStyle w:val="ListNumber"/>
      </w:pPr>
      <w:r>
        <w:rPr>
          <w:rFonts w:ascii="Times New Roman" w:hAnsi="Times New Roman" w:eastAsia="宋体"/>
          <w:color w:val="1F2937"/>
          <w:sz w:val="21"/>
        </w:rPr>
        <w:t>检查右侧执行轨迹，确认工具名、参数、结果和耗时。</w:t>
      </w:r>
    </w:p>
    <w:p>
      <w:pPr>
        <w:pStyle w:val="ListNumber"/>
      </w:pPr>
      <w:r>
        <w:rPr>
          <w:rFonts w:ascii="Times New Roman" w:hAnsi="Times New Roman" w:eastAsia="宋体"/>
          <w:color w:val="1F2937"/>
          <w:sz w:val="21"/>
        </w:rPr>
        <w:t>复杂聚合问题会调用 query_readonly_sql；生成 SQL 必须通过只读安全校验。</w:t>
      </w:r>
    </w:p>
    <w:p>
      <w:pPr>
        <w:pStyle w:val="ListNumber"/>
      </w:pPr>
      <w:r>
        <w:rPr>
          <w:rFonts w:ascii="Times New Roman" w:hAnsi="Times New Roman" w:eastAsia="宋体"/>
          <w:color w:val="1F2937"/>
          <w:sz w:val="21"/>
        </w:rPr>
        <w:t>若工具无数据，系统应说明数据不足，不应给出无法核验的具体数值。</w:t>
      </w:r>
    </w:p>
    <w:p>
      <w:r>
        <w:br w:type="page"/>
      </w:r>
    </w:p>
    <w:p>
      <w:pPr>
        <w:pStyle w:val="Heading1"/>
      </w:pPr>
      <w:r>
        <w:t>9. 验收与测试</w:t>
      </w:r>
    </w:p>
    <w:p>
      <w:pPr>
        <w:pStyle w:val="Heading2"/>
      </w:pPr>
      <w:r>
        <w:t>9.1 自动验收命令</w:t>
      </w:r>
    </w:p>
    <w:tbl>
      <w:tblPr>
        <w:tblW w:type="dxa" w:w="918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9184"/>
      </w:tblGrid>
      <w:tr>
        <w:tc>
          <w:tcPr>
            <w:tcW w:type="dxa" w:w="9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等线"/>
                <w:color w:val="243247"/>
                <w:sz w:val="17"/>
              </w:rPr>
              <w:t># 后端语法和测试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python -m compileall Backend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python -m pytest Backend/tests -q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# 前端生产构建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cd Frontend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npm run build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# 服务启动后的核心接口 smoke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cd ..</w:t>
            </w:r>
            <w:r>
              <w:br/>
            </w:r>
            <w:r>
              <w:rPr>
                <w:rFonts w:ascii="Consolas" w:hAnsi="Consolas" w:eastAsia="等线"/>
                <w:color w:val="243247"/>
                <w:sz w:val="17"/>
              </w:rPr>
              <w:t>python scripts/local_demo_smoke.py</w:t>
            </w:r>
          </w:p>
        </w:tc>
      </w:tr>
    </w:tbl>
    <w:p>
      <w:pPr>
        <w:spacing w:after="0"/>
      </w:pPr>
    </w:p>
    <w:p>
      <w:pPr>
        <w:pStyle w:val="Heading2"/>
      </w:pPr>
      <w:r>
        <w:t>9.2 当前复验结果</w:t>
      </w:r>
    </w:p>
    <w:tbl>
      <w:tblPr>
        <w:tblW w:type="dxa" w:w="918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2200"/>
        <w:gridCol w:w="1600"/>
        <w:gridCol w:w="5384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5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后端测试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82 passed</w:t>
            </w:r>
          </w:p>
        </w:tc>
        <w:tc>
          <w:tcPr>
            <w:tcW w:type="dxa" w:w="5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覆盖认证、房源、图表、采集、质量、分析、Agent、调度和设置</w:t>
            </w:r>
          </w:p>
        </w:tc>
      </w:tr>
      <w:tr>
        <w:tc>
          <w:tcPr>
            <w:tcW w:type="dxa" w:w="2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前端构建</w:t>
            </w:r>
          </w:p>
        </w:tc>
        <w:tc>
          <w:tcPr>
            <w:tcW w:type="dxa" w:w="1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通过</w:t>
            </w:r>
          </w:p>
        </w:tc>
        <w:tc>
          <w:tcPr>
            <w:tcW w:type="dxa" w:w="53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Vite 生产构建成功；存在主包较大的非阻塞提示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核心接口 smoke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通过</w:t>
            </w:r>
          </w:p>
        </w:tc>
        <w:tc>
          <w:tcPr>
            <w:tcW w:type="dxa" w:w="5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health、overview、listings、quality、analysis、settings、agent/tools</w:t>
            </w:r>
          </w:p>
        </w:tc>
      </w:tr>
      <w:tr>
        <w:tc>
          <w:tcPr>
            <w:tcW w:type="dxa" w:w="2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DeepSeek 连接</w:t>
            </w:r>
          </w:p>
        </w:tc>
        <w:tc>
          <w:tcPr>
            <w:tcW w:type="dxa" w:w="1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通过</w:t>
            </w:r>
          </w:p>
        </w:tc>
        <w:tc>
          <w:tcPr>
            <w:tcW w:type="dxa" w:w="53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真实轻量请求成功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自然语言 SQL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通过</w:t>
            </w:r>
          </w:p>
        </w:tc>
        <w:tc>
          <w:tcPr>
            <w:tcW w:type="dxa" w:w="5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真实调用 query_readonly_sql，返回受控聚合结果</w:t>
            </w:r>
          </w:p>
        </w:tc>
      </w:tr>
      <w:tr>
        <w:tc>
          <w:tcPr>
            <w:tcW w:type="dxa" w:w="2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PC 页面</w:t>
            </w:r>
          </w:p>
        </w:tc>
        <w:tc>
          <w:tcPr>
            <w:tcW w:type="dxa" w:w="16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通过</w:t>
            </w:r>
          </w:p>
        </w:tc>
        <w:tc>
          <w:tcPr>
            <w:tcW w:type="dxa" w:w="53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1920×900 页面渲染，控制台无相关错误</w:t>
            </w:r>
          </w:p>
        </w:tc>
      </w:tr>
    </w:tbl>
    <w:p>
      <w:pPr>
        <w:spacing w:after="0"/>
      </w:pPr>
    </w:p>
    <w:p>
      <w:pPr>
        <w:pStyle w:val="Heading1"/>
      </w:pPr>
      <w:r>
        <w:t>10. 常见问题</w:t>
      </w:r>
    </w:p>
    <w:tbl>
      <w:tblPr>
        <w:tblW w:type="dxa" w:w="918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8DEE8"/>
          <w:left w:val="single" w:sz="6" w:color="D8DEE8"/>
          <w:bottom w:val="single" w:sz="6" w:color="D8DEE8"/>
          <w:right w:val="single" w:sz="6" w:color="D8DEE8"/>
          <w:insideH w:val="single" w:sz="6" w:color="D8DEE8"/>
          <w:insideV w:val="single" w:sz="6" w:color="D8DEE8"/>
        </w:tblBorders>
      </w:tblPr>
      <w:tblGrid>
        <w:gridCol w:w="2800"/>
        <w:gridCol w:w="6384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6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F7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排查与处理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数据库连接失败</w:t>
            </w:r>
          </w:p>
        </w:tc>
        <w:tc>
          <w:tcPr>
            <w:tcW w:type="dxa" w:w="6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确认 MySQL 服务、3306 端口、real_estate 库和 DATABASE_URL；检查账号权限。</w:t>
            </w:r>
          </w:p>
        </w:tc>
      </w:tr>
      <w:tr>
        <w:tc>
          <w:tcPr>
            <w:tcW w:type="dxa" w:w="28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导入 SQL 失败</w:t>
            </w:r>
          </w:p>
        </w:tc>
        <w:tc>
          <w:tcPr>
            <w:tcW w:type="dxa" w:w="63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确认 mysql 命令可用；在 PowerShell 中使用 cmd /c 重定向命令；检查磁盘空间。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5000 或 5173 被占用</w:t>
            </w:r>
          </w:p>
        </w:tc>
        <w:tc>
          <w:tcPr>
            <w:tcW w:type="dxa" w:w="6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使用 Get-NetTCPConnection -State Listen 查看占用进程，确认后再停止；不要直接结束不明进程。</w:t>
            </w:r>
          </w:p>
        </w:tc>
      </w:tr>
      <w:tr>
        <w:tc>
          <w:tcPr>
            <w:tcW w:type="dxa" w:w="28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前端显示接口失败</w:t>
            </w:r>
          </w:p>
        </w:tc>
        <w:tc>
          <w:tcPr>
            <w:tcW w:type="dxa" w:w="63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先访问 /api/health；检查 Vite 代理、后端日志和浏览器控制台。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采集任务 partial_failed</w:t>
            </w:r>
          </w:p>
        </w:tc>
        <w:tc>
          <w:tcPr>
            <w:tcW w:type="dxa" w:w="6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查看 crawl_logs；网站结构变化、限流或验证网关均可能导致部分失败。</w:t>
            </w:r>
          </w:p>
        </w:tc>
      </w:tr>
      <w:tr>
        <w:tc>
          <w:tcPr>
            <w:tcW w:type="dxa" w:w="28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Agent 提示不可用</w:t>
            </w:r>
          </w:p>
        </w:tc>
        <w:tc>
          <w:tcPr>
            <w:tcW w:type="dxa" w:w="63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检查 DEEPSEEK_ENABLED、API Key、模型名和网络；在设置页运行连接测试。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地图不显示高德底图</w:t>
            </w:r>
          </w:p>
        </w:tc>
        <w:tc>
          <w:tcPr>
            <w:tcW w:type="dxa" w:w="6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检查 Frontend/.env.local 的 Web Key 和安全码；其他统计与业务页面仍可运行。</w:t>
            </w:r>
          </w:p>
        </w:tc>
      </w:tr>
      <w:tr>
        <w:tc>
          <w:tcPr>
            <w:tcW w:type="dxa" w:w="28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分析结果为空</w:t>
            </w:r>
          </w:p>
        </w:tc>
        <w:tc>
          <w:tcPr>
            <w:tcW w:type="dxa" w:w="63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确认存在质量分不低于 80 且价格、面积有效的数据，再创建分析任务。</w:t>
            </w:r>
          </w:p>
        </w:tc>
      </w:tr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启动脚本返回失败</w:t>
            </w:r>
          </w:p>
        </w:tc>
        <w:tc>
          <w:tcPr>
            <w:tcW w:type="dxa" w:w="6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color w:val="1F2937"/>
                <w:sz w:val="17"/>
              </w:rPr>
              <w:t>查看 .codex-run 中后端和前端 err.log；首次启动 Vite 最多等待 20 秒。</w:t>
            </w:r>
          </w:p>
        </w:tc>
      </w:tr>
    </w:tbl>
    <w:p>
      <w:pPr>
        <w:spacing w:after="0"/>
      </w:pPr>
    </w:p>
    <w:p>
      <w:pPr>
        <w:pStyle w:val="Heading1"/>
      </w:pPr>
      <w:r>
        <w:t>11. 安全、数据与发布边界</w:t>
      </w:r>
    </w:p>
    <w:p>
      <w:pPr>
        <w:pStyle w:val="ListBullet"/>
      </w:pPr>
      <w:r>
        <w:rPr>
          <w:rFonts w:ascii="Times New Roman" w:hAnsi="Times New Roman" w:eastAsia="宋体"/>
          <w:color w:val="1F2937"/>
          <w:sz w:val="21"/>
        </w:rPr>
        <w:t>不得提交 .env、Frontend/.env.local、data/cookies、API Key、数据库密码和真实 Token。</w:t>
      </w:r>
    </w:p>
    <w:p>
      <w:pPr>
        <w:pStyle w:val="ListBullet"/>
      </w:pPr>
      <w:r>
        <w:rPr>
          <w:rFonts w:ascii="Times New Roman" w:hAnsi="Times New Roman" w:eastAsia="宋体"/>
          <w:color w:val="1F2937"/>
          <w:sz w:val="21"/>
        </w:rPr>
        <w:t>Agent 不直接持有数据库连接，不执行用户原样输入的 SQL；只读 SQL 工具限制业务表、单条 SELECT、100 行、5 秒超时和只读事务。</w:t>
      </w:r>
    </w:p>
    <w:p>
      <w:pPr>
        <w:pStyle w:val="ListBullet"/>
      </w:pPr>
      <w:r>
        <w:rPr>
          <w:rFonts w:ascii="Times New Roman" w:hAnsi="Times New Roman" w:eastAsia="宋体"/>
          <w:color w:val="1F2937"/>
          <w:sz w:val="21"/>
        </w:rPr>
        <w:t>采集任务限制并发和请求间隔，遇验证码停止，不做强对抗反爬。</w:t>
      </w:r>
    </w:p>
    <w:p>
      <w:pPr>
        <w:pStyle w:val="ListBullet"/>
      </w:pPr>
      <w:r>
        <w:rPr>
          <w:rFonts w:ascii="Times New Roman" w:hAnsi="Times New Roman" w:eastAsia="宋体"/>
          <w:color w:val="1F2937"/>
          <w:sz w:val="21"/>
        </w:rPr>
        <w:t>所有房价均为挂牌价/报价；模型重要性表示统计关联或模型贡献，不代表因果关系。</w:t>
      </w:r>
    </w:p>
    <w:p>
      <w:pPr>
        <w:pStyle w:val="ListBullet"/>
      </w:pPr>
      <w:r>
        <w:rPr>
          <w:rFonts w:ascii="Times New Roman" w:hAnsi="Times New Roman" w:eastAsia="宋体"/>
          <w:color w:val="1F2937"/>
          <w:sz w:val="21"/>
        </w:rPr>
        <w:t>当前文档只证明 Windows 本地运行；Nginx、Gunicorn、systemd 和阿里云公网部署属于后续方案，不能表述为已上线。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361" w:left="1361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eastAsia="宋体"/>
        <w:color w:val="64748B"/>
        <w:sz w:val="18"/>
      </w:rPr>
      <w:t xml:space="preserve">第 </w:t>
    </w:r>
    <w:r>
      <w:rPr>
        <w:rFonts w:ascii="Times New Roman" w:hAnsi="Times New Roman" w:eastAsia="宋体"/>
        <w:color w:val="64748B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eastAsia="微软雅黑"/>
        <w:color w:val="64748B"/>
        <w:sz w:val="17"/>
      </w:rPr>
      <w:t>重庆市二手房源价格数据分析与智能可视化系统｜安装与使用说明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before="0" w:after="120"/>
      <w:jc w:val="both"/>
    </w:pPr>
    <w:rPr>
      <w:rFonts w:ascii="Times New Roman" w:hAnsi="Times New Roman" w:eastAsia="宋体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73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31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80"/>
      <w:ind w:left="510" w:hanging="255"/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80"/>
      <w:ind w:left="510" w:hanging="255"/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重庆市二手房源价格数据分析与智能可视化系统 安装与使用说明</dc:title>
  <dc:subject>学年设计Ⅱ系统安装与使用电子文档</dc:subject>
  <dc:creator>张浩博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