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应用增多，日志数据已成为审计和追溯的重要依据。传统中心化日志将原文、哈希记录和审计结果保存在同一管理域内，被篡改、删除或伪造后，后续校验缺少独立可信证据。针对该问题，本文设计并实现基于区块链的可信任务日志审计系统。系统采用链下保存原文、链上保存哈希摘要的混合存储模型，由 Agent 增量采集日志，Server 完成 SQLite 入库、SHA-256 哈希计算和 LogRegistry 合约写入，Web 前端展示日志、审计与告警结果。审计阶段重新计算 actualHash，并与 expectedHash、onChainHash 三方比对；哈希不一致时生成 failed 记录和 hash_mismatch 告警。引入合约代码存在性校验和历史合约地址回溯，减少本地链重启和多次部署造成的误判。实验表明，LogRegistry 合约 8 项测试全部通过；100 次批量提交成功率为 100%，平均响应时间 107.03 ms，吞吐量约 9.33 条/秒；100、500、1000 条批量审计 5 轮均成功；篡改检测能识别日志内容被修改并生成告警。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increasing use of information systems in business processing, automated operation and maintenance, and task execution, log data has become an important basis for security auditing, fault diagnosis, and responsibility tracing. In traditional centralized log management, original logs, hash records, and audit results are usually stored within the same management domain. Once logs are tampered with, deleted, or forged, later verification lacks independent and reliable evidence.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the Web frontend displays logs, audit results, and alert information. During auditing, actualHash is recalculated from the current log content and compared with expectedHash stored in the database and onChainHash queried from the smart contract. If the hashes are inconsistent, a failed audit record and a hash_mismatch alert are generated. The system also introduces contract code existence verification and historical contract address tracing to reduce misjudgment caused by local chain restarts and repeated contract deployments. Experimental results show that all 8 LogRegistry contract tests passed. In 100 batch log submissions, the success rate was 100%, the average response time was about 107.03 ms, and the throughput was about 9.33 records per second. Batch audits for 100, 500, and 1000 records were successfully completed in five rounds, and the tamper detection experiment showed that modified log content could be identified and an alert could be generated.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基于这一问题，本文围绕“基于区块链的可信任务日志审计系统设计与实现”展开研究，构建从日志采集、链下存储、链上存证、审计比对、异常告警到前端展示的原型系统。</w:t>
      </w:r>
    </w:p>
    <w:p w14:paraId="4464BBAA">
      <w:pPr>
        <w:spacing w:line="360" w:lineRule="auto"/>
        <w:ind w:firstLine="420"/>
      </w:pPr>
      <w:r>
        <w:t>从工程实现角度看，系统将 Agent 增量采集、Express 后端服务、SQLite 链下存储、LogRegistry 智能合约、审计告警和 React 前端展示组织为连续流程，使日志在产生后能够被采集、存证、核验和展示，为后续实验验证提供了完整运行环境。</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数据可信存证、日志审计和智能合约可信管理等方向持续发展。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643D0093">
      <w:pPr>
        <w:spacing w:line="360" w:lineRule="auto"/>
        <w:ind w:firstLine="420"/>
      </w:pPr>
      <w:r>
        <w:t>在上述研究基础上，本文面向任务日志审计场景，将 Agent 自动采集、Server 后端处理、SQLite 链下存储、LogRegistry 合约存证、三方哈希比对和 Web 前端展示结合起来，重点验证可信日志审计机制在完整工程链路中的可行性。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需要注意的是，摘要上链只能证明某个摘要被登记，不能单独保证采集过程完整，因此还需要结合链下数据库、自动采集和审计比对机制。本文正是在这一思路下，将 SQLite 链下存储与 LogRegistry 链上哈希存证结合起来。</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传统日志审计系统通常采用集中式日志平台或数据库保存日志数据。该方式便于统一检索、聚合分析和可视化展示，但在完整性保护方面仍存在不足。</w:t>
      </w:r>
    </w:p>
    <w:p w14:paraId="1A5DDBEC">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后续审计时，链下系统可以根据业务标识查询链上记录，再与本地数据库记录和重新计算得到的哈希进行比对。通过这种方式，智能合约成为链下业务数据与链上可信证据之间的连接层。本系统中的 LogRegistry 合约采用 AccessControl 管理 LOGGER_ROLE，只有被授权地址才能调用 storeLog 写入日志哈希。与此同时，智能合约也存在部署后修改成本较高、链上存储开销较大等限制，因此本文仅将日志哈希和必要元数据写入链上。</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1 章阐述研究背景及意义、国内外研究现状、主要研究内容和论文组织结构；第 2 章介绍区块链存证、智能合约访问控制、哈希完整性校验及系统开发相关技术；第 3 章重点说明链上链下混合存储、LogRegistry 合约、三方哈希比对、历史合约地址回溯、合约代码存在性校验和异常告警机制；第 4 章进行系统需求分析与总体设计；第 5 章介绍系统实现、功能测试、性能实验和篡改检测实验；第 6 章总结全文工作，并分析系统不足与后续优化方向。</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47DDA376">
      <w:r>
        <w:br w:type="page"/>
      </w:r>
    </w:p>
    <w:p>
      <w:pPr/>
      <w:r>
        <w:t>第 2 章 相关理论与关键技术</w:t>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 LogRegistry，并在审计阶段重新计算 actualHash，与数据库 expectedHash 和链上 onChainHash 进行比对。</w:t>
      </w:r>
    </w:p>
    <w:p>
      <w:r>
        <w:rPr>
          <w:rFonts w:ascii="宋体" w:hAnsi="宋体"/>
          <w:sz w:val="21"/>
        </w:rPr>
        <w:t>为进一步说明链上存证与链下数据之间的关系，图 2-1 对区块链存证的基本结构进行概括。该图用于说明业务数据并不必然完整上链，而是可以通过摘要、交易和区块记录形成可追溯证据。</w:t>
      </w:r>
    </w:p>
    <w:p>
      <w:pPr>
        <w:jc w:val="center"/>
      </w:pPr>
      <w:r>
        <w:rPr>
          <w:rFonts w:ascii="宋体" w:hAnsi="宋体"/>
          <w:sz w:val="21"/>
        </w:rPr>
        <w:t>【待生成并插入图片：image/fig-2-1-blockchain-evidence-structure.png；图片内部不包含论文图题，图题仅保留在正文下方】</w:t>
      </w:r>
    </w:p>
    <w:p>
      <w:pPr>
        <w:jc w:val="center"/>
      </w:pPr>
      <w:r>
        <w:rPr>
          <w:rFonts w:ascii="宋体" w:hAnsi="宋体"/>
          <w:sz w:val="21"/>
        </w:rPr>
        <w:t>图 2-1 区块链存证基本结构示意图</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访问控制是智能合约安全设计中的关键环节。在日志存证场景中，若任意地址都能写入日志哈希，攻击者可能提交伪造摘要，进而削弱链上证据的可信性。OpenZeppelin AccessControl 提供基于角色的授权机制，可通过 DEFAULT_ADMIN_ROLE 管理角色，通过 LOGGER_ROLE 限定日志写入主体。与简单自定义权限字段相比，该机制接口清晰、可复用性较好，适合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是安全哈希算法家族中的常用算法之一，其输出长度为 256 位，通常表示为固定长度的十六进制字符串。系统在日志首次提交时对日志正文计算哈希，并将该哈希作为提交时的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如果日志内容被修改，审计阶段重新计算得到的 actualHash 通常会与提交阶段保存的 expectedHash 不同。日志进入 Server 后，后端对 log_content 字段计算 SHA-256 哈希，并生成以 0x 开头的十六进制哈希值。需要说明的是，哈希摘要技术本身不能判断日志语义是否正确，也不能证明日志最初是否真实产生，它主要解决的是“当前数据是否与存证时保持一致”的问题。</w:t>
      </w:r>
    </w:p>
    <w:p>
      <w:r>
        <w:rPr>
          <w:rFonts w:ascii="宋体" w:hAnsi="宋体"/>
          <w:sz w:val="21"/>
        </w:rPr>
        <w:t>哈希摘要用于完整性校验时，重点并不在于还原日志原文，而在于比较同一输入在不同时刻得到的摘要是否一致。图 2-2 展示了日志内容变化导致哈希摘要变化的基本原理。</w:t>
      </w:r>
    </w:p>
    <w:p>
      <w:pPr>
        <w:jc w:val="center"/>
      </w:pPr>
      <w:r>
        <w:rPr>
          <w:rFonts w:ascii="宋体" w:hAnsi="宋体"/>
          <w:sz w:val="21"/>
        </w:rPr>
        <w:t>【待生成并插入图片：image/fig-2-2-hash-integrity-verification.png；图片内部不包含论文图题，图题仅保留在正文下方】</w:t>
      </w:r>
    </w:p>
    <w:p>
      <w:pPr>
        <w:jc w:val="center"/>
      </w:pPr>
      <w:r>
        <w:rPr>
          <w:rFonts w:ascii="宋体" w:hAnsi="宋体"/>
          <w:sz w:val="21"/>
        </w:rPr>
        <w:t>图 2-2 哈希完整性校验原理图</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w:t>
      </w:r>
      <w:bookmarkStart w:id="0" w:name="_GoBack"/>
      <w:bookmarkEnd w:id="0"/>
      <w:r>
        <w:t>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等开发技术。上述技术分别支撑链上存证、链下数据管理、审计比对和前端展示，为后续可信日志存证与审计机制设计提供了基础。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日志进入系统后，后端服务先对日志原文计算 SHA-256 哈希值，再将哈希摘要及任务标识等必要元数据写入 LogRegistry 智能合约。</w:t>
      </w:r>
    </w:p>
    <w:p w14:paraId="0281B1F8">
      <w:pPr>
        <w:spacing w:line="360" w:lineRule="auto"/>
        <w:ind w:firstLine="420"/>
      </w:pPr>
      <w:r>
        <w:t>日志原文通常数量多、长度不固定且变化频繁，直接上链会增加存储开销，也可能暴露路径、错误信息等敏感内容。采用摘要上链后，SQLite 保存可查询的日志原文和业务记录，LogRegistry 保存可验证的哈希证据，两者分别承担业务存储和可信校验职责。图 3-1 展示了链下数据表与链上 LogRegistry 之间的对应关系。</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可信日志审计不仅需要确定日志如何存储，还需要形成从日志产生到异常反馈的闭环流程。系统流程从日志文件开始，Agent 基于偏移量读取新增日志并提交 Server；Server 接收后将日志原文及元数据写入 SQLite 的 logs 表，并计算 SHA-256 哈希；随后，后端调用 LogRegistry 合约完成链上存证，并在 log_hash_records 中记录交易哈希、区块号、合约地址和上链状态。</w:t>
      </w:r>
    </w:p>
    <w:p w14:paraId="6F65B3D8">
      <w:pPr>
        <w:spacing w:line="360" w:lineRule="auto"/>
        <w:ind w:firstLine="420"/>
      </w:pPr>
      <w:r>
        <w:t>在审计阶段，用户或脚本触发单条审计或批量审计任务。Server 根据 log_id 读取 logs 表中的日志原文，重新计算 actualHash，并与数据库 expectedHash、链上 onChainHash 进行比对。当结果为 failed 时，系统向 alerts 表写入 hash_mismatch 告警，并关联对应日志和审计记录。该流程构成了“采集—存储—存证—审计—告警—展示”的可信日志审计闭环。</w:t>
      </w:r>
    </w:p>
    <w:p w14:paraId="77B16796">
      <w:pPr>
        <w:spacing w:line="360" w:lineRule="auto"/>
        <w:ind w:firstLine="420"/>
      </w:pPr>
      <w:r>
        <w:t>如图 3-2 所示，Agent 解决日志自动进入系统的问题，Server 负责链下持久化、哈希计算和业务编排，LogRegistry 提供链上存证依据，审计模块负责完整性核验，告警模块负责异常反馈，Web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日志原文可能来自不同任务、路径或运行环境，其格式、级别和时间信息并不完全一致。为便于后续查询、归类、上链和审计比对，系统在日志进入后端前对其进行标准化封装，主要字段包括 taskId、sourceType、sourcePath、logContent、logLevel 和 collectedAt。其中，taskId 表示日志所属任务或审计对象，是连接链下日志、数据库记录和链上存证记录的关键字段。</w:t>
      </w:r>
    </w:p>
    <w:p w14:paraId="046F22BE">
      <w:pPr>
        <w:spacing w:line="360" w:lineRule="auto"/>
        <w:ind w:firstLine="420"/>
      </w:pPr>
      <w:r>
        <w:t>在实际任务执行过程中，同一任务可能产生多条日志。taskId 能够将这些日志归集到同一审计对象下，并在链上查询、批量审计和历史合约地址回溯时发挥定位作用。对于多次部署场景，taskId 与 contract_address 共同构成审计索引，使系统能够说明某条日志写入了哪个合约、审计时又查询了哪个合约。</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r>
        <w:rPr>
          <w:rFonts w:ascii="宋体" w:hAnsi="宋体"/>
          <w:sz w:val="21"/>
        </w:rPr>
        <w:t>为直观展示链上记录的组织方式，图 3-4 给出了 LogRecord 结构体、records 数组和 taskIdToRecordIds 映射之间的关系。</w:t>
      </w:r>
    </w:p>
    <w:p>
      <w:pPr>
        <w:jc w:val="center"/>
      </w:pPr>
      <w:r>
        <w:rPr>
          <w:rFonts w:ascii="宋体" w:hAnsi="宋体"/>
          <w:sz w:val="21"/>
        </w:rPr>
        <w:t>【待生成并插入图片：image/fig-3-4-logregistry-data-structure.png；图片内部不包含论文图题，图题仅保留在正文下方】</w:t>
      </w:r>
    </w:p>
    <w:p>
      <w:pPr>
        <w:jc w:val="center"/>
      </w:pPr>
      <w:r>
        <w:rPr>
          <w:rFonts w:ascii="宋体" w:hAnsi="宋体"/>
          <w:sz w:val="21"/>
        </w:rPr>
        <w:t>图 3-4 LogRegistry 合约数据结构关系图</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提供成熟的角色管理接口和事件记录，便于授权、撤销和审计。该设计将链下业务系统的提交行为与链上权限边界对应起来，使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 onChainHash。日志哈希主要通过 storeLog(taskId, logHash) 写入，该方法要求调用者具备 LOGGER_ROLE，并在写入后触发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3-1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环境中，节点重启或合约重新部署都可能使当前环境变量中的合约地址与历史日志实际写入地址不一致。将 contract_address 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r>
        <w:rPr>
          <w:rFonts w:ascii="宋体" w:hAnsi="宋体"/>
          <w:sz w:val="21"/>
        </w:rPr>
        <w:t>该策略的关键在于审计阶段不只依赖当前环境变量中的合约地址，而是优先回到日志写入时记录的 contract_address。图 3-5 展示了历史合约地址回溯的审计路径。</w:t>
      </w:r>
    </w:p>
    <w:p>
      <w:pPr>
        <w:jc w:val="center"/>
      </w:pPr>
      <w:r>
        <w:rPr>
          <w:rFonts w:ascii="宋体" w:hAnsi="宋体"/>
          <w:sz w:val="21"/>
        </w:rPr>
        <w:t>【待生成并插入图片：image/fig-3-5-contract-address-tracing-audit.png；图片内部不包含论文图题，图题仅保留在正文下方】</w:t>
      </w:r>
    </w:p>
    <w:p>
      <w:pPr>
        <w:jc w:val="center"/>
      </w:pPr>
      <w:r>
        <w:rPr>
          <w:rFonts w:ascii="宋体" w:hAnsi="宋体"/>
          <w:sz w:val="21"/>
        </w:rPr>
        <w:t>图 3-5 历史合约地址回溯审计策略图</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r>
        <w:rPr>
          <w:rFonts w:ascii="宋体" w:hAnsi="宋体"/>
          <w:sz w:val="21"/>
        </w:rPr>
        <w:t>除记录历史合约地址外，系统还需要确认目标地址上确实存在合约字节码。图 3-6 展示了基于 provider.getCode(address) 的前置校验流程。</w:t>
      </w:r>
    </w:p>
    <w:p>
      <w:pPr>
        <w:jc w:val="center"/>
      </w:pPr>
      <w:r>
        <w:rPr>
          <w:rFonts w:ascii="宋体" w:hAnsi="宋体"/>
          <w:sz w:val="21"/>
        </w:rPr>
        <w:t>【待生成并插入图片：image/fig-3-6-contract-code-existence-check.png；图片内部不包含论文图题，图题仅保留在正文下方】</w:t>
      </w:r>
    </w:p>
    <w:p>
      <w:pPr>
        <w:jc w:val="center"/>
      </w:pPr>
      <w:r>
        <w:rPr>
          <w:rFonts w:ascii="宋体" w:hAnsi="宋体"/>
          <w:sz w:val="21"/>
        </w:rPr>
        <w:t>图 3-6 合约代码存在性校验流程图</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不等同于审计通过，而是提示需要补充链上证据或检查部署环境。三类状态的判定关系见表 3-2。</w:t>
      </w:r>
    </w:p>
    <w:p>
      <w:r>
        <w:t>表 3-2 审计状态判定规则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告警标题用于概括风险对象，描述字段用于说明 expectedHash、actualHash 或 onChainHash 之间的不一致情况，严重程度和处理状态则便于后续筛选与跟踪。通过 related_log_id 和 related_audit_id，用户可以从告警回溯到具体日志和审计记录。由此，哈希不一致告警将底层比对结果转化为可追踪的风险提示。</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pPr/>
      <w:r>
        <w:t>第 4 章 系统需求分析与总体设计</w:t>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可信日志审计结果需要以清晰方式呈现，才能支撑日常查看、问题定位和系统演示。后端完成日志存储、链上写入和审计比对后，仍需通过 Web 前端将日志规模、审计状态、异常告警和趋势变化转化为可理解的界面信息。从功能需求看，前端应提供系统总览、日志中心、审计管理和告警管理等页面，展示日志数量、审计通过情况、failed 与 pending 状态、hash_mismatch 告警及其处理状态。可视化展示不仅服务于用户交互，也用于说明采集、存证、审计和告警闭环是否真正贯通。</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系统可用性要求日志提交、审计执行、告警查看和结果展示等操作能够稳定完成。对本系统而言，可用性并不只表现为前端页面可访问，还取决于 Agent 采集、后端接口、SQLite 读写和 LogRegistry 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Agent、智能合约和共享类型库放在同一仓库下统一管理。不同模块在目录和职责上相对独立，能够降低代码耦合度，也便于说明系统分层设计。后端服务进一步划分 routes、controllers、services、repositories、db 和 blockchain 等层次，使接口处理、业务编排、数据库访问和链上交互保持清晰边界。</w:t>
      </w:r>
    </w:p>
    <w:p w14:paraId="49080550">
      <w:pPr>
        <w:spacing w:line="360" w:lineRule="auto"/>
        <w:ind w:firstLine="420"/>
      </w:pPr>
      <w:r>
        <w:t>在可扩展性方面，当前系统虽然基于 SQLite 和本地 Hardhat 链实现，但整体结构为后续替换数据库、接入联盟链或测试网、扩展用户角色和引入异步审计队列预留了空间。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位于数据流入口，负责从本地日志文件读取新增内容，并将任务标识、来源路径、日志级别和采集时间等字段封装后提交至 Server，为后续哈希计算和审计回溯提供统一输入。</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等数据，为查询、展示和审计重算提供链下数据基础。LogRegistry 仅保存日志哈希和必要元数据，并通过 LOGGER_ROLE 控制写入权限，使链上记录成为独立于数据库的校验依据。</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同时读取链下原文、数据库哈希和链上哈希，完成三方比对并将结果返回前端。系统总体架构如图 4-1 所示，各部分通过明确的数据边界共同支撑可信日志审计流程。</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模块、后端服务模块、区块链存证模块、审计告警模块和前端可视化模块。各模块围绕同一条数据链路协作，既保持职责边界，又保证日志能够从采集入口进入存证、审计和展示环节。</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模块负责从本地日志文件中获取新增日志内容，是系统数据进入可信审计流程的入口。该模块的输入主要是指定路径下的日志文件和本地保存的读取偏移量，输出为封装后的日志提交数据和 Agent 运行状态。Agent 与后端服务之间通过接口交互，提交成功后再更新偏移量，从而降低重复采集和遗漏采集的风险。</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智能合约，其输入包括任务标识 taskId 和日志哈希 logHash，输出为链上存证记录、交易哈希、区块号和查询结果。模块通过 LOGGER_ROLE 限定可信写入主体，并通过 getLogsByTaskId 等方法支持任务维度审计。</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进行三方比对。三方一致时，模块生成 passed 状态的审计记录；哈希不一致时，生成 failed 状态的审计记录，并写入 hash_mismatch 类型告警；链上记录不可用或证据不完整时，则记录为 pending。</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前端可视化模块负责展示系统运行状态、日志数据、审计结果和告警信息。该模块的输入来自后端 API 返回的数据，输出为面向用户的页面视图。前端不直接访问 SQLite 或 LogRegistry，而是通过后端接口获取日志、审计、告警和统计结果，从而保持前后端职责分离。</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用于唯一标识一条链下日志；task_id 表示日志所属任务，是连接链上存证记录和审计记录的重要业务字段；source_path 和 log_level 分别用于记录来源路径和日志级别，便于前端筛选和展示。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r>
        <w:rPr>
          <w:rFonts w:ascii="宋体" w:hAnsi="宋体"/>
          <w:sz w:val="21"/>
        </w:rPr>
        <w:t>表 4-1 从字段角度概括了核心数据表。为进一步说明表之间的关联关系，图 4-3 展示了 logs、log_hash_records、audit_records、alerts 和 agent_states 的主要联系。</w:t>
      </w:r>
    </w:p>
    <w:p>
      <w:pPr>
        <w:jc w:val="center"/>
      </w:pPr>
      <w:r>
        <w:rPr>
          <w:rFonts w:ascii="宋体" w:hAnsi="宋体"/>
          <w:sz w:val="21"/>
        </w:rPr>
        <w:t>【待生成并插入图片：image/fig-4-3-database-er-relationship.png；图片内部不包含论文图题，图题仅保留在正文下方】</w:t>
      </w:r>
    </w:p>
    <w:p>
      <w:pPr>
        <w:jc w:val="center"/>
      </w:pPr>
      <w:r>
        <w:rPr>
          <w:rFonts w:ascii="宋体" w:hAnsi="宋体"/>
          <w:sz w:val="21"/>
        </w:rPr>
        <w:t>图 4-3 核心数据库 ER 关系图</w:t>
      </w:r>
    </w:p>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 Agent、Server、SQLite、LogRegistry 和 Web 的协作关系，并进一步说明功能模块划分、系统数据流、业务流程和数据库表结构。</w:t>
      </w:r>
    </w:p>
    <w:p w14:paraId="6BD54080">
      <w:pPr>
        <w:spacing w:line="360" w:lineRule="auto"/>
        <w:ind w:firstLine="420"/>
      </w:pPr>
      <w:r>
        <w:t>上述设计为第 5 章的系统实现、功能测试和实验验证提供了结构基础，也使第 3 章提出的可信日志审计机制具备可落地的工程载体。</w:t>
      </w:r>
    </w:p>
    <w:p w14:paraId="179DFD2A">
      <w:r>
        <w:br w:type="page"/>
      </w:r>
    </w:p>
    <w:p>
      <w:pPr/>
      <w:r>
        <w:t>第 5 章 系统实现与实验验证</w:t>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结构使系统模块边界清晰，有利于毕业设计中的工程说明、功能验证和后续扩展。工程目录关系见表 5-1。</w:t>
      </w:r>
    </w:p>
    <w:p>
      <w:r>
        <w:t>表 5-1 工程目录说明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r>
        <w:rPr>
          <w:rFonts w:ascii="宋体" w:hAnsi="宋体"/>
          <w:sz w:val="21"/>
        </w:rPr>
        <w:t>Agent 增量采集的核心在于读取新增内容后再更新偏移量，避免提交失败时丢失日志。图 5-1 展示了增量读取、提交确认与偏移量持久化之间的关系。</w:t>
      </w:r>
    </w:p>
    <w:p>
      <w:pPr>
        <w:jc w:val="center"/>
      </w:pPr>
      <w:r>
        <w:rPr>
          <w:rFonts w:ascii="宋体" w:hAnsi="宋体"/>
          <w:sz w:val="21"/>
        </w:rPr>
        <w:t>【待生成并插入图片：image/fig-5-1-agent-incremental-offset-flow.png；图片内部不包含论文图题，图题仅保留在正文下方】</w:t>
      </w:r>
    </w:p>
    <w:p>
      <w:pPr>
        <w:jc w:val="center"/>
      </w:pPr>
      <w:r>
        <w:rPr>
          <w:rFonts w:ascii="宋体" w:hAnsi="宋体"/>
          <w:sz w:val="21"/>
        </w:rPr>
        <w:t>图 5-1 Agent 增量采集与偏移量持久化流程图</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Node.js 和 Express 实现。</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写入，审计执行服务负责批量审计、单条审计和三方哈希比对，告警服务负责异常告警查询，总览服务负责聚合日志数量、审计数量和告警数量等指标。核心接口围绕系统主流程展开：POST /api/logs 用于接收 Agent 或测试脚本提交的日志；GET /api/logs 用于日志中心列表展示；POST /api/audits/run 用于触发审计任务；GET /api/alerts 用于告警管理页面查询异常记录。通过上述接口，后端将采集、存证、审计和展示连接为连续服务。</w:t>
      </w:r>
    </w:p>
    <w:p>
      <w:r>
        <w:rPr>
          <w:rFonts w:ascii="宋体" w:hAnsi="宋体"/>
          <w:sz w:val="21"/>
        </w:rPr>
        <w:t>后端分层结构使接口处理、业务编排、数据库访问和链上交互保持边界清晰。图 5-2 展示了 Express 后端各层与外部模块之间的关系。</w:t>
      </w:r>
    </w:p>
    <w:p>
      <w:pPr>
        <w:jc w:val="center"/>
      </w:pPr>
      <w:r>
        <w:rPr>
          <w:rFonts w:ascii="宋体" w:hAnsi="宋体"/>
          <w:sz w:val="21"/>
        </w:rPr>
        <w:t>【待生成并插入图片：image/fig-5-2-backend-layered-architecture.png；图片内部不包含论文图题，图题仅保留在正文下方】</w:t>
      </w:r>
    </w:p>
    <w:p>
      <w:pPr>
        <w:jc w:val="center"/>
      </w:pPr>
      <w:r>
        <w:rPr>
          <w:rFonts w:ascii="宋体" w:hAnsi="宋体"/>
          <w:sz w:val="21"/>
        </w:rPr>
        <w:t>图 5-2 后端分层架构图</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本地链进行实验，链重启或合约多次部署可能导致当前配置地址与历史记录不一致。因此，审计阶段优先使用 log_hash_records.contract_address 回溯当时写入的合约地址，并在链上读写前通过 provider.getCode(address) 校验目标地址是否存在合约代码。</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读取日志列表，并结合审计记录映射日志状态，展示任务标识、日志级别、来源路径、采集时间和当前状态等信息。系统总览页面效果如图 5-4 所示。</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78F0F7EE">
      <w:pPr>
        <w:jc w:val="center"/>
      </w:pPr>
      <w:r>
        <w:t>图 5-4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中，使页面组件只关注展示逻辑，而将接口字段转换和状态映射集中处理。审计管理与告警管理页面效果如图 5-5 所示。</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4197E2C7">
      <w:pPr>
        <w:jc w:val="center"/>
      </w:pPr>
      <w:r>
        <w:t>图 5-5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查询、任务日志数量统计、合约总记录数量统计以及异常输入处理等场景。测试结果显示，LogRegistry 合约 8 项测试全部通过，说明链上存证模块能够为后端提供稳定接口。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能否正确完成日志接收、链下入库、哈希计算、链上写入、审计比对和异常告警。通过这些接口，可以验证第 3 章设计的可信日志审计机制是否能够落到实际运行流程中。在链上写入验证中，系统通过后端服务接收日志内容，将日志原文写入 logs 表，并对 log_content 计算 SHA-256 哈希，再调用 LogRegistry 完成存证。在 API 回归验证中，系统对日志提交、日志查询、审计触发、审计结果查询和告警查询等接口进行检查，确认接口能够返回结构化响应，并且前后端使用的数据字段保持一致。同时，测试覆盖 passed 与 failed 分支，能够验证审计通过和哈希不一致告警两类结果。</w:t>
      </w:r>
    </w:p>
    <w:p w14:paraId="32BA60B6">
      <w:pPr>
        <w:spacing w:line="360" w:lineRule="auto"/>
        <w:ind w:firstLine="420"/>
      </w:pPr>
      <w:r>
        <w:t>该测试说明，后端不只是完成日志保存，还能够将链下数据库、链上合约和审计告警串联起来，使可信日志审计闭环具备实际运行基础。</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构建验证完成，验证结果表明前端类型约束和构建流程能够通过。总体来看，Agent 采集、后端审计和前端展示形成了连续路径：Agent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tbl>
      <w:tblPr>
        <w:tblStyle w:val="33"/>
        <w:tblW w:type="auto" w:w="0"/>
        <w:tblLook w:firstColumn="1" w:firstRow="1" w:lastColumn="0" w:lastRow="0" w:noHBand="0" w:noVBand="1" w:val="04A0"/>
      </w:tblPr>
      <w:tblGrid>
        <w:gridCol w:w="2880"/>
        <w:gridCol w:w="2880"/>
        <w:gridCol w:w="2880"/>
      </w:tblGrid>
      <w:tr>
        <w:tc>
          <w:tcPr>
            <w:tcW w:type="dxa" w:w="2880"/>
          </w:tcPr>
          <w:p>
            <w:r>
              <w:t>实验项目</w:t>
            </w:r>
          </w:p>
        </w:tc>
        <w:tc>
          <w:tcPr>
            <w:tcW w:type="dxa" w:w="2880"/>
          </w:tcPr>
          <w:p>
            <w:r>
              <w:t>验证结果</w:t>
            </w:r>
          </w:p>
        </w:tc>
        <w:tc>
          <w:tcPr>
            <w:tcW w:type="dxa" w:w="2880"/>
          </w:tcPr>
          <w:p>
            <w:r>
              <w:t>说明</w:t>
            </w:r>
          </w:p>
        </w:tc>
      </w:tr>
      <w:tr>
        <w:tc>
          <w:tcPr>
            <w:tcW w:type="dxa" w:w="2880"/>
          </w:tcPr>
          <w:p>
            <w:r>
              <w:t>智能合约功能测试</w:t>
            </w:r>
          </w:p>
        </w:tc>
        <w:tc>
          <w:tcPr>
            <w:tcW w:type="dxa" w:w="2880"/>
          </w:tcPr>
          <w:p>
            <w:r>
              <w:t>8 项测试全部通过</w:t>
            </w:r>
          </w:p>
        </w:tc>
        <w:tc>
          <w:tcPr>
            <w:tcW w:type="dxa" w:w="2880"/>
          </w:tcPr>
          <w:p>
            <w:r>
              <w:t>验证 LogRegistry 写入、查询和权限控制</w:t>
            </w:r>
          </w:p>
        </w:tc>
      </w:tr>
      <w:tr>
        <w:tc>
          <w:tcPr>
            <w:tcW w:type="dxa" w:w="2880"/>
          </w:tcPr>
          <w:p>
            <w:r>
              <w:t>日志批量提交实验</w:t>
            </w:r>
          </w:p>
        </w:tc>
        <w:tc>
          <w:tcPr>
            <w:tcW w:type="dxa" w:w="2880"/>
          </w:tcPr>
          <w:p>
            <w:r>
              <w:t>100 次成功率为 100%，平均响应时间约 107.03 ms，吞吐量约 9.33 条/秒</w:t>
            </w:r>
          </w:p>
        </w:tc>
        <w:tc>
          <w:tcPr>
            <w:tcW w:type="dxa" w:w="2880"/>
          </w:tcPr>
          <w:p>
            <w:r>
              <w:t>验证连续提交与存证链路</w:t>
            </w:r>
          </w:p>
        </w:tc>
      </w:tr>
      <w:tr>
        <w:tc>
          <w:tcPr>
            <w:tcW w:type="dxa" w:w="2880"/>
          </w:tcPr>
          <w:p>
            <w:r>
              <w:t>批量审计性能实验</w:t>
            </w:r>
          </w:p>
        </w:tc>
        <w:tc>
          <w:tcPr>
            <w:tcW w:type="dxa" w:w="2880"/>
          </w:tcPr>
          <w:p>
            <w:r>
              <w:t>100/500/1000 条数据 5 轮全部成功，平均耗时约 3067.77/15659.44/35032.13 ms</w:t>
            </w:r>
          </w:p>
        </w:tc>
        <w:tc>
          <w:tcPr>
            <w:tcW w:type="dxa" w:w="2880"/>
          </w:tcPr>
          <w:p>
            <w:r>
              <w:t>验证批量审计闭环稳定性</w:t>
            </w:r>
          </w:p>
        </w:tc>
      </w:tr>
      <w:tr>
        <w:tc>
          <w:tcPr>
            <w:tcW w:type="dxa" w:w="2880"/>
          </w:tcPr>
          <w:p>
            <w:r>
              <w:t>篡改检测实验</w:t>
            </w:r>
          </w:p>
        </w:tc>
        <w:tc>
          <w:tcPr>
            <w:tcW w:type="dxa" w:w="2880"/>
          </w:tcPr>
          <w:p>
            <w:r>
              <w:t>auditStatus 为 failed，alertGenerated 为 true</w:t>
            </w:r>
          </w:p>
        </w:tc>
        <w:tc>
          <w:tcPr>
            <w:tcW w:type="dxa" w:w="2880"/>
          </w:tcPr>
          <w:p>
            <w:r>
              <w:t>验证哈希不一致识别与告警生成</w:t>
            </w:r>
          </w:p>
        </w:tc>
      </w:tr>
    </w:tbl>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条，总耗时同步上升，说明当前原型系统仍存在批量审计优化空间。批量审计耗时对比如图 5-6 所示，三组数据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3230"/>
                    </a:xfrm>
                    <a:prstGeom prst="rect">
                      <a:avLst/>
                    </a:prstGeom>
                  </pic:spPr>
                </pic:pic>
              </a:graphicData>
            </a:graphic>
          </wp:inline>
        </w:drawing>
      </w:r>
    </w:p>
    <w:p w14:paraId="7D7BCF76">
      <w:pPr>
        <w:jc w:val="center"/>
      </w:pPr>
      <w:r>
        <w:t>图 5-6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r>
        <w:rPr>
          <w:rFonts w:ascii="宋体" w:hAnsi="宋体"/>
          <w:sz w:val="21"/>
        </w:rPr>
        <w:t>为说明篡改检测实验中审计状态和告警生成之间的关系，图 5-3 展示了从日志修改到 failed 审计记录和 hash_mismatch 告警生成的闭环过程。</w:t>
      </w:r>
    </w:p>
    <w:p>
      <w:pPr>
        <w:jc w:val="center"/>
      </w:pPr>
      <w:r>
        <w:rPr>
          <w:rFonts w:ascii="宋体" w:hAnsi="宋体"/>
          <w:sz w:val="21"/>
        </w:rPr>
        <w:t>【待生成并插入图片：image/fig-5-3-tamper-detection-loop.png；图片内部不包含论文图题，图题仅保留在正文下方】</w:t>
      </w:r>
    </w:p>
    <w:p>
      <w:pPr>
        <w:jc w:val="center"/>
      </w:pPr>
      <w:r>
        <w:rPr>
          <w:rFonts w:ascii="宋体" w:hAnsi="宋体"/>
          <w:sz w:val="21"/>
        </w:rPr>
        <w:t>图 5-3 篡改检测实验闭环示意图</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本章围绕系统实现与实验验证展开，首先说明系统开发环境和 Monorepo 工程结构，随后分别介绍日志采集 Agent、后端服务与数据持久化、前端可视化模块的实现方式。在测试与实验层面，本章完成智能合约功能测试、后端接口与审计闭环测试、Agent 采集与前端展示测试，并进一步开展日志批量提交、批量审计性能和篡改检测实验。</w:t>
      </w:r>
    </w:p>
    <w:p w14:paraId="675BB433">
      <w:pPr>
        <w:spacing w:line="360" w:lineRule="auto"/>
        <w:ind w:firstLine="420"/>
      </w:pPr>
      <w:r>
        <w:t>测试结果表明，LogRegistry 合约 8 项测试全部通过；后端能够完成链上写入验证、API 回归以及 passed/failed 审计分支验证；Agent 能够完成增量读取、偏移量持久化和真实提交；前端 TypeScript 检查与 Vite 构建通过。实验结果进一步说明，系统在原型环境下能够运行采集、存证、审计、告警和展示闭环，并能够识别日志内容被修改的情况。</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46D6D696">
      <w:pPr>
        <w:spacing w:line="360" w:lineRule="auto"/>
        <w:ind w:firstLine="420"/>
      </w:pPr>
      <w:r>
        <w:t>在系统设计与实现方面，本文构建了 Agent 增量采集、Express 后端服务、SQLite 链下存储、LogRegistry 智能合约、审计告警和 Web 可视化模块。Agent 负责读取日志文件新增内容并维护采集偏移量；Server 负责日志接收、入库、哈希计算、合约调用和审计执行；SQLite 保存 logs、log_hash_records、audit_records、alerts 和 agent_states 等链下数据；LogRegistry 保存 taskId、logHash、createdAt 和 submitter，并通过 LOGGER_ROLE 控制日志哈希写入权限；Web 前端用于展示系统总览、日志中心、审计结果和告警信息。</w:t>
      </w:r>
    </w:p>
    <w:p w14:paraId="00848524">
      <w:pPr>
        <w:spacing w:line="360" w:lineRule="auto"/>
        <w:ind w:firstLine="420"/>
      </w:pPr>
      <w:r>
        <w:t>在审计机制方面，本文设计 expectedHash、actualHash 与 onChainHash 三方哈希比对规则。expectedHash 来源于 log_hash_records，actualHash 来源于审计阶段对日志原文的重新计算，onChainHash 来源于 LogRegistry 查询。三者一致时审计结果为 passed，不一致时判定为 failed，链上记录缺失或合约不可用时记录为 pending。系统还针对 Hardhat 本地链重启和多次部署问题，引入 log_hash_records.contract_address 历史合约地址回溯和 provider.getCode(address) 合约代码存在性校验，增强了实验环境下审计结果的可解释性。在验证方面，系统完成合约测试、接口回归、Agent 采集、前端构建、批量提交、批量审计和篡改检测实验，结果表明系统能够运行完整闭环，并能识别日志内容被修改的情况。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pPr>
      <w:r>
        <w:t>第二，系统设计 expectedHash、actualHash 和 onChainHash 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 provider.getCode(address) 合约代码存在性校验，减少本地链重启和多次部署导致的误判，使实验过程中的链上读取依据更加清晰。</w:t>
      </w:r>
    </w:p>
    <w:p w14:paraId="762170EC">
      <w:pPr>
        <w:spacing w:line="360" w:lineRule="auto"/>
        <w:ind w:firstLine="420"/>
      </w:pPr>
      <w:r>
        <w:t>第四，系统实现了采集、存证、审计、告警和展示闭环。Agent 将新增日志持续送入系统，Server 完成链下保存和链上存证，审计模块执行三方比对，告警模块在 failed 时生成 hash_mismatch 记录，Web 前端展示审计和告警结果。该创新属于面向毕业设计原型的工程整合，重点在于将可信存证、完整性校验和异常提示组织为可运行流程。</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链，尚未接入公开测试网或联盟链，因此链上共识环境、节点稳定性、交易确认延迟和实际部署成本仍未充分验证。其次，SQLite 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spacing w:line="360" w:lineRule="auto"/>
      </w:pPr>
      <w:r>
        <w:rPr>
          <w:rFonts w:ascii="宋体" w:hAnsi="宋体" w:eastAsia="宋体"/>
          <w:b/>
          <w:sz w:val="30"/>
        </w:rPr>
        <w:t>6.5 本章小结</w:t>
      </w:r>
    </w:p>
    <w:p w14:paraId="705AFD4E">
      <w:pPr>
        <w:spacing w:line="360" w:lineRule="auto"/>
        <w:ind w:firstLine="420"/>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0A699D68">
      <w:r>
        <w:br w:type="page"/>
      </w:r>
    </w:p>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使本课题能够在软件工程方法、系统设计思路和工程实现规范的基础上逐步推进。同时，感谢同学在系统调试、资料整理和论文修改过程中的交流与帮助，也感谢家人在毕业设计期间给予的理解和支持。毕业设计是本科阶段专业学习和实践能力的一次综合检验，后续仍将保持严谨踏实的学习态度，在软件工程实践中继续提升分析问题、设计系统和解决问题的能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
    <w:altName w:val="??"/>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11457</Words>
  <Characters>15692</Characters>
  <Lines>0</Lines>
  <Paragraphs>0</Paragraphs>
  <TotalTime>0</TotalTime>
  <ScaleCrop>false</ScaleCrop>
  <LinksUpToDate>false</LinksUpToDate>
  <CharactersWithSpaces>16486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Custom丶xueersi</cp:lastModifiedBy>
  <dcterms:modified xsi:type="dcterms:W3CDTF">2026-05-03T19:09:58Z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eyJoZGlkIjoiNDc0NjMxMjYxM2FlMzk5YTViMmRkYzA3YjYxMDQyNmEiLCJ1c2VySWQiOiIyMTkxODgxOTkifQ==</vt:lpwstr>
  </property>
  <property fmtid="{D5CDD505-2E9C-101B-9397-08002B2CF9AE}" pid="3" name="KSOProductBuildVer">
    <vt:lpwstr>2052-12.1.0.25865</vt:lpwstr>
  </property>
  <property fmtid="{D5CDD505-2E9C-101B-9397-08002B2CF9AE}" pid="4" name="ICV">
    <vt:lpwstr>9EB0D141FB854D5AB72726488B087323_12</vt:lpwstr>
  </property>
</Properties>
</file>