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r>
        <w:rPr>
          <w:rFonts w:ascii="宋体" w:hAnsi="宋体"/>
          <w:sz w:val="21"/>
        </w:rPr>
        <w:t>为进一步说明链上存证与链下数据之间的关系，图 2-1 对区块链存证的基本结构进行概括。该图用于说明业务数据并不必然完整上链，而是可以通过摘要、交易和区块记录形成可追溯证据。</w:t>
      </w:r>
    </w:p>
    <w:p>
      <w:pPr>
        <w:jc w:val="center"/>
      </w:pPr>
      <w:r>
        <w:rPr>
          <w:rFonts w:ascii="宋体" w:hAnsi="宋体"/>
          <w:sz w:val="21"/>
        </w:rPr>
        <w:t>【待生成并插入图片：image/fig-2-1-blockchain-evidence-structure.png；图片内部不包含论文图题，图题仅保留在正文下方】</w:t>
      </w:r>
    </w:p>
    <w:p>
      <w:pPr>
        <w:jc w:val="center"/>
      </w:pPr>
      <w:r>
        <w:rPr>
          <w:rFonts w:ascii="宋体" w:hAnsi="宋体"/>
          <w:sz w:val="21"/>
        </w:rPr>
        <w:t>图 2-1 区块链存证基本结构示意图</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r>
        <w:rPr>
          <w:rFonts w:ascii="宋体" w:hAnsi="宋体"/>
          <w:sz w:val="21"/>
        </w:rPr>
        <w:t>哈希摘要用于完整性校验时，重点并不在于还原日志原文，而在于比较同一输入在不同时刻得到的摘要是否一致。图 2-2 展示了日志内容变化导致哈希摘要变化的基本原理。</w:t>
      </w:r>
    </w:p>
    <w:p>
      <w:pPr>
        <w:jc w:val="center"/>
      </w:pPr>
      <w:r>
        <w:rPr>
          <w:rFonts w:ascii="宋体" w:hAnsi="宋体"/>
          <w:sz w:val="21"/>
        </w:rPr>
        <w:t>【待生成并插入图片：image/fig-2-2-hash-integrity-verification.png；图片内部不包含论文图题，图题仅保留在正文下方】</w:t>
      </w:r>
    </w:p>
    <w:p>
      <w:pPr>
        <w:jc w:val="center"/>
      </w:pPr>
      <w:r>
        <w:rPr>
          <w:rFonts w:ascii="宋体" w:hAnsi="宋体"/>
          <w:sz w:val="21"/>
        </w:rPr>
        <w:t>图 2-2 哈希完整性校验原理图</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r>
        <w:rPr>
          <w:rFonts w:ascii="宋体" w:hAnsi="宋体"/>
          <w:sz w:val="21"/>
        </w:rPr>
        <w:t>为直观展示链上记录的组织方式，图 3-4 给出了 LogRecord 结构体、records 数组和 taskIdToRecordIds 映射之间的关系。</w:t>
      </w:r>
    </w:p>
    <w:p>
      <w:pPr>
        <w:jc w:val="center"/>
      </w:pPr>
      <w:r>
        <w:rPr>
          <w:rFonts w:ascii="宋体" w:hAnsi="宋体"/>
          <w:sz w:val="21"/>
        </w:rPr>
        <w:t>【待生成并插入图片：image/fig-3-4-logregistry-data-structure.png；图片内部不包含论文图题，图题仅保留在正文下方】</w:t>
      </w:r>
    </w:p>
    <w:p>
      <w:pPr>
        <w:jc w:val="center"/>
      </w:pPr>
      <w:r>
        <w:rPr>
          <w:rFonts w:ascii="宋体" w:hAnsi="宋体"/>
          <w:sz w:val="21"/>
        </w:rPr>
        <w:t>图 3-4 LogRegistry 合约数据结构关系图</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r>
        <w:rPr>
          <w:rFonts w:ascii="宋体" w:hAnsi="宋体"/>
          <w:sz w:val="21"/>
        </w:rPr>
        <w:t>该策略的关键在于审计阶段不只依赖当前环境变量中的合约地址，而是优先回到日志写入时记录的 contract_address。图 3-5 展示了历史合约地址回溯的审计路径。</w:t>
      </w:r>
    </w:p>
    <w:p>
      <w:pPr>
        <w:jc w:val="center"/>
      </w:pPr>
      <w:r>
        <w:rPr>
          <w:rFonts w:ascii="宋体" w:hAnsi="宋体"/>
          <w:sz w:val="21"/>
        </w:rPr>
        <w:t>【待生成并插入图片：image/fig-3-5-contract-address-tracing-audit.png；图片内部不包含论文图题，图题仅保留在正文下方】</w:t>
      </w:r>
    </w:p>
    <w:p>
      <w:pPr>
        <w:jc w:val="center"/>
      </w:pPr>
      <w:r>
        <w:rPr>
          <w:rFonts w:ascii="宋体" w:hAnsi="宋体"/>
          <w:sz w:val="21"/>
        </w:rPr>
        <w:t>图 3-5 历史合约地址回溯审计策略图</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r>
        <w:rPr>
          <w:rFonts w:ascii="宋体" w:hAnsi="宋体"/>
          <w:sz w:val="21"/>
        </w:rPr>
        <w:t>除记录历史合约地址外，系统还需要确认目标地址上确实存在合约字节码。图 3-6 展示了基于 provider.getCode(address) 的前置校验流程。</w:t>
      </w:r>
    </w:p>
    <w:p>
      <w:pPr>
        <w:jc w:val="center"/>
      </w:pPr>
      <w:r>
        <w:rPr>
          <w:rFonts w:ascii="宋体" w:hAnsi="宋体"/>
          <w:sz w:val="21"/>
        </w:rPr>
        <w:t>【待生成并插入图片：image/fig-3-6-contract-code-existence-check.png；图片内部不包含论文图题，图题仅保留在正文下方】</w:t>
      </w:r>
    </w:p>
    <w:p>
      <w:pPr>
        <w:jc w:val="center"/>
      </w:pPr>
      <w:r>
        <w:rPr>
          <w:rFonts w:ascii="宋体" w:hAnsi="宋体"/>
          <w:sz w:val="21"/>
        </w:rPr>
        <w:t>图 3-6 合约代码存在性校验流程图</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r>
        <w:rPr>
          <w:rFonts w:ascii="宋体" w:hAnsi="宋体"/>
          <w:sz w:val="21"/>
        </w:rPr>
        <w:t>表 4-1 从字段角度概括了核心数据表。为进一步说明表之间的关联关系，图 4-3 展示了 logs、log_hash_records、audit_records、alerts 和 agent_states 的主要联系。</w:t>
      </w:r>
    </w:p>
    <w:p>
      <w:pPr>
        <w:jc w:val="center"/>
      </w:pPr>
      <w:r>
        <w:rPr>
          <w:rFonts w:ascii="宋体" w:hAnsi="宋体"/>
          <w:sz w:val="21"/>
        </w:rPr>
        <w:t>【待生成并插入图片：image/fig-4-3-database-er-relationship.png；图片内部不包含论文图题，图题仅保留在正文下方】</w:t>
      </w:r>
    </w:p>
    <w:p>
      <w:pPr>
        <w:jc w:val="center"/>
      </w:pPr>
      <w:r>
        <w:rPr>
          <w:rFonts w:ascii="宋体" w:hAnsi="宋体"/>
          <w:sz w:val="21"/>
        </w:rPr>
        <w:t>图 4-3 核心数据库 ER 关系图</w:t>
      </w:r>
    </w:p>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r>
        <w:rPr>
          <w:rFonts w:ascii="宋体" w:hAnsi="宋体"/>
          <w:sz w:val="21"/>
        </w:rPr>
        <w:t>Agent 增量采集的核心在于读取新增内容后再更新偏移量，避免提交失败时丢失日志。图 5-1 展示了增量读取、提交确认与偏移量持久化之间的关系。</w:t>
      </w:r>
    </w:p>
    <w:p>
      <w:pPr>
        <w:jc w:val="center"/>
      </w:pPr>
      <w:r>
        <w:rPr>
          <w:rFonts w:ascii="宋体" w:hAnsi="宋体"/>
          <w:sz w:val="21"/>
        </w:rPr>
        <w:t>【待生成并插入图片：image/fig-5-1-agent-incremental-offset-flow.png；图片内部不包含论文图题，图题仅保留在正文下方】</w:t>
      </w:r>
    </w:p>
    <w:p>
      <w:pPr>
        <w:jc w:val="center"/>
      </w:pPr>
      <w:r>
        <w:rPr>
          <w:rFonts w:ascii="宋体" w:hAnsi="宋体"/>
          <w:sz w:val="21"/>
        </w:rPr>
        <w:t>图 5-1 Agent 增量采集与偏移量持久化流程图</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r>
        <w:rPr>
          <w:rFonts w:ascii="宋体" w:hAnsi="宋体"/>
          <w:sz w:val="21"/>
        </w:rPr>
        <w:t>后端分层结构使接口处理、业务编排、数据库访问和链上交互保持边界清晰。图 5-2 展示了 Express 后端各层与外部模块之间的关系。</w:t>
      </w:r>
    </w:p>
    <w:p>
      <w:pPr>
        <w:jc w:val="center"/>
      </w:pPr>
      <w:r>
        <w:rPr>
          <w:rFonts w:ascii="宋体" w:hAnsi="宋体"/>
          <w:sz w:val="21"/>
        </w:rPr>
        <w:t>【待生成并插入图片：image/fig-5-2-backend-layered-architecture.png；图片内部不包含论文图题，图题仅保留在正文下方】</w:t>
      </w:r>
    </w:p>
    <w:p>
      <w:pPr>
        <w:jc w:val="center"/>
      </w:pPr>
      <w:r>
        <w:rPr>
          <w:rFonts w:ascii="宋体" w:hAnsi="宋体"/>
          <w:sz w:val="21"/>
        </w:rPr>
        <w:t>图 5-2 后端分层架构图</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读取日志列表，并结合审计记录映射日志状态，展示任务标识、日志级别、来源路径、采集时间和当前状态等信息。系统总览页面效果如图 5-4 所示。</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t>图 5-4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中，使页面组件只关注展示逻辑，而将接口字段转换和状态映射集中处理。审计管理与告警管理页面效果如图 5-5 所示。</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t>图 5-5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条，总耗时同步上升，说明当前原型系统仍存在批量审计优化空间。批量审计耗时对比如图 5-6 所示，三组数据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t>图 5-6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r>
        <w:t>为说明篡改检测实验中审计状态和告警生成之间的关系，图 5-7 展示了从日志修改到 failed 审计记录和 hash_mismatch 告警生成的闭环过程。</w:t>
      </w:r>
    </w:p>
    <w:p>
      <w:pPr>
        <w:jc w:val="center"/>
      </w:pPr>
      <w:r>
        <w:t>【待生成并插入图片：image/fig-5-7-tamper-detection-loop.png；图片内部不包含论文图题，图题仅保留在正文下方】</w:t>
      </w:r>
    </w:p>
    <w:p>
      <w:pPr>
        <w:jc w:val="center"/>
      </w:pPr>
      <w:r>
        <w:t>图 5-7 篡改检测实验闭环示意图</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