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审计和追溯的重要依据。传统中心化日志将原文、哈希记录和审计结果保存在同一管理域内，被篡改、删除或伪造后，后续校验缺少独立可信证据。针对该问题，本文设计并实现基于区块链的可信任务日志审计系统。系统采用链下保存原文、链上保存哈希摘要的混合存储模型，由 Agent 增量采集日志，Server 完成 SQLite 入库、SHA-256 哈希计算和 LogRegistry 合约写入，Web 前端展示日志、审计与告警结果。审计阶段重新计算 actualHash，并与 expectedHash、onChainHash 三方比对；哈希不一致时生成 failed 记录和 hash_mismatch 告警。引入合约代码存在性校验和历史合约地址回溯，减少本地链重启和多次部署造成的误判。实验表明，LogRegistry 合约 8 项测试全部通过；100 次批量提交成功率为 100%，平均响应时间 107.03 ms，吞吐量约 9.33 条/秒；100、500、1000 条批量审计 5 轮均成功；篡改检测能识别日志内容被修改并生成告警。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w:t>
      </w:r>
      <w:r>
        <w:rPr>
          <w:vertAlign w:val="superscript"/>
        </w:rPr>
        <w:t>[1]</w:t>
      </w:r>
      <w:r>
        <w:t>。当系统发生异常或安全事件时，日志通常是还原执行过程、定位问题来源和判断责任边界的基础材料。因此，日志数据是否真实、完整、可追溯，直接影响后续审计结论的可信程度。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w:t>
      </w:r>
      <w:r>
        <w:rPr>
          <w:vertAlign w:val="superscript"/>
        </w:rPr>
        <w:t>[2]</w:t>
      </w:r>
      <w:r>
        <w:t>。区块链通过哈希链接、账本复制和交易记录追溯等机制，能够为日志存证提供独立于链下数据库的可信参照</w:t>
      </w:r>
      <w:r>
        <w:rPr>
          <w:vertAlign w:val="superscript"/>
        </w:rPr>
        <w:t>[3]</w:t>
      </w:r>
      <w:r>
        <w:t>。基于这一问题，本文围绕“基于区块链的可信任务日志审计系统设计与实现”展开研究，构建从日志采集、链下存储、链上存证、审计比对、异常告警到前端展示的原型系统。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需要注意的是，记录可信并不只由区块链技术本身决定，还依赖采集、登记、保存和审计过程之间的配合</w:t>
      </w:r>
      <w:r>
        <w:rPr>
          <w:vertAlign w:val="superscript"/>
        </w:rPr>
        <w:t>[4]</w:t>
      </w:r>
      <w:r>
        <w:t>。</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近年来，数据可信存证、日志审计和智能合约可信管理等方向持续发展。区块链基础研究已从体系结构、共识机制、扩展性和未来趋势等方面形成较系统的讨论</w:t>
      </w:r>
      <w:r>
        <w:rPr>
          <w:vertAlign w:val="superscript"/>
        </w:rPr>
        <w:t>[5]</w:t>
      </w:r>
      <w:r>
        <w:t>。区块链应用研究也表明，数据可信、溯源和审计等场景已成为区块链技术从加密货币向行业应用扩展的重要方向</w:t>
      </w:r>
      <w:r>
        <w:rPr>
          <w:vertAlign w:val="superscript"/>
        </w:rPr>
        <w:t>[6]</w:t>
      </w:r>
      <w:r>
        <w:t>。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在云环境数据溯源研究中，区块链也已被用于为链下数据提供可追溯的存证依据</w:t>
      </w:r>
      <w:r>
        <w:rPr>
          <w:vertAlign w:val="superscript"/>
        </w:rPr>
        <w:t>[7]</w:t>
      </w:r>
      <w: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在数据完整性审计研究中，区块链也被用于减少对单一第三方审计者的依赖，并增强审计过程的透明性</w:t>
      </w:r>
      <w:r>
        <w:rPr>
          <w:vertAlign w:val="superscript"/>
        </w:rPr>
        <w:t>[8]</w:t>
      </w:r>
      <w:r>
        <w:t>。近年去中心化审计研究继续围绕完整性验证、审计证据组织和链上可信记录展开</w:t>
      </w:r>
      <w:r>
        <w:rPr>
          <w:vertAlign w:val="superscript"/>
        </w:rPr>
        <w:t>[9]</w:t>
      </w:r>
      <w:r>
        <w:t>。公共审计相关研究还强调，完整性验证需要与可追溯性结合，才能为后续责任界定和证据核验提供依据</w:t>
      </w:r>
      <w:r>
        <w:rPr>
          <w:vertAlign w:val="superscript"/>
        </w:rPr>
        <w:t>[10]</w:t>
      </w:r>
      <w:r>
        <w:t>。需要注意的是，摘要上链只能证明某个摘要被登记，不能单独保证采集过程完整，因此还需要结合链下数据库、自动采集和审计比对机制。本文正是在这一思路下，将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安全日志研究进一步关注日志生成、存储和验证阶段的完整性保护问题</w:t>
      </w:r>
      <w:r>
        <w:rPr>
          <w:vertAlign w:val="superscript"/>
        </w:rPr>
        <w:t>[11]</w:t>
      </w:r>
      <w:r>
        <w:t>。通过统一收集服务器、应用程序和任务执行过程中的日志，系统可以在发生异常时定位故障原因，在发生安全事件时还原操作过程，并为责任追溯提供依据；系统日志分析经验研究也说明，日志数据可用于异常定位、可靠性分析和运行状态判断</w:t>
      </w:r>
      <w:r>
        <w:rPr>
          <w:vertAlign w:val="superscript"/>
        </w:rPr>
        <w:t>[14]</w:t>
      </w:r>
      <w:r>
        <w:t>。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远程日志安全存储研究还讨论了在保护日志可信性的同时支持检索能力的问题</w:t>
      </w:r>
      <w:r>
        <w:rPr>
          <w:vertAlign w:val="superscript"/>
        </w:rPr>
        <w:t>[12]</w:t>
      </w:r>
      <w:r>
        <w:t>。在日志异常检测方向，已有研究尝试利用深度学习方法从系统日志序列中识别异常行为</w:t>
      </w:r>
      <w:r>
        <w:rPr>
          <w:vertAlign w:val="superscript"/>
        </w:rPr>
        <w:t>[13]</w:t>
      </w:r>
      <w:r>
        <w:t>。</w:t>
      </w:r>
    </w:p>
    <w:p w14:paraId="1A5DDBEC">
      <w:pPr>
        <w:spacing w:line="360" w:lineRule="auto"/>
        <w:ind w:firstLine="420"/>
      </w:pPr>
      <w:r>
        <w:t>由于日志原文和审计依据往往保存在同一管理域内，当系统权限被滥用或数据库被攻击时，日志可能被修改、删除或伪造。区块链防篡改日志研究尝试利用链上记录增强日志完整性保护和事后审计能力</w:t>
      </w:r>
      <w:r>
        <w:rPr>
          <w:vertAlign w:val="superscript"/>
        </w:rPr>
        <w:t>[15]</w:t>
      </w:r>
      <w:r>
        <w:t>。在完整性校验方面，哈希摘要、数字签名、时间戳和访问控制等技术常被用于增强日志可信性。此外，传统日志审计在自动化和闭环能力方面也存在不足；自动化日志分析综述表明，日志解析、异常检测、故障预测和审计分析等方向已经形成较丰富的研究分支</w:t>
      </w:r>
      <w:r>
        <w:rPr>
          <w:vertAlign w:val="superscript"/>
        </w:rPr>
        <w:t>[16]</w:t>
      </w:r>
      <w:r>
        <w:t>。本课题面向上述问题，设计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w:t>
      </w:r>
      <w:r>
        <w:rPr>
          <w:vertAlign w:val="superscript"/>
        </w:rPr>
        <w:t>[17]</w:t>
      </w:r>
      <w:r>
        <w:t>。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写入日志哈希。与此同时，智能合约也存在安全攻击面、权限配置错误、部署后修改成本较高和链上存储开销较大等风险，因此本文仅将日志哈希和必要元数据写入链上</w:t>
      </w:r>
      <w:r>
        <w:rPr>
          <w:vertAlign w:val="superscript"/>
        </w:rPr>
        <w:t>[18]</w:t>
      </w:r>
      <w:r>
        <w:t>。</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w:t>
      </w:r>
      <w:r>
        <w:rPr>
          <w:vertAlign w:val="superscript"/>
        </w:rPr>
        <w:t>[3]</w:t>
      </w:r>
      <w:r>
        <w:t>。与传统中心化数据库相比，区块链不依赖单一节点保存全部可信依据，而是由多个节点共同维护账本状态。现有研究通常从架构、共识机制、扩展性和应用趋势等角度分析区块链系统的技术特征</w:t>
      </w:r>
      <w:r>
        <w:rPr>
          <w:vertAlign w:val="superscript"/>
        </w:rPr>
        <w:t>[5]</w:t>
      </w:r>
      <w:r>
        <w:t>。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链上存证的核心思路是将关键证据或摘要写入区块链，使后续校验不完全依赖中心化数据库自身的可信性</w:t>
      </w:r>
      <w:r>
        <w:rPr>
          <w:vertAlign w:val="superscript"/>
        </w:rPr>
        <w:t>[7]</w:t>
      </w:r>
      <w:r>
        <w:t>。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r>
        <w:rPr>
          <w:rFonts w:ascii="宋体" w:hAnsi="宋体"/>
          <w:sz w:val="21"/>
        </w:rPr>
        <w:t>为进一步说明链上存证与链下数据之间的关系，图 2-1 对区块链存证的基本结构进行概括。该图用于说明业务数据并不必然完整上链，而是可以通过摘要、交易和区块记录形成可追溯证据。</w:t>
      </w:r>
    </w:p>
    <w:p>
      <w:pPr>
        <w:jc w:val="center"/>
      </w:pPr>
      <w:r>
        <w:rPr>
          <w:rFonts w:ascii="宋体" w:hAnsi="宋体"/>
          <w:sz w:val="21"/>
        </w:rPr>
        <w:t>【待生成并插入图片：image/fig-2-1-blockchain-evidence-structure.png；图片内部不包含论文图题，图题仅保留在正文下方】</w:t>
      </w:r>
    </w:p>
    <w:p>
      <w:pPr>
        <w:jc w:val="center"/>
      </w:pPr>
      <w:r>
        <w:rPr>
          <w:rFonts w:ascii="宋体" w:hAnsi="宋体"/>
          <w:sz w:val="21"/>
        </w:rPr>
        <w:t>图 2-1 区块链存证基本结构示意图</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w:t>
      </w:r>
      <w:r>
        <w:rPr>
          <w:vertAlign w:val="superscript"/>
        </w:rPr>
        <w:t>[17]</w:t>
      </w:r>
      <w:r>
        <w:t>。与普通后端程序相比，智能合约的执行过程和状态变化更容易被追溯，适合承担证据登记、权限校验和链上查询等任务。但合约部署后修改成本较高，因此其数据结构和权限边界需要在设计阶段明确。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访问控制通过角色或权限约束操作主体，是限制敏感操作入口的重要安全机制</w:t>
      </w:r>
      <w:r>
        <w:rPr>
          <w:vertAlign w:val="superscript"/>
        </w:rPr>
        <w:t>[19]</w:t>
      </w:r>
      <w:r>
        <w:t>。OpenZeppelin AccessControl 提供基于角色的授权机制，可通过 DEFAULT_ADMIN_ROLE 管理角色，通过 LOGGER_ROLE 限定日志写入主体</w:t>
      </w:r>
      <w:r>
        <w:rPr>
          <w:vertAlign w:val="superscript"/>
        </w:rPr>
        <w:t>[20]</w:t>
      </w:r>
      <w:r>
        <w:t>。与简单自定义权限字段相比，该机制接口清晰、可复用性较好，适合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w:t>
      </w:r>
      <w:r>
        <w:rPr>
          <w:vertAlign w:val="superscript"/>
        </w:rPr>
        <w:t>[21]</w:t>
      </w:r>
      <w:r>
        <w:t>。系统在日志首次提交时对日志正文计算哈希，并将该哈希作为提交时的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r>
        <w:t>哈希摘要用于完整性校验时，重点并不在于还原日志原文，而在于比较同一输入在不同时刻得到的摘要是否一致。哈希函数还可用于构造认证结构并支撑完整性验证，不过本文当前只采用单条日志 SHA-256 摘要，没有实现 Merkle Tree 批量证明</w:t>
      </w:r>
      <w:r>
        <w:rPr>
          <w:vertAlign w:val="superscript"/>
        </w:rPr>
        <w:t>[22]</w:t>
      </w:r>
      <w:r>
        <w:t>。图 2-2 展示了日志内容变化导致哈希摘要变化的基本原理。</w:t>
      </w:r>
    </w:p>
    <w:p>
      <w:pPr>
        <w:jc w:val="center"/>
      </w:pPr>
      <w:r>
        <w:rPr>
          <w:rFonts w:ascii="宋体" w:hAnsi="宋体"/>
          <w:sz w:val="21"/>
        </w:rPr>
        <w:t>【待生成并插入图片：image/fig-2-2-hash-integrity-verification.png；图片内部不包含论文图题，图题仅保留在正文下方】</w:t>
      </w:r>
    </w:p>
    <w:p>
      <w:pPr>
        <w:jc w:val="center"/>
      </w:pPr>
      <w:r>
        <w:rPr>
          <w:rFonts w:ascii="宋体" w:hAnsi="宋体"/>
          <w:sz w:val="21"/>
        </w:rPr>
        <w:t>图 2-2 哈希完整性校验原理图</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该思路与区块链数据溯源中利用链上记录支撑链下数据验证的做法一致</w:t>
      </w:r>
      <w:r>
        <w:rPr>
          <w:vertAlign w:val="superscript"/>
        </w:rPr>
        <w:t>[7]</w:t>
      </w:r>
      <w:r>
        <w:t>：日志进入系统后，后端服务先对日志原文计算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w:t>
      </w:r>
      <w:r>
        <w:rPr>
          <w:vertAlign w:val="superscript"/>
        </w:rPr>
        <w:t>[8]</w:t>
      </w:r>
      <w:r>
        <w:t>。图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r>
        <w:rPr>
          <w:rFonts w:ascii="宋体" w:hAnsi="宋体"/>
          <w:sz w:val="21"/>
        </w:rPr>
        <w:t>为直观展示链上记录的组织方式，图 3-4 给出了 LogRecord 结构体、records 数组和 taskIdToRecordIds 映射之间的关系。</w:t>
      </w:r>
    </w:p>
    <w:p>
      <w:pPr>
        <w:jc w:val="center"/>
      </w:pPr>
      <w:r>
        <w:rPr>
          <w:rFonts w:ascii="宋体" w:hAnsi="宋体"/>
          <w:sz w:val="21"/>
        </w:rPr>
        <w:t>【待生成并插入图片：image/fig-3-4-logregistry-data-structure.png；图片内部不包含论文图题，图题仅保留在正文下方】</w:t>
      </w:r>
    </w:p>
    <w:p>
      <w:pPr>
        <w:jc w:val="center"/>
      </w:pPr>
      <w:r>
        <w:rPr>
          <w:rFonts w:ascii="宋体" w:hAnsi="宋体"/>
          <w:sz w:val="21"/>
        </w:rPr>
        <w:t>图 3-4 LogRegistry 合约数据结构关系图</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日志存证合约不能允许任意地址写入，写入权限应通过角色机制限定在可信提交主体范围内</w:t>
      </w:r>
      <w:r>
        <w:rPr>
          <w:vertAlign w:val="superscript"/>
        </w:rPr>
        <w:t>[19]</w:t>
      </w:r>
      <w:r>
        <w:t>。如果链上写入缺少权限限制，攻击者或无关账户可能提交伪造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w:t>
      </w:r>
      <w:r>
        <w:rPr>
          <w:vertAlign w:val="superscript"/>
        </w:rPr>
        <w:t>[20]</w:t>
      </w:r>
      <w:r>
        <w:t>。后端服务使用具备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提供成熟的角色管理接口和事件记录，便于授权、撤销和审计。该设计将链下业务系统的提交行为与链上权限边界对应起来，也有助于降低伪造写入和权限误配对审计依据造成的影响</w:t>
      </w:r>
      <w:r>
        <w:rPr>
          <w:vertAlign w:val="superscript"/>
        </w:rPr>
        <w:t>[18]</w:t>
      </w:r>
      <w:r>
        <w:t>，使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w:t>
      </w:r>
      <w:r>
        <w:rPr>
          <w:vertAlign w:val="superscript"/>
        </w:rPr>
        <w:t>[21]</w:t>
      </w:r>
      <w:r>
        <w:t>；同时将对应哈希写入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不一致，说明链下日志原文可能被修改；该判断体现了安全日志研究中通过完整性校验识别事后篡改的基本思想</w:t>
      </w:r>
      <w:r>
        <w:rPr>
          <w:vertAlign w:val="superscript"/>
        </w:rPr>
        <w:t>[11]</w:t>
      </w:r>
      <w:r>
        <w:t>。若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r>
        <w:rPr>
          <w:rFonts w:ascii="宋体" w:hAnsi="宋体"/>
          <w:sz w:val="21"/>
        </w:rPr>
        <w:t>该策略的关键在于审计阶段不只依赖当前环境变量中的合约地址，而是优先回到日志写入时记录的 contract_address。图 3-5 展示了历史合约地址回溯的审计路径。</w:t>
      </w:r>
    </w:p>
    <w:p>
      <w:pPr>
        <w:jc w:val="center"/>
      </w:pPr>
      <w:r>
        <w:rPr>
          <w:rFonts w:ascii="宋体" w:hAnsi="宋体"/>
          <w:sz w:val="21"/>
        </w:rPr>
        <w:t>【待生成并插入图片：image/fig-3-5-contract-address-tracing-audit.png；图片内部不包含论文图题，图题仅保留在正文下方】</w:t>
      </w:r>
    </w:p>
    <w:p>
      <w:pPr>
        <w:jc w:val="center"/>
      </w:pPr>
      <w:r>
        <w:rPr>
          <w:rFonts w:ascii="宋体" w:hAnsi="宋体"/>
          <w:sz w:val="21"/>
        </w:rPr>
        <w:t>图 3-5 历史合约地址回溯审计策略图</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r>
        <w:rPr>
          <w:rFonts w:ascii="宋体" w:hAnsi="宋体"/>
          <w:sz w:val="21"/>
        </w:rPr>
        <w:t>除记录历史合约地址外，系统还需要确认目标地址上确实存在合约字节码。图 3-6 展示了基于 provider.getCode(address) 的前置校验流程。</w:t>
      </w:r>
    </w:p>
    <w:p>
      <w:pPr>
        <w:jc w:val="center"/>
      </w:pPr>
      <w:r>
        <w:rPr>
          <w:rFonts w:ascii="宋体" w:hAnsi="宋体"/>
          <w:sz w:val="21"/>
        </w:rPr>
        <w:t>【待生成并插入图片：image/fig-3-6-contract-code-existence-check.png；图片内部不包含论文图题，图题仅保留在正文下方】</w:t>
      </w:r>
    </w:p>
    <w:p>
      <w:pPr>
        <w:jc w:val="center"/>
      </w:pPr>
      <w:r>
        <w:rPr>
          <w:rFonts w:ascii="宋体" w:hAnsi="宋体"/>
          <w:sz w:val="21"/>
        </w:rPr>
        <w:t>图 3-6 合约代码存在性校验流程图</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r>
        <w:rPr>
          <w:rFonts w:ascii="宋体" w:hAnsi="宋体"/>
          <w:sz w:val="21"/>
        </w:rPr>
        <w:t>表 4-1 从字段角度概括了核心数据表。为进一步说明表之间的关联关系，图 4-3 展示了 logs、log_hash_records、audit_records、alerts 和 agent_states 的主要联系。</w:t>
      </w:r>
    </w:p>
    <w:p>
      <w:pPr>
        <w:jc w:val="center"/>
      </w:pPr>
      <w:r>
        <w:rPr>
          <w:rFonts w:ascii="宋体" w:hAnsi="宋体"/>
          <w:sz w:val="21"/>
        </w:rPr>
        <w:t>【待生成并插入图片：image/fig-4-3-database-er-relationship.png；图片内部不包含论文图题，图题仅保留在正文下方】</w:t>
      </w:r>
    </w:p>
    <w:p>
      <w:pPr>
        <w:jc w:val="center"/>
      </w:pPr>
      <w:r>
        <w:rPr>
          <w:rFonts w:ascii="宋体" w:hAnsi="宋体"/>
          <w:sz w:val="21"/>
        </w:rPr>
        <w:t>图 4-3 核心数据库 ER 关系图</w:t>
      </w:r>
    </w:p>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r>
        <w:rPr>
          <w:rFonts w:ascii="宋体" w:hAnsi="宋体"/>
          <w:sz w:val="21"/>
        </w:rPr>
        <w:t>Agent 增量采集的核心在于读取新增内容后再更新偏移量，避免提交失败时丢失日志。图 5-1 展示了增量读取、提交确认与偏移量持久化之间的关系。</w:t>
      </w:r>
    </w:p>
    <w:p>
      <w:pPr>
        <w:jc w:val="center"/>
      </w:pPr>
      <w:r>
        <w:rPr>
          <w:rFonts w:ascii="宋体" w:hAnsi="宋体"/>
          <w:sz w:val="21"/>
        </w:rPr>
        <w:t>【待生成并插入图片：image/fig-5-1-agent-incremental-offset-flow.png；图片内部不包含论文图题，图题仅保留在正文下方】</w:t>
      </w:r>
    </w:p>
    <w:p>
      <w:pPr>
        <w:jc w:val="center"/>
      </w:pPr>
      <w:r>
        <w:rPr>
          <w:rFonts w:ascii="宋体" w:hAnsi="宋体"/>
          <w:sz w:val="21"/>
        </w:rPr>
        <w:t>图 5-1 Agent 增量采集与偏移量持久化流程图</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r>
        <w:rPr>
          <w:rFonts w:ascii="宋体" w:hAnsi="宋体"/>
          <w:sz w:val="21"/>
        </w:rPr>
        <w:t>后端分层结构使接口处理、业务编排、数据库访问和链上交互保持边界清晰。图 5-2 展示了 Express 后端各层与外部模块之间的关系。</w:t>
      </w:r>
    </w:p>
    <w:p>
      <w:pPr>
        <w:jc w:val="center"/>
      </w:pPr>
      <w:r>
        <w:rPr>
          <w:rFonts w:ascii="宋体" w:hAnsi="宋体"/>
          <w:sz w:val="21"/>
        </w:rPr>
        <w:t>【待生成并插入图片：image/fig-5-2-backend-layered-architecture.png；图片内部不包含论文图题，图题仅保留在正文下方】</w:t>
      </w:r>
    </w:p>
    <w:p>
      <w:pPr>
        <w:jc w:val="center"/>
      </w:pPr>
      <w:r>
        <w:rPr>
          <w:rFonts w:ascii="宋体" w:hAnsi="宋体"/>
          <w:sz w:val="21"/>
        </w:rPr>
        <w:t>图 5-2 后端分层架构图</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读取日志列表，并结合审计记录映射日志状态，展示任务标识、日志级别、来源路径、采集时间和当前状态等信息。系统总览页面效果如图 5-4 所示。</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t>图 5-4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中，使页面组件只关注展示逻辑，而将接口字段转换和状态映射集中处理。审计管理与告警管理页面效果如图 5-5 所示。</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t>图 5-5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条，总耗时同步上升，说明当前原型系统仍存在批量审计优化空间。批量审计耗时对比如图 5-6 所示，三组数据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t>图 5-6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r>
        <w:t>为说明篡改检测实验中审计状态和告警生成之间的关系，图 5-7 展示了从日志修改到 failed 审计记录和 hash_mismatch 告警生成的闭环过程。</w:t>
      </w:r>
    </w:p>
    <w:p>
      <w:pPr>
        <w:jc w:val="center"/>
      </w:pPr>
      <w:r>
        <w:t>【待生成并插入图片：image/fig-5-7-tamper-detection-loop.png；图片内部不包含论文图题，图题仅保留在正文下方】</w:t>
      </w:r>
    </w:p>
    <w:p>
      <w:pPr>
        <w:jc w:val="center"/>
      </w:pPr>
      <w:r>
        <w:t>图 5-7 篡改检测实验闭环示意图</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p>
      <w:pPr/>
      <w:r>
        <w:t>参考文献</w:t>
      </w:r>
    </w:p>
    <w:p>
      <w:r>
        <w:t>[1] KENT K, SOUPPAYA M P. Guide to computer security log management[R]. Gaithersburg: National Institute of Standards and Technology, 2006. DOI: 10.6028/NIST.SP.800-92.</w:t>
      </w:r>
    </w:p>
    <w:p>
      <w:r>
        <w:t>[2] SCHNEIER B, KELSEY J. Secure audit logs to support computer forensics[J]. ACM Transactions on Information and System Security, 1999, 2(2): 159-176. DOI: 10.1145/317087.317089.</w:t>
      </w:r>
    </w:p>
    <w:p>
      <w:r>
        <w:t>[3] YAGA D, MELL P, ROBY N, et al. Blockchain technology overview[R]. Gaithersburg: National Institute of Standards and Technology, 2018. DOI: 10.6028/NIST.IR.8202.</w:t>
      </w:r>
    </w:p>
    <w:p>
      <w:r>
        <w:t>[4] LEMIEUX V L. Trusting records: is Blockchain technology the answer?[J]. Records Management Journal, 2016, 26(2): 110-139. DOI: 10.1108/RMJ-12-2015-0042.</w:t>
      </w:r>
    </w:p>
    <w:p>
      <w:r>
        <w:t>[5] ZHENG Z B, XIE S A, DAI H N, et al. An overview of blockchain technology: architecture, consensus, and future trends[C]//2017 IEEE International Congress on Big Data (BigData Congress). Piscataway: IEEE, 2017: 557-564. DOI: 10.1109/BigDataCongress.2017.85.</w:t>
      </w:r>
    </w:p>
    <w:p>
      <w:r>
        <w:t>[6] CASINO F, DASAKLIS T K, PATSAKIS C. A systematic literature review of blockchain-based applications: current status, classification and open issues[J]. Telematics and Informatics, 2019, 36: 55-81. DOI: 10.1016/j.tele.2018.11.006.</w:t>
      </w:r>
    </w:p>
    <w:p>
      <w:r>
        <w:t>[7] LIANG X P, SHETTY S, TOSH D, et al. ProvChain: a blockchain-based data provenance architecture in cloud environment with enhanced privacy and availability[C]//2017 17th IEEE/ACM International Symposium on Cluster, Cloud and Grid Computing (CCGRID). Piscataway: IEEE, 2017: 468-477. DOI: 10.1109/CCGRID.2017.8.</w:t>
      </w:r>
    </w:p>
    <w:p>
      <w:r>
        <w:t>[8] LI S S, XU C X, ZHANG Y, et al. Blockchain-based transparent integrity auditing and encrypted deduplication for cloud storage[J]. IEEE Transactions on Services Computing, 2023, 16(1): 134-146. DOI: 10.1109/TSC.2022.3144430.</w:t>
      </w:r>
    </w:p>
    <w:p>
      <w:r>
        <w:t>[9] XU Y L, JIN C H, QIN W Y, et al. BDACD: blockchain-based decentralized auditing supporting ciphertext deduplication[J]. Journal of Systems Architecture, 2024, 147: 103053. DOI: 10.1016/j.sysarc.2023.103053.</w:t>
      </w:r>
    </w:p>
    <w:p>
      <w:r>
        <w:t>[10] YANG G Y, YU J, SHEN W T, et al. Enabling public auditing for shared data in cloud storage supporting identity privacy and traceability[J]. Journal of Systems and Software, 2016, 113: 130-139. DOI: 10.1016/j.jss.2015.11.044.</w:t>
      </w:r>
    </w:p>
    <w:p>
      <w:r>
        <w:t>[11] MA D, TSUDIK G. A new approach to secure logging[J]. ACM Transactions on Storage, 2009, 5(1): 1-21. DOI: 10.1145/1502777.1502779.</w:t>
      </w:r>
    </w:p>
    <w:p>
      <w:r>
        <w:t>[12] ARAÚJO R, PINTO A. Secure remote storage of logs with search capabilities[J]. Journal of Cybersecurity and Privacy, 2021, 1(2): 340-364. DOI: 10.3390/jcp1020019.</w:t>
      </w:r>
    </w:p>
    <w:p>
      <w:r>
        <w:t>[13] DU M, LI F F, ZHENG G N, et al. DeepLog: anomaly detection and diagnosis from system logs through deep learning[C]//Proceedings of the 2017 ACM SIGSAC Conference on Computer and Communications Security. New York: ACM, 2017: 1285-1298. DOI: 10.1145/3133956.3134015.</w:t>
      </w:r>
    </w:p>
    <w:p>
      <w:r>
        <w:t>[14] HE S L, ZHU J M, HE P J, et al. Experience report: system log analysis for anomaly detection[C]//2016 IEEE 27th International Symposium on Software Reliability Engineering (ISSRE). Piscataway: IEEE, 2016: 207-218. DOI: 10.1109/ISSRE.2016.21.</w:t>
      </w:r>
    </w:p>
    <w:p>
      <w:r>
        <w:t>[15] SHEKHTMAN L, WAISBARD E. EngraveChain: a blockchain-based tamper-proof distributed log system[J]. Future Internet, 2021, 13(6): 143. DOI: 10.3390/fi13060143.</w:t>
      </w:r>
    </w:p>
    <w:p>
      <w:r>
        <w:t>[16] HE S L, HE P J, CHEN Z B, et al. A survey on automated log analysis for reliability engineering[J]. ACM Computing Surveys, 2021, 54(6): Article 130. DOI: 10.1145/3460345.</w:t>
      </w:r>
    </w:p>
    <w:p>
      <w:r>
        <w:t>[17] CHRISTIDIS K, DEVETSIKIOTIS M. Blockchains and smart contracts for the Internet of Things[J]. IEEE Access, 2016, 4: 2292-2303. DOI: 10.1109/ACCESS.2016.2566339.</w:t>
      </w:r>
    </w:p>
    <w:p>
      <w:r>
        <w:t>[18] ATZEI N, BARTOLETTI M, CIMOLI T. A survey of attacks on Ethereum smart contracts (SoK)[C]//Principles of Security and Trust. Berlin: Springer, 2017: 164-186. DOI: 10.1007/978-3-662-54455-6_8.</w:t>
      </w:r>
    </w:p>
    <w:p>
      <w:r>
        <w:t>[19] SANDHU R S, COYNE E J, FEINSTEIN H L, et al. Role-based access control models[J]. Computer, 1996, 29(2): 38-47. DOI: 10.1109/2.485845.</w:t>
      </w:r>
    </w:p>
    <w:p>
      <w:r>
        <w:t>[20] OpenZeppelin. Access Control: OpenZeppelin Contracts 5.x[EB/OL]. [2026-05-05]. https://docs.openzeppelin.com/contracts/5.x/access-control.</w:t>
      </w:r>
    </w:p>
    <w:p>
      <w:r>
        <w:t>[21] National Institute of Standards and Technology. Secure hash standard[S]. Gaithersburg: National Institute of Standards and Technology, 2015. DOI: 10.6028/NIST.FIPS.180-4.</w:t>
      </w:r>
    </w:p>
    <w:p>
      <w:r>
        <w:t>[22] MERKLE R C. A digital signature based on a conventional encryption function[C]//Advances in Cryptology — CRYPTO '87. Berlin: Springer, 1988: 369-378. DOI: 10.1007/3-540-48184-2_32.</w:t>
      </w:r>
    </w:p>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