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前端展示日志、审计与告警结果。审计阶段重新计算 actualHash，并与 expectedHash、onChainHash 三方比对；哈希不一致时生成 failed 记录和 hash_mismatch 告警。引入合约代码存在性校验和历史合约地址回溯，减少本地链重启和多次部署造成的误判。实验表明，LogRegistry 合约 8 项测试全部通过；100 次批量提交成功率为 100%，平均响应时间 107.03 ms，吞吐量约 9.33 条/秒；100、500、1000 条批量审计 5 轮均成功；篡改检测能识别日志内容被修改并生成告警。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w:t>
      </w:r>
      <w:r>
        <w:rPr>
          <w:vertAlign w:val="superscript"/>
        </w:rPr>
        <w:t>[1]</w:t>
      </w:r>
      <w:r>
        <w:t>。当系统发生异常或安全事件时，日志通常是还原执行过程、定位问题来源和判断责任边界的基础材料。因此，日志数据是否真实、完整、可追溯，直接影响后续审计结论的可信程度。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已有研究将区块链用于可信日志存储与验证，通过链上数据指纹与本地数据指纹比对识别日志内容被修改的情况</w:t>
      </w:r>
      <w:r>
        <w:rPr>
          <w:vertAlign w:val="superscript"/>
        </w:rPr>
        <w:t>[2]</w:t>
      </w:r>
      <w:r>
        <w:t>。区块链通过密码学结构和分布式账本机制，为可信数据记录提供了新的技术路径</w:t>
      </w:r>
      <w:r>
        <w:rPr>
          <w:vertAlign w:val="superscript"/>
        </w:rPr>
        <w:t>[3]</w:t>
      </w:r>
      <w:r>
        <w:t>。基于这一问题，本文围绕“基于区块链的可信任务日志审计系统设计与实现”展开研究，构建从日志采集、链下存储、链上存证、审计比对、异常告警到前端展示的原型系统。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近年来，数据可信存证、日志审计和智能合约可信管理等方向持续发展。从可信数据管理角度看，区块链可在不完全可信环境中增强数据完整性、可追溯性和不可抵赖性</w:t>
      </w:r>
      <w:r>
        <w:rPr>
          <w:vertAlign w:val="superscript"/>
        </w:rPr>
        <w:t>[4]</w:t>
      </w:r>
      <w:r>
        <w:t>。区块链在信息安全领域的研究已覆盖认证、访问控制和数据保护等方向</w:t>
      </w:r>
      <w:r>
        <w:rPr>
          <w:vertAlign w:val="superscript"/>
        </w:rPr>
        <w:t>[5]</w:t>
      </w:r>
      <w:r>
        <w:t>。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区块链存证技术是区块链在数据可信证明领域的重要应用方向。区块链数字取证研究关注证据获取、保全和呈现过程中的可信记录与链下扩展存储</w:t>
      </w:r>
      <w:r>
        <w:rPr>
          <w:vertAlign w:val="superscript"/>
        </w:rPr>
        <w:t>[6]</w:t>
      </w:r>
      <w:r>
        <w:t>。记录可信并不只由区块链技术本身决定，还依赖证据生成、登记、保存和验证流程之间的配合</w:t>
      </w:r>
      <w:r>
        <w:rPr>
          <w:vertAlign w:val="superscript"/>
        </w:rPr>
        <w:t>[7]</w:t>
      </w:r>
      <w:r>
        <w:t>。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区块链也可通过区块结构、交易记录和共识机制为链下数据提供可追溯的外部参照</w:t>
      </w:r>
      <w:r>
        <w:rPr>
          <w:vertAlign w:val="superscript"/>
        </w:rPr>
        <w:t>[8]</w:t>
      </w:r>
      <w:r>
        <w:t>。在数据溯源研究中，区块链被用于保存链下数据的关键状态和追溯依据</w:t>
      </w:r>
      <w:r>
        <w:rPr>
          <w:vertAlign w:val="superscript"/>
        </w:rPr>
        <w:t>[9]</w:t>
      </w:r>
      <w: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链上链下结合的日志安全存储研究说明，将日志原文与摘要证据分层保存是日志完整性保护中的可行思路</w:t>
      </w:r>
      <w:r>
        <w:rPr>
          <w:vertAlign w:val="superscript"/>
        </w:rPr>
        <w:t>[10]</w:t>
      </w:r>
      <w:r>
        <w:t>。需要注意的是，摘要上链只能证明某个摘要被登记，不能单独保证采集过程完整，因此还需要结合链下数据库、自动采集和审计比对机制。本文正是在这一思路下，将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防篡改审计日志研究强调日志完整性保护对事后取证和责任追溯的重要性</w:t>
      </w:r>
      <w:r>
        <w:rPr>
          <w:vertAlign w:val="superscript"/>
        </w:rPr>
        <w:t>[11]</w:t>
      </w:r>
      <w:r>
        <w:t>。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安全日志研究通常关注日志生成、存储和验证阶段的完整性保护机制</w:t>
      </w:r>
      <w:r>
        <w:rPr>
          <w:vertAlign w:val="superscript"/>
        </w:rPr>
        <w:t>[12]</w:t>
      </w:r>
      <w:r>
        <w:t>。传统日志审计系统通常采用集中式日志平台或数据库保存日志数据。该方式便于统一检索、聚合分析和可视化展示，但在完整性保护方面仍存在不足。区块链防篡改日志研究表明，链上记录可增强日志事后验证与篡改识别能力</w:t>
      </w:r>
      <w:r>
        <w:rPr>
          <w:vertAlign w:val="superscript"/>
        </w:rPr>
        <w:t>[13]</w:t>
      </w:r>
      <w:r>
        <w:t>。</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自动化日志分析研究覆盖日志解析、异常检测和可靠性分析等方向，但本文实现重点仍是哈希完整性审计</w:t>
      </w:r>
      <w:r>
        <w:rPr>
          <w:vertAlign w:val="superscript"/>
        </w:rPr>
        <w:t>[14]</w:t>
      </w:r>
      <w:r>
        <w:t>。深度学习日志异常检测属于相关研究方向，本文不实现该类语义检测，而聚焦日志内容是否与存证时一致</w:t>
      </w:r>
      <w:r>
        <w:rPr>
          <w:vertAlign w:val="superscript"/>
        </w:rPr>
        <w:t>[15]</w:t>
      </w:r>
      <w:r>
        <w:t>。本课题面向上述问题，设计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智能合约能够将预先定义的业务规则部署到区块链网络中，并按照合约逻辑自动执行。智能合约可将链上规则、状态和事件组织为可验证的程序化执行机制</w:t>
      </w:r>
      <w:r>
        <w:rPr>
          <w:vertAlign w:val="superscript"/>
        </w:rPr>
        <w:t>[16]</w:t>
      </w:r>
      <w:r>
        <w:t>。由于合约状态和交易记录可以在链上追溯，智能合约在可信审计场景中常用于固化写入规则、限定操作权限、保存证据摘要、提供查询接口和记录事件信息。智能合约能够把预先定义的规则部署到区块链上，并通过链上调用和状态记录提供可追溯执行依据</w:t>
      </w:r>
      <w:r>
        <w:rPr>
          <w:vertAlign w:val="superscript"/>
        </w:rPr>
        <w:t>[17]</w:t>
      </w:r>
      <w:r>
        <w:t>。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写入日志哈希。与此同时，智能合约在固化规则的同时也存在攻击面和权限配置风险，因此权限边界和输入约束需要在设计阶段明确</w:t>
      </w:r>
      <w:r>
        <w:rPr>
          <w:vertAlign w:val="superscript"/>
        </w:rPr>
        <w:t>[18]</w:t>
      </w:r>
      <w:r>
        <w:t>。合约部署后修改成本较高，链上存储开销也较大，因此本文仅将日志哈希和必要元数据写入链上。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w:t>
      </w:r>
      <w:r>
        <w:rPr>
          <w:vertAlign w:val="superscript"/>
        </w:rPr>
        <w:t>[8]</w:t>
      </w:r>
      <w:r>
        <w:t>。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r>
        <w:rPr>
          <w:rFonts w:ascii="宋体" w:hAnsi="宋体"/>
          <w:sz w:val="21"/>
        </w:rPr>
        <w:t>为进一步说明链上存证与链下数据之间的关系，图 2-1 对区块链存证的基本结构进行概括。该图用于说明业务数据并不必然完整上链，而是可以通过摘要、交易和区块记录形成可追溯证据。</w:t>
      </w:r>
    </w:p>
    <w:p>
      <w:pPr>
        <w:jc w:val="center"/>
      </w:pPr>
      <w:r>
        <w:rPr>
          <w:rFonts w:ascii="宋体" w:hAnsi="宋体"/>
          <w:sz w:val="21"/>
        </w:rPr>
        <w:t>【待生成并插入图片：image/fig-2-1-blockchain-evidence-structure.png；图片内部不包含论文图题，图题仅保留在正文下方】</w:t>
      </w:r>
    </w:p>
    <w:p>
      <w:pPr>
        <w:jc w:val="center"/>
      </w:pPr>
      <w:r>
        <w:rPr>
          <w:rFonts w:ascii="宋体" w:hAnsi="宋体"/>
          <w:sz w:val="21"/>
        </w:rPr>
        <w:t>图 2-1 区块链存证基本结构示意图</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基于角色的访问控制通过角色约束操作主体，适合解释日志哈希写入权限的边界</w:t>
      </w:r>
      <w:r>
        <w:rPr>
          <w:vertAlign w:val="superscript"/>
        </w:rPr>
        <w:t>[19]</w:t>
      </w:r>
      <w:r>
        <w:t>。OpenZeppelin `AccessControl` 提供角色授权机制，可用于实现 `DEFAULT_ADMIN_ROLE` 和 `LOGGER_ROLE` 等合约角色</w:t>
      </w:r>
      <w:r>
        <w:rPr>
          <w:vertAlign w:val="superscript"/>
        </w:rPr>
        <w:t>[20]</w:t>
      </w:r>
      <w:r>
        <w:t>。与简单自定义权限字段相比，该机制接口清晰、可复用性较好，适合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属于安全哈希标准中的常用算法，其输出长度为 256 位，可用于生成固定长度摘要</w:t>
      </w:r>
      <w:r>
        <w:rPr>
          <w:vertAlign w:val="superscript"/>
        </w:rPr>
        <w:t>[21]</w:t>
      </w:r>
      <w:r>
        <w:t>。系统在日志首次提交时对日志正文计算哈希，并将该哈希作为提交时的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r>
        <w:t>哈希摘要用于完整性校验时，重点并不在于还原日志原文，而在于比较同一输入在不同时刻得到的摘要是否一致。哈希树思想体现了利用哈希结构组织数据完整性证明的经典方法</w:t>
      </w:r>
      <w:r>
        <w:rPr>
          <w:vertAlign w:val="superscript"/>
        </w:rPr>
        <w:t>[22]</w:t>
      </w:r>
      <w:r>
        <w:t>。图 2-2 展示了日志内容变化导致哈希摘要变化的基本原理。</w:t>
      </w:r>
    </w:p>
    <w:p>
      <w:pPr>
        <w:jc w:val="center"/>
      </w:pPr>
      <w:r>
        <w:rPr>
          <w:rFonts w:ascii="宋体" w:hAnsi="宋体"/>
          <w:sz w:val="21"/>
        </w:rPr>
        <w:t>【待生成并插入图片：image/fig-2-2-hash-integrity-verification.png；图片内部不包含论文图题，图题仅保留在正文下方】</w:t>
      </w:r>
    </w:p>
    <w:p>
      <w:pPr>
        <w:jc w:val="center"/>
      </w:pPr>
      <w:r>
        <w:rPr>
          <w:rFonts w:ascii="宋体" w:hAnsi="宋体"/>
          <w:sz w:val="21"/>
        </w:rPr>
        <w:t>图 2-2 哈希完整性校验原理图</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智能合约。数据溯源研究表明，链上记录可作为链下数据状态和追溯路径的可信参照</w:t>
      </w:r>
      <w:r>
        <w:rPr>
          <w:vertAlign w:val="superscript"/>
        </w:rPr>
        <w:t>[9]</w:t>
      </w:r>
      <w:r>
        <w:t>。</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保存可验证的哈希证据，两者分别承担业务存储和可信校验职责。链上链下结合的存储方式能够在保留链下数据查询能力的同时，将关键摘要写入链上作为完整性校验依据</w:t>
      </w:r>
      <w:r>
        <w:rPr>
          <w:vertAlign w:val="superscript"/>
        </w:rPr>
        <w:t>[10]</w:t>
      </w:r>
      <w:r>
        <w:t>。图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r>
        <w:rPr>
          <w:rFonts w:ascii="宋体" w:hAnsi="宋体"/>
          <w:sz w:val="21"/>
        </w:rPr>
        <w:t>为直观展示链上记录的组织方式，图 3-4 给出了 LogRecord 结构体、records 数组和 taskIdToRecordIds 映射之间的关系。</w:t>
      </w:r>
    </w:p>
    <w:p>
      <w:pPr>
        <w:jc w:val="center"/>
      </w:pPr>
      <w:r>
        <w:rPr>
          <w:rFonts w:ascii="宋体" w:hAnsi="宋体"/>
          <w:sz w:val="21"/>
        </w:rPr>
        <w:t>【待生成并插入图片：image/fig-3-4-logregistry-data-structure.png；图片内部不包含论文图题，图题仅保留在正文下方】</w:t>
      </w:r>
    </w:p>
    <w:p>
      <w:pPr>
        <w:jc w:val="center"/>
      </w:pPr>
      <w:r>
        <w:rPr>
          <w:rFonts w:ascii="宋体" w:hAnsi="宋体"/>
          <w:sz w:val="21"/>
        </w:rPr>
        <w:t>图 3-4 LogRegistry 合约数据结构关系图</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用于控制日志哈希写入权限。本系统使用 `AccessControl` 将链上写入行为限定为具备 `LOGGER_ROLE` 的地址，以降低伪造写入对链上证据可信性的影响</w:t>
      </w:r>
      <w:r>
        <w:rPr>
          <w:vertAlign w:val="superscript"/>
        </w:rPr>
        <w:t>[20]</w:t>
      </w:r>
      <w:r>
        <w:t>。后端服务使用具备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提供成熟的角色管理接口和事件记录，便于授权、撤销和审计。该设计也回应了智能合约权限配置错误可能削弱系统安全边界的问题</w:t>
      </w:r>
      <w:r>
        <w:rPr>
          <w:vertAlign w:val="superscript"/>
        </w:rPr>
        <w:t>[18]</w:t>
      </w:r>
      <w:r>
        <w:t>，将链下业务系统的提交行为与链上权限边界对应起来，使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w:t>
      </w:r>
      <w:r>
        <w:rPr>
          <w:vertAlign w:val="superscript"/>
        </w:rPr>
        <w:t>[21]</w:t>
      </w:r>
      <w:r>
        <w:t>；同时将对应哈希写入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不一致，说明链下日志原文可能被修改；该判断体现了安全日志研究中通过完整性校验识别事后篡改的基本思想</w:t>
      </w:r>
      <w:r>
        <w:rPr>
          <w:vertAlign w:val="superscript"/>
        </w:rPr>
        <w:t>[11]</w:t>
      </w:r>
      <w:r>
        <w:t>。若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r>
        <w:rPr>
          <w:rFonts w:ascii="宋体" w:hAnsi="宋体"/>
          <w:sz w:val="21"/>
        </w:rPr>
        <w:t>该策略的关键在于审计阶段不只依赖当前环境变量中的合约地址，而是优先回到日志写入时记录的 contract_address。图 3-5 展示了历史合约地址回溯的审计路径。</w:t>
      </w:r>
    </w:p>
    <w:p>
      <w:pPr>
        <w:jc w:val="center"/>
      </w:pPr>
      <w:r>
        <w:rPr>
          <w:rFonts w:ascii="宋体" w:hAnsi="宋体"/>
          <w:sz w:val="21"/>
        </w:rPr>
        <w:t>【待生成并插入图片：image/fig-3-5-contract-address-tracing-audit.png；图片内部不包含论文图题，图题仅保留在正文下方】</w:t>
      </w:r>
    </w:p>
    <w:p>
      <w:pPr>
        <w:jc w:val="center"/>
      </w:pPr>
      <w:r>
        <w:rPr>
          <w:rFonts w:ascii="宋体" w:hAnsi="宋体"/>
          <w:sz w:val="21"/>
        </w:rPr>
        <w:t>图 3-5 历史合约地址回溯审计策略图</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r>
        <w:rPr>
          <w:rFonts w:ascii="宋体" w:hAnsi="宋体"/>
          <w:sz w:val="21"/>
        </w:rPr>
        <w:t>除记录历史合约地址外，系统还需要确认目标地址上确实存在合约字节码。图 3-6 展示了基于 provider.getCode(address) 的前置校验流程。</w:t>
      </w:r>
    </w:p>
    <w:p>
      <w:pPr>
        <w:jc w:val="center"/>
      </w:pPr>
      <w:r>
        <w:rPr>
          <w:rFonts w:ascii="宋体" w:hAnsi="宋体"/>
          <w:sz w:val="21"/>
        </w:rPr>
        <w:t>【待生成并插入图片：image/fig-3-6-contract-code-existence-check.png；图片内部不包含论文图题，图题仅保留在正文下方】</w:t>
      </w:r>
    </w:p>
    <w:p>
      <w:pPr>
        <w:jc w:val="center"/>
      </w:pPr>
      <w:r>
        <w:rPr>
          <w:rFonts w:ascii="宋体" w:hAnsi="宋体"/>
          <w:sz w:val="21"/>
        </w:rPr>
        <w:t>图 3-6 合约代码存在性校验流程图</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r>
        <w:rPr>
          <w:rFonts w:ascii="宋体" w:hAnsi="宋体"/>
          <w:sz w:val="21"/>
        </w:rPr>
        <w:t>表 4-1 从字段角度概括了核心数据表。为进一步说明表之间的关联关系，图 4-3 展示了 logs、log_hash_records、audit_records、alerts 和 agent_states 的主要联系。</w:t>
      </w:r>
    </w:p>
    <w:p>
      <w:pPr>
        <w:jc w:val="center"/>
      </w:pPr>
      <w:r>
        <w:rPr>
          <w:rFonts w:ascii="宋体" w:hAnsi="宋体"/>
          <w:sz w:val="21"/>
        </w:rPr>
        <w:t>【待生成并插入图片：image/fig-4-3-database-er-relationship.png；图片内部不包含论文图题，图题仅保留在正文下方】</w:t>
      </w:r>
    </w:p>
    <w:p>
      <w:pPr>
        <w:jc w:val="center"/>
      </w:pPr>
      <w:r>
        <w:rPr>
          <w:rFonts w:ascii="宋体" w:hAnsi="宋体"/>
          <w:sz w:val="21"/>
        </w:rPr>
        <w:t>图 4-3 核心数据库 ER 关系图</w:t>
      </w:r>
    </w:p>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r>
        <w:rPr>
          <w:rFonts w:ascii="宋体" w:hAnsi="宋体"/>
          <w:sz w:val="21"/>
        </w:rPr>
        <w:t>Agent 增量采集的核心在于读取新增内容后再更新偏移量，避免提交失败时丢失日志。图 5-1 展示了增量读取、提交确认与偏移量持久化之间的关系。</w:t>
      </w:r>
    </w:p>
    <w:p>
      <w:pPr>
        <w:jc w:val="center"/>
      </w:pPr>
      <w:r>
        <w:rPr>
          <w:rFonts w:ascii="宋体" w:hAnsi="宋体"/>
          <w:sz w:val="21"/>
        </w:rPr>
        <w:t>【待生成并插入图片：image/fig-5-1-agent-incremental-offset-flow.png；图片内部不包含论文图题，图题仅保留在正文下方】</w:t>
      </w:r>
    </w:p>
    <w:p>
      <w:pPr>
        <w:jc w:val="center"/>
      </w:pPr>
      <w:r>
        <w:rPr>
          <w:rFonts w:ascii="宋体" w:hAnsi="宋体"/>
          <w:sz w:val="21"/>
        </w:rPr>
        <w:t>图 5-1 Agent 增量采集与偏移量持久化流程图</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r>
        <w:rPr>
          <w:rFonts w:ascii="宋体" w:hAnsi="宋体"/>
          <w:sz w:val="21"/>
        </w:rPr>
        <w:t>后端分层结构使接口处理、业务编排、数据库访问和链上交互保持边界清晰。图 5-2 展示了 Express 后端各层与外部模块之间的关系。</w:t>
      </w:r>
    </w:p>
    <w:p>
      <w:pPr>
        <w:jc w:val="center"/>
      </w:pPr>
      <w:r>
        <w:rPr>
          <w:rFonts w:ascii="宋体" w:hAnsi="宋体"/>
          <w:sz w:val="21"/>
        </w:rPr>
        <w:t>【待生成并插入图片：image/fig-5-2-backend-layered-architecture.png；图片内部不包含论文图题，图题仅保留在正文下方】</w:t>
      </w:r>
    </w:p>
    <w:p>
      <w:pPr>
        <w:jc w:val="center"/>
      </w:pPr>
      <w:r>
        <w:rPr>
          <w:rFonts w:ascii="宋体" w:hAnsi="宋体"/>
          <w:sz w:val="21"/>
        </w:rPr>
        <w:t>图 5-2 后端分层架构图</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读取日志列表，并结合审计记录映射日志状态，展示任务标识、日志级别、来源路径、采集时间和当前状态等信息。系统总览页面效果如图 5-4 所示。</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t>图 5-4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中，使页面组件只关注展示逻辑，而将接口字段转换和状态映射集中处理。审计管理与告警管理页面效果如图 5-5 所示。</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t>图 5-5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条，总耗时同步上升，说明当前原型系统仍存在批量审计优化空间。批量审计耗时对比如图 5-6 所示，三组数据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t>图 5-6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r>
        <w:t>为说明篡改检测实验中审计状态和告警生成之间的关系，图 5-7 展示了从日志修改到 failed 审计记录和 hash_mismatch 告警生成的闭环过程。</w:t>
      </w:r>
    </w:p>
    <w:p>
      <w:pPr>
        <w:jc w:val="center"/>
      </w:pPr>
      <w:r>
        <w:t>【待生成并插入图片：image/fig-5-7-tamper-detection-loop.png；图片内部不包含论文图题，图题仅保留在正文下方】</w:t>
      </w:r>
    </w:p>
    <w:p>
      <w:pPr>
        <w:jc w:val="center"/>
      </w:pPr>
      <w:r>
        <w:t>图 5-7 篡改检测实验闭环示意图</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p>
      <w:pPr/>
      <w:r>
        <w:t>参考文献</w:t>
      </w:r>
    </w:p>
    <w:p>
      <w:r>
        <w:t>[1] KENT K, SOUPPAYA M P. Guide to computer security log management[R]. Gaithersburg: National Institute of Standards and Technology, 2006. DOI: 10.6028/NIST.SP.800-92.</w:t>
      </w:r>
    </w:p>
    <w:p>
      <w:r>
        <w:t>[2] 韩菊茹, 纪兆轩, 李一鸣, 等. 基于区块链的可信日志存储与验证系统[J]. 计算机工程, 2019, 45(5): 13-17. DOI: 10.19678/j.issn.1000-3428.0053385.</w:t>
      </w:r>
    </w:p>
    <w:p>
      <w:r>
        <w:t>[3] 袁勇, 王飞跃. 区块链技术发展现状与展望[J]. 自动化学报, 2016, 42(4): 481-494. DOI: 10.16383/j.aas.2016.c160158.</w:t>
      </w:r>
    </w:p>
    <w:p>
      <w:r>
        <w:t>[4] 钱卫宁, 邵奇峰, 朱燕超, 等. 区块链与可信数据管理:问题与方法[J]. 软件学报, 2018, 29(1): 150-159. DOI: 10.13328/j.cnki.jos.005434.</w:t>
      </w:r>
    </w:p>
    <w:p>
      <w:r>
        <w:t>[5] 刘敖迪, 杜学绘, 王娜, 等. 区块链技术及其在信息安全领域的研究进展[J]. 软件学报, 2018, 29(7): 2092-2115. DOI: 10.13328/j.cnki.jos.005589.</w:t>
      </w:r>
    </w:p>
    <w:p>
      <w:r>
        <w:t>[6] 范伟, 李海波, 张珠君. 区块链数字取证:技术及架构研究[J]. 通信学报, 2024, 45(12): 124-141. DOI: 10.11959/j.issn.1000-436x.2024204.</w:t>
      </w:r>
    </w:p>
    <w:p>
      <w:r>
        <w:t>[7] LEMIEUX V L. Trusting records: is Blockchain technology the answer?[J]. Records Management Journal, 2016, 26(2): 110-139. DOI: 10.1108/RMJ-12-2015-0042.</w:t>
      </w:r>
    </w:p>
    <w:p>
      <w:r>
        <w:t>[8] YAGA D, MELL P, ROBY N, et al. Blockchain technology overview[R]. Gaithersburg: National Institute of Standards and Technology, 2018. DOI: 10.6028/NIST.IR.8202.</w:t>
      </w:r>
    </w:p>
    <w:p>
      <w:r>
        <w:t>[9] LIANG X, SHETTY S, TOSH D, et al. ProvChain: a blockchain-based data provenance architecture in cloud environment with enhanced privacy and availability[C]//2017 17th IEEE/ACM International Symposium on Cluster, Cloud and Grid Computing (CCGRID). Piscataway: IEEE, 2017: 468-477. DOI: 10.1109/CCGRID.2017.8.</w:t>
      </w:r>
    </w:p>
    <w:p>
      <w:r>
        <w:t>[10] 吕建富, 赖英旭, 刘静. 基于链上链下相结合的日志安全存储与检索[J]. 计算机科学, 2020, 47(3): 298-303. DOI: 10.11896/jsjkx.190200298.</w:t>
      </w:r>
    </w:p>
    <w:p>
      <w:r>
        <w:t>[11] SCHNEIER B, KELSEY J. Secure audit logs to support computer forensics[J]. ACM Transactions on Information and System Security, 1999, 2(2): 159-176. DOI: 10.1145/317087.317089.</w:t>
      </w:r>
    </w:p>
    <w:p>
      <w:r>
        <w:t>[12] MA D, TSUDIK G. A new approach to secure logging[J]. ACM Transactions on Storage, 2009, 5(1): 1-21. DOI: 10.1145/1502777.1502779.</w:t>
      </w:r>
    </w:p>
    <w:p>
      <w:r>
        <w:t>[13] SHEKHTMAN L, WAISBARD E. EngraveChain: a blockchain-based tamper-proof distributed log system[J]. Future Internet, 2021, 13(6): 143. DOI: 10.3390/fi13060143.</w:t>
      </w:r>
    </w:p>
    <w:p>
      <w:r>
        <w:t>[14] HE S, HE P, CHEN Z, et al. A survey on automated log analysis for reliability engineering[J]. ACM Computing Surveys, 2022, 54(6): 1-37. DOI: 10.1145/3460345.</w:t>
      </w:r>
    </w:p>
    <w:p>
      <w:r>
        <w:t>[15] DU M, LI F, ZHENG G, et al. DeepLog: anomaly detection and diagnosis from system logs through deep learning[C]//Proceedings of the 2017 ACM SIGSAC Conference on Computer and Communications Security. New York: ACM, 2017: 1285-1298. DOI: 10.1145/3133956.3134015.</w:t>
      </w:r>
    </w:p>
    <w:p>
      <w:r>
        <w:t>[16] 贺海武, 延安, 陈泽华. 基于区块链的智能合约技术与应用综述[J]. 计算机研究与发展, 2018, 55(11): 2452-2466.</w:t>
      </w:r>
    </w:p>
    <w:p>
      <w:r>
        <w:t>[17] CHRISTIDIS K, DEVETSIKIOTIS M. Blockchains and smart contracts for the Internet of Things[J]. IEEE Access, 2016, 4: 2292-2303. DOI: 10.1109/ACCESS.2016.2566339.</w:t>
      </w:r>
    </w:p>
    <w:p>
      <w:r>
        <w:t>[18] ATZEI N, BARTOLETTI M, CIMOLI T. A survey of attacks on Ethereum smart contracts (SoK)[C]//Principles of Security and Trust. Berlin: Springer, 2017: 164-186. DOI: 10.1007/978-3-662-54455-6_8.</w:t>
      </w:r>
    </w:p>
    <w:p>
      <w:r>
        <w:t>[19] SANDHU R S, COYNE E J, FEINSTEIN H L, et al. Role-based access control models[J]. Computer, 1996, 29(2): 38-47. DOI: 10.1109/2.485845.</w:t>
      </w:r>
    </w:p>
    <w:p>
      <w:r>
        <w:t>[20] OpenZeppelin. Access Control: OpenZeppelin Contracts 5.x[EB/OL]. [2026-05-06]. https://docs.openzeppelin.com/contracts/5.x/access-control.</w:t>
      </w:r>
    </w:p>
    <w:p>
      <w:r>
        <w:t>[21] National Institute of Standards and Technology. FIPS PUB 180-4 Secure hash standard[S]. Gaithersburg: National Institute of Standards and Technology, 2015. DOI: 10.6028/NIST.FIPS.180-4.</w:t>
      </w:r>
    </w:p>
    <w:p>
      <w:r>
        <w:t>[22] MERKLE R C. A digital signature based on a conventional encryption function[C]//Advances in Cryptology — CRYPTO '87. Berlin: Springer, 1988: 369-378. DOI: 10.1007/3-540-48184-2_32.</w:t>
      </w:r>
    </w:p>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