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2FB19">
      <w:pPr>
        <w:spacing w:before="312" w:after="100" w:line="500" w:lineRule="exact"/>
        <w:rPr>
          <w:rFonts w:ascii="黑体" w:eastAsia="黑体"/>
          <w:b/>
          <w:sz w:val="44"/>
          <w:szCs w:val="44"/>
        </w:rPr>
      </w:pPr>
      <w:r>
        <w:rPr>
          <w:rFonts w:eastAsia="黑体"/>
          <w:b/>
          <w:bCs/>
          <w:sz w:val="32"/>
        </w:rPr>
        <w:drawing>
          <wp:anchor distT="0" distB="0" distL="114300" distR="114300" simplePos="0" relativeHeight="251659264" behindDoc="1" locked="0" layoutInCell="1" allowOverlap="1">
            <wp:simplePos x="0" y="0"/>
            <wp:positionH relativeFrom="column">
              <wp:posOffset>1081405</wp:posOffset>
            </wp:positionH>
            <wp:positionV relativeFrom="paragraph">
              <wp:posOffset>568325</wp:posOffset>
            </wp:positionV>
            <wp:extent cx="3112135" cy="949960"/>
            <wp:effectExtent l="0" t="0" r="12065" b="15240"/>
            <wp:wrapTight wrapText="bothSides">
              <wp:wrapPolygon>
                <wp:start x="1939" y="0"/>
                <wp:lineTo x="0" y="2888"/>
                <wp:lineTo x="0" y="13861"/>
                <wp:lineTo x="705" y="18481"/>
                <wp:lineTo x="1763" y="20791"/>
                <wp:lineTo x="1939" y="20791"/>
                <wp:lineTo x="4584" y="20791"/>
                <wp:lineTo x="21507" y="19636"/>
                <wp:lineTo x="21507" y="1733"/>
                <wp:lineTo x="4584" y="0"/>
                <wp:lineTo x="1939" y="0"/>
              </wp:wrapPolygon>
            </wp:wrapTight>
            <wp:docPr id="41" name="图片 120" descr="6c4b7ca16cdd8b377f4bc5c66372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0" descr="6c4b7ca16cdd8b377f4bc5c66372f1d"/>
                    <pic:cNvPicPr>
                      <a:picLocks noChangeAspect="1"/>
                    </pic:cNvPicPr>
                  </pic:nvPicPr>
                  <pic:blipFill>
                    <a:blip r:embed="rId10"/>
                    <a:stretch>
                      <a:fillRect/>
                    </a:stretch>
                  </pic:blipFill>
                  <pic:spPr>
                    <a:xfrm>
                      <a:off x="0" y="0"/>
                      <a:ext cx="3112135" cy="949960"/>
                    </a:xfrm>
                    <a:prstGeom prst="rect">
                      <a:avLst/>
                    </a:prstGeom>
                    <a:noFill/>
                    <a:ln>
                      <a:noFill/>
                    </a:ln>
                  </pic:spPr>
                </pic:pic>
              </a:graphicData>
            </a:graphic>
          </wp:anchor>
        </w:drawing>
      </w:r>
      <w:r>
        <w:rPr>
          <w:rFonts w:eastAsia="黑体"/>
          <w:b/>
          <w:bCs/>
          <w:sz w:val="32"/>
        </w:rPr>
        <w:tab/>
      </w:r>
    </w:p>
    <w:p w14:paraId="242A6028">
      <w:pPr>
        <w:spacing w:before="312" w:after="100" w:line="500" w:lineRule="exact"/>
        <w:jc w:val="center"/>
        <w:rPr>
          <w:rFonts w:ascii="黑体" w:eastAsia="黑体"/>
          <w:b/>
          <w:sz w:val="44"/>
          <w:szCs w:val="44"/>
        </w:rPr>
      </w:pPr>
    </w:p>
    <w:p w14:paraId="33BD9F60">
      <w:pPr>
        <w:spacing w:before="312" w:after="100" w:line="500" w:lineRule="exact"/>
        <w:jc w:val="center"/>
        <w:rPr>
          <w:rFonts w:ascii="黑体" w:eastAsia="黑体"/>
          <w:b/>
          <w:sz w:val="44"/>
          <w:szCs w:val="44"/>
        </w:rPr>
      </w:pPr>
    </w:p>
    <w:p w14:paraId="62F28825">
      <w:pPr>
        <w:spacing w:before="312" w:after="100" w:line="500" w:lineRule="exact"/>
        <w:jc w:val="center"/>
        <w:rPr>
          <w:rFonts w:ascii="黑体" w:eastAsia="黑体"/>
          <w:b/>
          <w:sz w:val="44"/>
          <w:szCs w:val="44"/>
        </w:rPr>
      </w:pPr>
    </w:p>
    <w:p w14:paraId="52F9600D">
      <w:pPr>
        <w:widowControl/>
        <w:spacing w:before="312" w:after="100" w:line="500" w:lineRule="exact"/>
        <w:jc w:val="center"/>
        <w:rPr>
          <w:rFonts w:hint="eastAsia" w:ascii="黑体" w:hAnsi="宋体" w:eastAsia="黑体" w:cs="宋体"/>
          <w:b/>
          <w:kern w:val="0"/>
          <w:sz w:val="44"/>
          <w:szCs w:val="44"/>
        </w:rPr>
      </w:pPr>
      <w:r>
        <w:rPr>
          <w:rFonts w:hint="eastAsia" w:ascii="黑体" w:hAnsi="宋体" w:eastAsia="黑体" w:cs="宋体"/>
          <w:b/>
          <w:kern w:val="0"/>
          <w:sz w:val="44"/>
          <w:szCs w:val="44"/>
        </w:rPr>
        <w:t>基于区块链的可信任务日志审计系统设计与实现</w:t>
      </w:r>
    </w:p>
    <w:p w14:paraId="62F0B792">
      <w:pPr>
        <w:widowControl w:val="0"/>
        <w:spacing w:before="312" w:after="100" w:line="500" w:lineRule="exact"/>
        <w:jc w:val="center"/>
        <w:rPr>
          <w:rFonts w:ascii="Times New Roman" w:hAnsi="Times New Roman" w:eastAsia="黑体" w:cs="Times New Roman"/>
          <w:b/>
          <w:kern w:val="2"/>
          <w:sz w:val="44"/>
          <w:szCs w:val="44"/>
        </w:rPr>
      </w:pPr>
      <w:r>
        <w:rPr>
          <w:rFonts w:hint="eastAsia" w:ascii="Times New Roman" w:hAnsi="Times New Roman" w:eastAsia="黑体" w:cs="Times New Roman"/>
          <w:b/>
          <w:kern w:val="2"/>
          <w:sz w:val="44"/>
          <w:szCs w:val="44"/>
        </w:rPr>
        <w:t>Design and Implementation of a Trusted Task Log Auditing System Based on Blackchain</w:t>
      </w:r>
    </w:p>
    <w:p w14:paraId="30D8C8BF">
      <w:pPr>
        <w:spacing w:before="312" w:after="100" w:line="500" w:lineRule="exact"/>
        <w:jc w:val="center"/>
        <w:rPr>
          <w:rFonts w:ascii="黑体" w:eastAsia="黑体"/>
          <w:b/>
          <w:sz w:val="44"/>
          <w:szCs w:val="44"/>
        </w:rPr>
      </w:pPr>
    </w:p>
    <w:p w14:paraId="565C40EB">
      <w:pPr>
        <w:spacing w:before="312" w:after="100" w:line="500" w:lineRule="exact"/>
        <w:jc w:val="center"/>
        <w:rPr>
          <w:rFonts w:ascii="黑体" w:eastAsia="黑体"/>
          <w:b/>
          <w:sz w:val="44"/>
          <w:szCs w:val="44"/>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4536"/>
      </w:tblGrid>
      <w:tr w14:paraId="51A9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2835" w:type="dxa"/>
            <w:tcBorders>
              <w:top w:val="nil"/>
              <w:left w:val="nil"/>
              <w:bottom w:val="nil"/>
              <w:right w:val="nil"/>
            </w:tcBorders>
            <w:vAlign w:val="center"/>
          </w:tcPr>
          <w:p w14:paraId="034A9EBD">
            <w:pPr>
              <w:keepNext w:val="0"/>
              <w:keepLines w:val="0"/>
              <w:pageBreakBefore w:val="0"/>
              <w:widowControl w:val="0"/>
              <w:kinsoku/>
              <w:wordWrap/>
              <w:overflowPunct/>
              <w:topLinePunct w:val="0"/>
              <w:autoSpaceDE w:val="0"/>
              <w:autoSpaceDN w:val="0"/>
              <w:bidi w:val="0"/>
              <w:adjustRightInd w:val="0"/>
              <w:snapToGrid w:val="0"/>
              <w:spacing w:line="240" w:lineRule="auto"/>
              <w:jc w:val="both"/>
              <w:textAlignment w:val="auto"/>
              <w:rPr>
                <w:b/>
                <w:bCs/>
                <w:spacing w:val="150"/>
                <w:sz w:val="30"/>
                <w:szCs w:val="30"/>
              </w:rPr>
            </w:pPr>
            <w:r>
              <w:rPr>
                <w:rFonts w:hint="eastAsia" w:ascii="黑体" w:eastAsia="黑体" w:cs="黑体"/>
                <w:b/>
                <w:bCs/>
                <w:color w:val="000000"/>
                <w:kern w:val="0"/>
                <w:sz w:val="32"/>
                <w:szCs w:val="32"/>
                <w:lang w:val="zh-CN"/>
              </w:rPr>
              <w:t>学</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院：</w:t>
            </w:r>
          </w:p>
        </w:tc>
        <w:tc>
          <w:tcPr>
            <w:tcW w:w="4536" w:type="dxa"/>
            <w:tcBorders>
              <w:top w:val="nil"/>
              <w:left w:val="nil"/>
              <w:bottom w:val="single" w:color="auto" w:sz="12" w:space="0"/>
              <w:right w:val="nil"/>
            </w:tcBorders>
            <w:vAlign w:val="center"/>
          </w:tcPr>
          <w:p w14:paraId="525510CC">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Times New Roman Bold" w:hAnsi="Times New Roman Bold" w:eastAsia="宋体" w:cs="Times New Roman"/>
                <w:b/>
                <w:bCs/>
                <w:kern w:val="2"/>
                <w:position w:val="-6"/>
                <w:sz w:val="32"/>
                <w:szCs w:val="32"/>
                <w:lang w:val="en-US" w:eastAsia="zh-CN" w:bidi="ar-SA"/>
              </w:rPr>
            </w:pPr>
            <w:r>
              <w:rPr>
                <w:rFonts w:hint="eastAsia" w:ascii="Times New Roman Bold" w:hAnsi="Times New Roman Bold" w:eastAsia="宋体" w:cs="Times New Roman"/>
                <w:b/>
                <w:bCs/>
                <w:kern w:val="2"/>
                <w:position w:val="-6"/>
                <w:sz w:val="32"/>
                <w:szCs w:val="32"/>
                <w:lang w:val="en-US" w:eastAsia="zh-CN" w:bidi="ar-SA"/>
              </w:rPr>
              <w:t>信息与智能科学学院</w:t>
            </w:r>
          </w:p>
        </w:tc>
      </w:tr>
      <w:tr w14:paraId="3533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2835" w:type="dxa"/>
            <w:tcBorders>
              <w:top w:val="nil"/>
              <w:left w:val="nil"/>
              <w:bottom w:val="nil"/>
              <w:right w:val="nil"/>
            </w:tcBorders>
            <w:vAlign w:val="center"/>
          </w:tcPr>
          <w:p w14:paraId="6D9FCE36">
            <w:pPr>
              <w:keepNext w:val="0"/>
              <w:keepLines w:val="0"/>
              <w:pageBreakBefore w:val="0"/>
              <w:widowControl w:val="0"/>
              <w:kinsoku/>
              <w:wordWrap/>
              <w:overflowPunct/>
              <w:topLinePunct w:val="0"/>
              <w:autoSpaceDE w:val="0"/>
              <w:autoSpaceDN w:val="0"/>
              <w:bidi w:val="0"/>
              <w:adjustRightInd w:val="0"/>
              <w:snapToGrid w:val="0"/>
              <w:spacing w:line="240" w:lineRule="auto"/>
              <w:jc w:val="both"/>
              <w:textAlignment w:val="auto"/>
              <w:rPr>
                <w:b/>
                <w:bCs/>
                <w:spacing w:val="150"/>
                <w:sz w:val="30"/>
                <w:szCs w:val="30"/>
              </w:rPr>
            </w:pPr>
            <w:r>
              <w:rPr>
                <w:rFonts w:hint="eastAsia" w:ascii="黑体" w:eastAsia="黑体" w:cs="黑体"/>
                <w:b/>
                <w:bCs/>
                <w:color w:val="000000"/>
                <w:kern w:val="0"/>
                <w:sz w:val="32"/>
                <w:szCs w:val="32"/>
                <w:lang w:val="zh-CN"/>
              </w:rPr>
              <w:t>专</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业：</w:t>
            </w:r>
          </w:p>
        </w:tc>
        <w:tc>
          <w:tcPr>
            <w:tcW w:w="4536" w:type="dxa"/>
            <w:tcBorders>
              <w:top w:val="single" w:color="auto" w:sz="12" w:space="0"/>
              <w:left w:val="nil"/>
              <w:bottom w:val="single" w:color="auto" w:sz="12" w:space="0"/>
              <w:right w:val="nil"/>
            </w:tcBorders>
            <w:vAlign w:val="center"/>
          </w:tcPr>
          <w:p w14:paraId="15C48061">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Times New Roman Bold" w:hAnsi="Times New Roman Bold" w:eastAsia="宋体" w:cs="Times New Roman"/>
                <w:b/>
                <w:bCs/>
                <w:kern w:val="2"/>
                <w:position w:val="-6"/>
                <w:sz w:val="32"/>
                <w:szCs w:val="32"/>
                <w:lang w:val="en-US" w:eastAsia="zh-CN" w:bidi="ar-SA"/>
              </w:rPr>
            </w:pPr>
            <w:r>
              <w:rPr>
                <w:rFonts w:hint="eastAsia" w:ascii="Times New Roman Bold" w:hAnsi="Times New Roman Bold" w:eastAsia="宋体" w:cs="Times New Roman"/>
                <w:b/>
                <w:bCs/>
                <w:kern w:val="2"/>
                <w:position w:val="-6"/>
                <w:sz w:val="32"/>
                <w:szCs w:val="32"/>
                <w:lang w:val="en-US" w:eastAsia="zh-CN" w:bidi="ar-SA"/>
              </w:rPr>
              <w:t>软件工程</w:t>
            </w:r>
          </w:p>
        </w:tc>
      </w:tr>
      <w:tr w14:paraId="3EFE9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2835" w:type="dxa"/>
            <w:tcBorders>
              <w:top w:val="nil"/>
              <w:left w:val="nil"/>
              <w:bottom w:val="nil"/>
              <w:right w:val="nil"/>
            </w:tcBorders>
            <w:vAlign w:val="center"/>
          </w:tcPr>
          <w:p w14:paraId="63CBB6B1">
            <w:pPr>
              <w:keepNext w:val="0"/>
              <w:keepLines w:val="0"/>
              <w:pageBreakBefore w:val="0"/>
              <w:widowControl w:val="0"/>
              <w:kinsoku/>
              <w:wordWrap/>
              <w:overflowPunct/>
              <w:topLinePunct w:val="0"/>
              <w:autoSpaceDE w:val="0"/>
              <w:autoSpaceDN w:val="0"/>
              <w:bidi w:val="0"/>
              <w:adjustRightInd w:val="0"/>
              <w:snapToGrid w:val="0"/>
              <w:spacing w:line="240" w:lineRule="auto"/>
              <w:jc w:val="both"/>
              <w:textAlignment w:val="auto"/>
              <w:rPr>
                <w:b/>
                <w:bCs/>
                <w:spacing w:val="150"/>
                <w:sz w:val="30"/>
                <w:szCs w:val="30"/>
              </w:rPr>
            </w:pPr>
            <w:r>
              <w:rPr>
                <w:rFonts w:hint="eastAsia" w:ascii="黑体" w:eastAsia="黑体" w:cs="黑体"/>
                <w:b/>
                <w:bCs/>
                <w:color w:val="000000"/>
                <w:kern w:val="0"/>
                <w:sz w:val="32"/>
                <w:szCs w:val="32"/>
                <w:lang w:val="zh-CN"/>
              </w:rPr>
              <w:t>姓</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名：</w:t>
            </w:r>
          </w:p>
        </w:tc>
        <w:tc>
          <w:tcPr>
            <w:tcW w:w="4536" w:type="dxa"/>
            <w:tcBorders>
              <w:top w:val="single" w:color="auto" w:sz="12" w:space="0"/>
              <w:left w:val="nil"/>
              <w:bottom w:val="single" w:color="auto" w:sz="12" w:space="0"/>
              <w:right w:val="nil"/>
            </w:tcBorders>
            <w:vAlign w:val="center"/>
          </w:tcPr>
          <w:p w14:paraId="1742A760">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hint="default" w:ascii="Times New Roman Bold" w:hAnsi="Times New Roman Bold" w:eastAsia="宋体" w:cs="Times New Roman"/>
                <w:b/>
                <w:bCs/>
                <w:kern w:val="2"/>
                <w:position w:val="-6"/>
                <w:sz w:val="32"/>
                <w:szCs w:val="32"/>
                <w:lang w:val="en-US" w:eastAsia="zh-CN" w:bidi="ar-SA"/>
              </w:rPr>
            </w:pPr>
            <w:r>
              <w:rPr>
                <w:rFonts w:hint="eastAsia" w:ascii="Times New Roman Bold" w:hAnsi="Times New Roman Bold" w:cs="Times New Roman"/>
                <w:b/>
                <w:bCs/>
                <w:kern w:val="2"/>
                <w:position w:val="-6"/>
                <w:sz w:val="32"/>
                <w:szCs w:val="32"/>
                <w:lang w:val="en-US" w:eastAsia="zh-CN" w:bidi="ar-SA"/>
              </w:rPr>
              <w:t>戴驰峰</w:t>
            </w:r>
          </w:p>
        </w:tc>
      </w:tr>
      <w:tr w14:paraId="4170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2835" w:type="dxa"/>
            <w:tcBorders>
              <w:top w:val="nil"/>
              <w:left w:val="nil"/>
              <w:bottom w:val="nil"/>
              <w:right w:val="nil"/>
            </w:tcBorders>
            <w:vAlign w:val="center"/>
          </w:tcPr>
          <w:p w14:paraId="0EE7C434">
            <w:pPr>
              <w:keepNext w:val="0"/>
              <w:keepLines w:val="0"/>
              <w:pageBreakBefore w:val="0"/>
              <w:widowControl w:val="0"/>
              <w:kinsoku/>
              <w:wordWrap/>
              <w:overflowPunct/>
              <w:topLinePunct w:val="0"/>
              <w:autoSpaceDE w:val="0"/>
              <w:autoSpaceDN w:val="0"/>
              <w:bidi w:val="0"/>
              <w:adjustRightInd w:val="0"/>
              <w:snapToGrid w:val="0"/>
              <w:spacing w:line="240" w:lineRule="auto"/>
              <w:jc w:val="both"/>
              <w:textAlignment w:val="auto"/>
              <w:rPr>
                <w:b/>
                <w:bCs/>
                <w:spacing w:val="150"/>
                <w:sz w:val="30"/>
                <w:szCs w:val="30"/>
              </w:rPr>
            </w:pPr>
            <w:r>
              <w:rPr>
                <w:rFonts w:hint="eastAsia" w:ascii="黑体" w:eastAsia="黑体" w:cs="黑体"/>
                <w:b/>
                <w:bCs/>
                <w:color w:val="000000"/>
                <w:kern w:val="0"/>
                <w:sz w:val="32"/>
                <w:szCs w:val="32"/>
                <w:lang w:val="zh-CN"/>
              </w:rPr>
              <w:t>学</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号：</w:t>
            </w:r>
          </w:p>
        </w:tc>
        <w:tc>
          <w:tcPr>
            <w:tcW w:w="4536" w:type="dxa"/>
            <w:tcBorders>
              <w:top w:val="single" w:color="auto" w:sz="12" w:space="0"/>
              <w:left w:val="nil"/>
              <w:bottom w:val="single" w:color="auto" w:sz="12" w:space="0"/>
              <w:right w:val="nil"/>
            </w:tcBorders>
            <w:vAlign w:val="center"/>
          </w:tcPr>
          <w:p w14:paraId="517F53CA">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hint="default" w:ascii="Times New Roman Bold" w:hAnsi="Times New Roman Bold" w:eastAsia="宋体" w:cs="Times New Roman"/>
                <w:b/>
                <w:bCs/>
                <w:kern w:val="2"/>
                <w:position w:val="-6"/>
                <w:sz w:val="32"/>
                <w:szCs w:val="32"/>
                <w:lang w:val="en-US" w:eastAsia="zh-CN" w:bidi="ar-SA"/>
              </w:rPr>
            </w:pPr>
            <w:r>
              <w:rPr>
                <w:rFonts w:hint="eastAsia" w:ascii="Times New Roman Bold" w:hAnsi="Times New Roman Bold" w:eastAsia="宋体" w:cs="Times New Roman"/>
                <w:b/>
                <w:bCs/>
                <w:kern w:val="2"/>
                <w:position w:val="-6"/>
                <w:sz w:val="32"/>
                <w:szCs w:val="32"/>
                <w:lang w:val="en-US" w:eastAsia="zh-CN" w:bidi="ar-SA"/>
              </w:rPr>
              <w:t>221310</w:t>
            </w:r>
            <w:r>
              <w:rPr>
                <w:rFonts w:hint="eastAsia" w:ascii="Times New Roman Bold" w:hAnsi="Times New Roman Bold" w:cs="Times New Roman"/>
                <w:b/>
                <w:bCs/>
                <w:kern w:val="2"/>
                <w:position w:val="-6"/>
                <w:sz w:val="32"/>
                <w:szCs w:val="32"/>
                <w:lang w:val="en-US" w:eastAsia="zh-CN" w:bidi="ar-SA"/>
              </w:rPr>
              <w:t>610</w:t>
            </w:r>
          </w:p>
        </w:tc>
      </w:tr>
      <w:tr w14:paraId="2F64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jc w:val="center"/>
        </w:trPr>
        <w:tc>
          <w:tcPr>
            <w:tcW w:w="2835" w:type="dxa"/>
            <w:tcBorders>
              <w:top w:val="nil"/>
              <w:left w:val="nil"/>
              <w:bottom w:val="nil"/>
              <w:right w:val="nil"/>
            </w:tcBorders>
            <w:vAlign w:val="center"/>
          </w:tcPr>
          <w:p w14:paraId="4F72E34F">
            <w:pPr>
              <w:keepNext w:val="0"/>
              <w:keepLines w:val="0"/>
              <w:pageBreakBefore w:val="0"/>
              <w:widowControl w:val="0"/>
              <w:tabs>
                <w:tab w:val="left" w:pos="2977"/>
                <w:tab w:val="left" w:pos="3119"/>
              </w:tabs>
              <w:kinsoku/>
              <w:wordWrap/>
              <w:overflowPunct/>
              <w:topLinePunct w:val="0"/>
              <w:autoSpaceDE w:val="0"/>
              <w:autoSpaceDN w:val="0"/>
              <w:bidi w:val="0"/>
              <w:adjustRightInd w:val="0"/>
              <w:snapToGrid w:val="0"/>
              <w:spacing w:line="240" w:lineRule="auto"/>
              <w:jc w:val="both"/>
              <w:textAlignment w:val="auto"/>
              <w:rPr>
                <w:rFonts w:ascii="仿宋_GB2312" w:hAnsi="宋体" w:eastAsia="仿宋_GB2312" w:cs="宋体"/>
                <w:b/>
                <w:bCs/>
                <w:spacing w:val="150"/>
                <w:sz w:val="32"/>
                <w:szCs w:val="32"/>
              </w:rPr>
            </w:pPr>
            <w:r>
              <w:rPr>
                <w:rFonts w:hint="eastAsia" w:ascii="黑体" w:eastAsia="黑体" w:cs="黑体"/>
                <w:b/>
                <w:bCs/>
                <w:color w:val="000000"/>
                <w:kern w:val="0"/>
                <w:sz w:val="32"/>
                <w:szCs w:val="32"/>
                <w:lang w:val="zh-CN"/>
              </w:rPr>
              <w:t>指</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导</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教</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师：</w:t>
            </w:r>
          </w:p>
        </w:tc>
        <w:tc>
          <w:tcPr>
            <w:tcW w:w="4536" w:type="dxa"/>
            <w:tcBorders>
              <w:top w:val="single" w:color="auto" w:sz="12" w:space="0"/>
              <w:left w:val="nil"/>
              <w:bottom w:val="single" w:color="auto" w:sz="12" w:space="0"/>
              <w:right w:val="nil"/>
            </w:tcBorders>
            <w:vAlign w:val="center"/>
          </w:tcPr>
          <w:p w14:paraId="64C357CB">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hint="default" w:ascii="Times New Roman Bold" w:hAnsi="Times New Roman Bold" w:eastAsia="宋体" w:cs="Times New Roman"/>
                <w:b/>
                <w:bCs/>
                <w:kern w:val="2"/>
                <w:position w:val="-6"/>
                <w:sz w:val="32"/>
                <w:szCs w:val="32"/>
                <w:lang w:val="en-US" w:eastAsia="zh-CN" w:bidi="ar-SA"/>
              </w:rPr>
            </w:pPr>
            <w:r>
              <w:rPr>
                <w:rFonts w:hint="eastAsia" w:ascii="Times New Roman Bold" w:hAnsi="Times New Roman Bold" w:cs="Times New Roman"/>
                <w:b/>
                <w:bCs/>
                <w:kern w:val="2"/>
                <w:position w:val="-6"/>
                <w:sz w:val="32"/>
                <w:szCs w:val="32"/>
                <w:lang w:val="en-US" w:eastAsia="zh-CN" w:bidi="ar-SA"/>
              </w:rPr>
              <w:t>卢婷</w:t>
            </w:r>
          </w:p>
        </w:tc>
      </w:tr>
      <w:tr w14:paraId="427F5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2835" w:type="dxa"/>
            <w:tcBorders>
              <w:top w:val="nil"/>
              <w:left w:val="nil"/>
              <w:bottom w:val="nil"/>
              <w:right w:val="nil"/>
            </w:tcBorders>
            <w:vAlign w:val="center"/>
          </w:tcPr>
          <w:p w14:paraId="3FA635D7">
            <w:pPr>
              <w:keepNext w:val="0"/>
              <w:keepLines w:val="0"/>
              <w:pageBreakBefore w:val="0"/>
              <w:widowControl w:val="0"/>
              <w:kinsoku/>
              <w:wordWrap/>
              <w:overflowPunct/>
              <w:topLinePunct w:val="0"/>
              <w:autoSpaceDE w:val="0"/>
              <w:autoSpaceDN w:val="0"/>
              <w:bidi w:val="0"/>
              <w:adjustRightInd w:val="0"/>
              <w:snapToGrid w:val="0"/>
              <w:spacing w:line="240" w:lineRule="auto"/>
              <w:jc w:val="both"/>
              <w:textAlignment w:val="auto"/>
              <w:rPr>
                <w:rFonts w:ascii="仿宋_GB2312" w:hAnsi="宋体" w:eastAsia="仿宋_GB2312" w:cs="宋体"/>
                <w:b/>
                <w:bCs/>
                <w:spacing w:val="150"/>
                <w:sz w:val="32"/>
                <w:szCs w:val="32"/>
              </w:rPr>
            </w:pPr>
            <w:r>
              <w:rPr>
                <w:rFonts w:hint="eastAsia" w:ascii="黑体" w:eastAsia="黑体" w:cs="黑体"/>
                <w:b/>
                <w:bCs/>
                <w:color w:val="000000"/>
                <w:kern w:val="0"/>
                <w:sz w:val="32"/>
                <w:szCs w:val="32"/>
                <w:lang w:val="zh-CN"/>
              </w:rPr>
              <w:t>提</w:t>
            </w:r>
            <w:r>
              <w:rPr>
                <w:rFonts w:hint="eastAsia" w:ascii="黑体" w:eastAsia="黑体" w:cs="黑体"/>
                <w:b/>
                <w:bCs/>
                <w:color w:val="000000"/>
                <w:kern w:val="0"/>
                <w:sz w:val="32"/>
                <w:szCs w:val="32"/>
              </w:rPr>
              <w:t xml:space="preserve"> </w:t>
            </w:r>
            <w:r>
              <w:rPr>
                <w:rFonts w:hint="eastAsia" w:ascii="黑体" w:eastAsia="黑体" w:cs="黑体"/>
                <w:b/>
                <w:bCs/>
                <w:color w:val="000000"/>
                <w:kern w:val="0"/>
                <w:sz w:val="32"/>
                <w:szCs w:val="32"/>
                <w:lang w:val="zh-CN"/>
              </w:rPr>
              <w:t>交</w:t>
            </w:r>
            <w:r>
              <w:rPr>
                <w:rFonts w:hint="eastAsia" w:ascii="黑体" w:eastAsia="黑体" w:cs="黑体"/>
                <w:b/>
                <w:bCs/>
                <w:color w:val="000000"/>
                <w:kern w:val="0"/>
                <w:sz w:val="32"/>
                <w:szCs w:val="32"/>
              </w:rPr>
              <w:t xml:space="preserve"> </w:t>
            </w:r>
            <w:r>
              <w:rPr>
                <w:rFonts w:hint="eastAsia" w:ascii="黑体" w:eastAsia="黑体" w:cs="黑体"/>
                <w:b/>
                <w:bCs/>
                <w:color w:val="000000"/>
                <w:kern w:val="0"/>
                <w:sz w:val="32"/>
                <w:szCs w:val="32"/>
                <w:lang w:val="zh-CN"/>
              </w:rPr>
              <w:t>日</w:t>
            </w:r>
            <w:r>
              <w:rPr>
                <w:rFonts w:hint="eastAsia" w:ascii="黑体" w:eastAsia="黑体" w:cs="黑体"/>
                <w:b/>
                <w:bCs/>
                <w:color w:val="000000"/>
                <w:kern w:val="0"/>
                <w:sz w:val="32"/>
                <w:szCs w:val="32"/>
              </w:rPr>
              <w:t xml:space="preserve"> </w:t>
            </w:r>
            <w:r>
              <w:rPr>
                <w:rFonts w:hint="eastAsia" w:ascii="黑体" w:eastAsia="黑体" w:cs="黑体"/>
                <w:b/>
                <w:bCs/>
                <w:color w:val="000000"/>
                <w:kern w:val="0"/>
                <w:sz w:val="32"/>
                <w:szCs w:val="32"/>
                <w:lang w:val="zh-CN"/>
              </w:rPr>
              <w:t>期：</w:t>
            </w:r>
          </w:p>
        </w:tc>
        <w:tc>
          <w:tcPr>
            <w:tcW w:w="4536" w:type="dxa"/>
            <w:tcBorders>
              <w:top w:val="single" w:color="auto" w:sz="12" w:space="0"/>
              <w:left w:val="nil"/>
              <w:bottom w:val="single" w:color="auto" w:sz="12" w:space="0"/>
              <w:right w:val="nil"/>
            </w:tcBorders>
            <w:vAlign w:val="center"/>
          </w:tcPr>
          <w:p w14:paraId="28542429">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hint="default" w:ascii="Times New Roman Bold" w:hAnsi="Times New Roman Bold" w:eastAsia="宋体" w:cs="Times New Roman"/>
                <w:b/>
                <w:bCs/>
                <w:kern w:val="2"/>
                <w:position w:val="-6"/>
                <w:sz w:val="32"/>
                <w:szCs w:val="32"/>
                <w:lang w:val="en-US" w:eastAsia="zh-CN" w:bidi="ar-SA"/>
              </w:rPr>
            </w:pPr>
            <w:r>
              <w:rPr>
                <w:rFonts w:hint="eastAsia" w:ascii="Times New Roman Bold" w:hAnsi="Times New Roman Bold" w:eastAsia="宋体" w:cs="Times New Roman"/>
                <w:b/>
                <w:bCs/>
                <w:kern w:val="2"/>
                <w:position w:val="-6"/>
                <w:sz w:val="32"/>
                <w:szCs w:val="32"/>
                <w:lang w:val="en-US" w:eastAsia="zh-CN" w:bidi="ar-SA"/>
              </w:rPr>
              <w:t>2026/0</w:t>
            </w:r>
            <w:r>
              <w:rPr>
                <w:rFonts w:hint="eastAsia" w:ascii="Times New Roman Bold" w:hAnsi="Times New Roman Bold" w:cs="Times New Roman"/>
                <w:b/>
                <w:bCs/>
                <w:kern w:val="2"/>
                <w:position w:val="-6"/>
                <w:sz w:val="32"/>
                <w:szCs w:val="32"/>
                <w:lang w:val="en-US" w:eastAsia="zh-CN" w:bidi="ar-SA"/>
              </w:rPr>
              <w:t>5</w:t>
            </w:r>
            <w:r>
              <w:rPr>
                <w:rFonts w:hint="eastAsia" w:ascii="Times New Roman Bold" w:hAnsi="Times New Roman Bold" w:eastAsia="宋体" w:cs="Times New Roman"/>
                <w:b/>
                <w:bCs/>
                <w:kern w:val="2"/>
                <w:position w:val="-6"/>
                <w:sz w:val="32"/>
                <w:szCs w:val="32"/>
                <w:lang w:val="en-US" w:eastAsia="zh-CN" w:bidi="ar-SA"/>
              </w:rPr>
              <w:t>/1</w:t>
            </w:r>
            <w:r>
              <w:rPr>
                <w:rFonts w:hint="eastAsia" w:ascii="Times New Roman Bold" w:hAnsi="Times New Roman Bold" w:cs="Times New Roman"/>
                <w:b/>
                <w:bCs/>
                <w:kern w:val="2"/>
                <w:position w:val="-6"/>
                <w:sz w:val="32"/>
                <w:szCs w:val="32"/>
                <w:lang w:val="en-US" w:eastAsia="zh-CN" w:bidi="ar-SA"/>
              </w:rPr>
              <w:t>1</w:t>
            </w:r>
          </w:p>
        </w:tc>
      </w:tr>
    </w:tbl>
    <w:p w14:paraId="6C3FFB01"/>
    <w:p w14:paraId="308B320A">
      <w:pPr>
        <w:spacing w:line="480" w:lineRule="auto"/>
        <w:ind w:firstLine="510"/>
        <w:rPr>
          <w:rFonts w:eastAsia="黑体"/>
          <w:b/>
          <w:sz w:val="28"/>
        </w:rPr>
      </w:pPr>
    </w:p>
    <w:p w14:paraId="6035BD9B">
      <w:pPr>
        <w:ind w:firstLine="510"/>
        <w:jc w:val="center"/>
        <w:rPr>
          <w:rFonts w:eastAsia="黑体"/>
          <w:b/>
          <w:sz w:val="36"/>
        </w:rPr>
      </w:pPr>
    </w:p>
    <w:p w14:paraId="52EF4E01">
      <w:pPr>
        <w:ind w:firstLine="510"/>
        <w:jc w:val="center"/>
        <w:rPr>
          <w:rFonts w:eastAsia="黑体"/>
          <w:b/>
          <w:sz w:val="36"/>
        </w:rPr>
      </w:pPr>
      <w:r>
        <w:rPr>
          <w:rFonts w:hint="eastAsia" w:eastAsia="黑体"/>
          <w:b/>
          <w:sz w:val="36"/>
        </w:rPr>
        <w:t>东华大学</w:t>
      </w:r>
    </w:p>
    <w:p w14:paraId="5BBD71AE">
      <w:pPr>
        <w:ind w:firstLine="510"/>
        <w:jc w:val="center"/>
        <w:rPr>
          <w:rFonts w:eastAsia="黑体"/>
          <w:b/>
          <w:sz w:val="36"/>
        </w:rPr>
      </w:pPr>
      <w:r>
        <w:rPr>
          <w:rFonts w:hint="eastAsia" w:eastAsia="黑体"/>
          <w:b/>
          <w:sz w:val="36"/>
        </w:rPr>
        <w:t>毕业论文（设计）学术诚信声明</w:t>
      </w:r>
    </w:p>
    <w:p w14:paraId="4EC60C11">
      <w:pPr>
        <w:spacing w:line="480" w:lineRule="auto"/>
      </w:pPr>
    </w:p>
    <w:p w14:paraId="55C02D28">
      <w:pPr>
        <w:widowControl w:val="0"/>
        <w:autoSpaceDE w:val="0"/>
        <w:autoSpaceDN w:val="0"/>
        <w:adjustRightInd w:val="0"/>
        <w:snapToGrid w:val="0"/>
        <w:spacing w:after="120" w:line="360" w:lineRule="auto"/>
        <w:ind w:left="480" w:leftChars="200" w:firstLine="480" w:firstLineChars="200"/>
        <w:rPr>
          <w:rFonts w:ascii="Times New Roman" w:hAnsi="Times New Roman" w:eastAsia="宋体" w:cs="Times New Roman"/>
          <w:kern w:val="2"/>
          <w:sz w:val="24"/>
          <w:szCs w:val="32"/>
          <w:lang w:val="en-US" w:eastAsia="zh-CN" w:bidi="ar-SA"/>
        </w:rPr>
      </w:pPr>
      <w:r>
        <w:rPr>
          <w:rFonts w:hint="eastAsia" w:ascii="Times New Roman" w:hAnsi="Times New Roman" w:eastAsia="宋体" w:cs="Times New Roman"/>
          <w:kern w:val="2"/>
          <w:sz w:val="24"/>
          <w:szCs w:val="32"/>
          <w:lang w:val="en-US" w:eastAsia="zh-CN" w:bidi="ar-SA"/>
        </w:rPr>
        <w:t>本人郑重声明：所呈交的毕业论文（设计），是本人在导师的指导下，独立进行研究工作所取得的成果。除文中已经注明引用的内容外，本论文不包含任何其他个人或集体已经发表或撰写过的作品及成果的内容。本论文（设计）为本人亲自撰写，对所写的内容负责。本人完全意识到本声明的法律结果由本人承担。</w:t>
      </w:r>
    </w:p>
    <w:p w14:paraId="5AFB9CFD">
      <w:pPr>
        <w:spacing w:line="480" w:lineRule="auto"/>
      </w:pPr>
    </w:p>
    <w:p w14:paraId="4D251ACD">
      <w:pPr>
        <w:spacing w:line="480" w:lineRule="auto"/>
      </w:pPr>
    </w:p>
    <w:p w14:paraId="5EC4F138">
      <w:pPr>
        <w:spacing w:line="480" w:lineRule="auto"/>
      </w:pPr>
    </w:p>
    <w:p w14:paraId="10FF1958">
      <w:pPr>
        <w:spacing w:line="480" w:lineRule="auto"/>
        <w:rPr>
          <w:sz w:val="28"/>
        </w:rPr>
      </w:pPr>
      <w:r>
        <w:rPr>
          <w:rFonts w:hint="eastAsia"/>
          <w:sz w:val="28"/>
        </w:rPr>
        <w:t xml:space="preserve">                           </w:t>
      </w:r>
      <w:r>
        <w:rPr>
          <w:sz w:val="28"/>
        </w:rPr>
        <w:t xml:space="preserve"> </w:t>
      </w:r>
      <w:r>
        <w:rPr>
          <w:rFonts w:hint="eastAsia"/>
          <w:sz w:val="28"/>
        </w:rPr>
        <w:t>作者签名：</w:t>
      </w:r>
    </w:p>
    <w:p w14:paraId="1A2A5A76">
      <w:pPr>
        <w:spacing w:line="480" w:lineRule="auto"/>
        <w:rPr>
          <w:sz w:val="28"/>
        </w:rPr>
      </w:pPr>
    </w:p>
    <w:p w14:paraId="37CD2EBB">
      <w:pPr>
        <w:spacing w:line="480" w:lineRule="auto"/>
        <w:rPr>
          <w:sz w:val="28"/>
        </w:rPr>
      </w:pPr>
      <w:r>
        <w:rPr>
          <w:rFonts w:hint="eastAsia"/>
          <w:sz w:val="28"/>
        </w:rPr>
        <w:t xml:space="preserve">                            日期：     年   月   日</w:t>
      </w:r>
    </w:p>
    <w:p w14:paraId="2750A1FE">
      <w:pPr>
        <w:spacing w:line="480" w:lineRule="auto"/>
        <w:rPr>
          <w:sz w:val="28"/>
        </w:rPr>
      </w:pPr>
    </w:p>
    <w:p w14:paraId="1BEEF2FE">
      <w:pPr>
        <w:spacing w:line="480" w:lineRule="auto"/>
        <w:rPr>
          <w:sz w:val="28"/>
        </w:rPr>
      </w:pPr>
    </w:p>
    <w:p w14:paraId="70BD717D">
      <w:pPr>
        <w:spacing w:line="480" w:lineRule="auto"/>
        <w:rPr>
          <w:sz w:val="28"/>
        </w:rPr>
      </w:pPr>
    </w:p>
    <w:p w14:paraId="134A850E">
      <w:pPr>
        <w:spacing w:line="480" w:lineRule="auto"/>
        <w:rPr>
          <w:sz w:val="28"/>
        </w:rPr>
      </w:pPr>
    </w:p>
    <w:p w14:paraId="0E1C4F4D">
      <w:pPr>
        <w:spacing w:line="480" w:lineRule="auto"/>
        <w:rPr>
          <w:sz w:val="28"/>
        </w:rPr>
      </w:pPr>
    </w:p>
    <w:p w14:paraId="0E4C1525">
      <w:pPr>
        <w:rPr>
          <w:rFonts w:ascii="宋体"/>
          <w:sz w:val="18"/>
          <w:szCs w:val="18"/>
        </w:r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720" w:num="1"/>
          <w:docGrid w:type="lines" w:linePitch="312" w:charSpace="0"/>
        </w:sectPr>
      </w:pPr>
    </w:p>
    <w:p w14:paraId="5BB68B96">
      <w:pPr>
        <w:jc w:val="center"/>
        <w:rPr>
          <w:rFonts w:eastAsia="黑体"/>
          <w:b/>
          <w:sz w:val="36"/>
        </w:rPr>
      </w:pPr>
    </w:p>
    <w:p w14:paraId="61D586D9">
      <w:pPr>
        <w:jc w:val="center"/>
        <w:rPr>
          <w:rFonts w:eastAsia="黑体"/>
          <w:b/>
          <w:sz w:val="36"/>
        </w:rPr>
      </w:pPr>
      <w:r>
        <w:rPr>
          <w:rFonts w:hint="eastAsia" w:eastAsia="黑体"/>
          <w:b/>
          <w:sz w:val="36"/>
        </w:rPr>
        <w:t>东华大学</w:t>
      </w:r>
    </w:p>
    <w:p w14:paraId="2F6E3760">
      <w:pPr>
        <w:jc w:val="center"/>
        <w:rPr>
          <w:rFonts w:eastAsia="黑体"/>
          <w:b/>
          <w:sz w:val="36"/>
        </w:rPr>
      </w:pPr>
      <w:r>
        <w:rPr>
          <w:rFonts w:hint="eastAsia" w:eastAsia="黑体"/>
          <w:b/>
          <w:sz w:val="36"/>
        </w:rPr>
        <w:t>毕业论文（设计）版权使用授权书</w:t>
      </w:r>
    </w:p>
    <w:p w14:paraId="005FBACF">
      <w:pPr>
        <w:jc w:val="center"/>
        <w:rPr>
          <w:rFonts w:eastAsia="黑体"/>
          <w:b/>
          <w:sz w:val="32"/>
        </w:rPr>
      </w:pPr>
    </w:p>
    <w:p w14:paraId="66B27B87">
      <w:pPr>
        <w:widowControl w:val="0"/>
        <w:autoSpaceDE w:val="0"/>
        <w:autoSpaceDN w:val="0"/>
        <w:adjustRightInd w:val="0"/>
        <w:snapToGrid w:val="0"/>
        <w:spacing w:after="120" w:line="360" w:lineRule="auto"/>
        <w:ind w:left="480" w:leftChars="200" w:firstLine="480" w:firstLineChars="200"/>
        <w:rPr>
          <w:rFonts w:ascii="Times New Roman" w:hAnsi="Times New Roman" w:eastAsia="宋体" w:cs="Times New Roman"/>
          <w:kern w:val="2"/>
          <w:sz w:val="24"/>
          <w:szCs w:val="32"/>
          <w:lang w:val="en-US" w:eastAsia="zh-CN" w:bidi="ar-SA"/>
        </w:rPr>
      </w:pPr>
      <w:r>
        <w:rPr>
          <w:rFonts w:hint="eastAsia" w:ascii="Times New Roman" w:hAnsi="Times New Roman" w:eastAsia="宋体" w:cs="Times New Roman"/>
          <w:kern w:val="2"/>
          <w:sz w:val="24"/>
          <w:szCs w:val="32"/>
          <w:lang w:val="en-US" w:eastAsia="zh-CN" w:bidi="ar-SA"/>
        </w:rPr>
        <w:t>本毕业论文（设计）作者完全了解学校有关保留、使用学位论文的规定，同意学校保留并向国家有关部门或机构送交论文的复印件和电子版，允许论文被查阅和借阅。本人授权东华大学可以将本毕业论文（设计）的全部或部分内容编入有关数据库进行检索，可以采用影印、缩印或扫描等复制手段保存和汇编本毕业论文（设计）。</w:t>
      </w:r>
    </w:p>
    <w:p w14:paraId="3C8B2A1B">
      <w:pPr>
        <w:ind w:firstLine="629"/>
        <w:rPr>
          <w:rFonts w:ascii="宋体"/>
          <w:sz w:val="28"/>
        </w:rPr>
      </w:pPr>
      <w:r>
        <w:rPr>
          <w:rFonts w:hint="eastAsia"/>
          <w:sz w:val="28"/>
        </w:rPr>
        <w:t xml:space="preserve">             </w:t>
      </w:r>
      <w:r>
        <w:rPr>
          <w:rFonts w:hint="eastAsia"/>
          <w:b/>
          <w:sz w:val="28"/>
        </w:rPr>
        <w:t xml:space="preserve"> 保密</w:t>
      </w:r>
      <w:r>
        <w:rPr>
          <w:rFonts w:hint="eastAsia" w:ascii="宋体"/>
          <w:sz w:val="28"/>
        </w:rPr>
        <w:t>□，在</w:t>
      </w:r>
      <w:r>
        <w:rPr>
          <w:rFonts w:hint="eastAsia" w:ascii="宋体"/>
          <w:sz w:val="28"/>
          <w:u w:val="single"/>
        </w:rPr>
        <w:t xml:space="preserve">   </w:t>
      </w:r>
      <w:r>
        <w:rPr>
          <w:rFonts w:hint="eastAsia" w:ascii="宋体"/>
          <w:sz w:val="28"/>
        </w:rPr>
        <w:t>年解密后适用本授权书。</w:t>
      </w:r>
    </w:p>
    <w:p w14:paraId="3321D71D">
      <w:pPr>
        <w:ind w:firstLine="629"/>
        <w:rPr>
          <w:rFonts w:ascii="宋体"/>
          <w:b/>
          <w:sz w:val="28"/>
        </w:rPr>
      </w:pPr>
      <w:r>
        <w:rPr>
          <w:rFonts w:hint="eastAsia"/>
          <w:sz w:val="28"/>
        </w:rPr>
        <w:t>本论文属于</w:t>
      </w:r>
    </w:p>
    <w:p w14:paraId="0EE2A892">
      <w:pPr>
        <w:ind w:firstLine="629"/>
        <w:rPr>
          <w:rFonts w:ascii="宋体"/>
          <w:sz w:val="28"/>
        </w:rPr>
      </w:pPr>
      <w:r>
        <w:rPr>
          <w:rFonts w:hint="eastAsia" w:ascii="宋体"/>
          <w:b/>
          <w:sz w:val="28"/>
        </w:rPr>
        <w:t xml:space="preserve">              </w:t>
      </w:r>
      <w:r>
        <w:rPr>
          <w:rFonts w:hint="eastAsia"/>
          <w:b/>
          <w:sz w:val="28"/>
        </w:rPr>
        <w:t>不保密</w:t>
      </w:r>
      <w:r>
        <w:rPr>
          <w:rFonts w:hint="eastAsia" w:ascii="宋体"/>
          <w:sz w:val="28"/>
        </w:rPr>
        <w:t>□。</w:t>
      </w:r>
    </w:p>
    <w:p w14:paraId="58B1C60B">
      <w:pPr>
        <w:ind w:firstLine="630"/>
        <w:rPr>
          <w:rFonts w:ascii="宋体"/>
          <w:sz w:val="28"/>
        </w:rPr>
      </w:pPr>
      <w:r>
        <w:rPr>
          <w:rFonts w:hint="eastAsia" w:ascii="宋体"/>
          <w:sz w:val="28"/>
        </w:rPr>
        <w:t>（请在以上方框内打“</w:t>
      </w:r>
      <w:r>
        <w:rPr>
          <w:rFonts w:hint="eastAsia" w:ascii="宋体"/>
          <w:b/>
          <w:sz w:val="28"/>
        </w:rPr>
        <w:t>√</w:t>
      </w:r>
      <w:r>
        <w:rPr>
          <w:rFonts w:hint="eastAsia" w:ascii="宋体"/>
          <w:sz w:val="28"/>
        </w:rPr>
        <w:t>”）</w:t>
      </w:r>
    </w:p>
    <w:p w14:paraId="3AF0EE01">
      <w:pPr>
        <w:rPr>
          <w:rFonts w:ascii="宋体"/>
          <w:sz w:val="28"/>
        </w:rPr>
      </w:pPr>
    </w:p>
    <w:p w14:paraId="57BE689A">
      <w:pPr>
        <w:rPr>
          <w:rFonts w:ascii="宋体"/>
          <w:sz w:val="28"/>
        </w:rPr>
      </w:pPr>
    </w:p>
    <w:p w14:paraId="27E9E5A2">
      <w:pPr>
        <w:rPr>
          <w:rFonts w:ascii="宋体"/>
          <w:sz w:val="28"/>
        </w:rPr>
      </w:pPr>
    </w:p>
    <w:p w14:paraId="69754C5B">
      <w:pPr>
        <w:rPr>
          <w:rFonts w:ascii="宋体"/>
          <w:sz w:val="28"/>
        </w:rPr>
      </w:pPr>
      <w:r>
        <w:rPr>
          <w:rFonts w:hint="eastAsia" w:ascii="宋体"/>
          <w:sz w:val="28"/>
        </w:rPr>
        <w:t xml:space="preserve">指导教师签名：                       </w:t>
      </w:r>
      <w:r>
        <w:rPr>
          <w:rFonts w:hint="eastAsia"/>
          <w:sz w:val="28"/>
        </w:rPr>
        <w:t>作者</w:t>
      </w:r>
      <w:r>
        <w:rPr>
          <w:rFonts w:hint="eastAsia" w:ascii="宋体"/>
          <w:sz w:val="28"/>
        </w:rPr>
        <w:t>签名：</w:t>
      </w:r>
    </w:p>
    <w:p w14:paraId="18B5FDC3">
      <w:pPr>
        <w:rPr>
          <w:rFonts w:ascii="宋体"/>
          <w:sz w:val="28"/>
        </w:rPr>
      </w:pPr>
    </w:p>
    <w:p w14:paraId="2E45910D">
      <w:pPr>
        <w:rPr>
          <w:rFonts w:ascii="宋体"/>
          <w:sz w:val="28"/>
        </w:rPr>
      </w:pPr>
      <w:r>
        <w:rPr>
          <w:rFonts w:hint="eastAsia" w:ascii="宋体"/>
          <w:sz w:val="28"/>
        </w:rPr>
        <w:t>日期：    年   月   日               日期：    年   月   日</w:t>
      </w:r>
    </w:p>
    <w:p w14:paraId="737C537A">
      <w:pPr>
        <w:rPr>
          <w:rFonts w:ascii="宋体"/>
          <w:sz w:val="28"/>
        </w:rPr>
      </w:pPr>
    </w:p>
    <w:p w14:paraId="36748CF6">
      <w:pPr>
        <w:rPr>
          <w:rFonts w:ascii="宋体"/>
          <w:sz w:val="28"/>
        </w:rPr>
      </w:pPr>
    </w:p>
    <w:p w14:paraId="1B0A8389"/>
    <w:p w14:paraId="26734157">
      <w:pPr>
        <w:rPr>
          <w:rFonts w:eastAsia="黑体"/>
          <w:sz w:val="32"/>
        </w:r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720" w:num="1"/>
          <w:docGrid w:type="lines" w:linePitch="312" w:charSpace="0"/>
        </w:sectPr>
      </w:pPr>
    </w:p>
    <w:p w14:paraId="727C60A2">
      <w:pPr>
        <w:tabs>
          <w:tab w:val="left" w:pos="2550"/>
        </w:tabs>
        <w:jc w:val="center"/>
        <w:rPr>
          <w:rFonts w:eastAsia="黑体"/>
          <w:b/>
          <w:bCs/>
          <w:sz w:val="32"/>
        </w:rPr>
      </w:pPr>
    </w:p>
    <w:p w14:paraId="4916B092">
      <w:pPr>
        <w:tabs>
          <w:tab w:val="left" w:pos="2550"/>
        </w:tabs>
        <w:jc w:val="center"/>
        <w:rPr>
          <w:rFonts w:hint="eastAsia" w:eastAsia="黑体"/>
          <w:b/>
          <w:bCs/>
          <w:color w:val="000000" w:themeColor="text1"/>
          <w:sz w:val="32"/>
          <w14:textFill>
            <w14:solidFill>
              <w14:schemeClr w14:val="tx1"/>
            </w14:solidFill>
          </w14:textFill>
        </w:rPr>
      </w:pPr>
      <w:r>
        <w:rPr>
          <w:rFonts w:hint="eastAsia" w:eastAsia="黑体"/>
          <w:b/>
          <w:bCs/>
          <w:color w:val="000000" w:themeColor="text1"/>
          <w:sz w:val="32"/>
          <w14:textFill>
            <w14:solidFill>
              <w14:schemeClr w14:val="tx1"/>
            </w14:solidFill>
          </w14:textFill>
        </w:rPr>
        <w:t>基于区块链的可信任务日志审计系统与实现</w:t>
      </w:r>
    </w:p>
    <w:p w14:paraId="05ECDA7F">
      <w:pPr>
        <w:tabs>
          <w:tab w:val="left" w:pos="2550"/>
        </w:tabs>
        <w:jc w:val="both"/>
        <w:rPr>
          <w:rFonts w:eastAsia="黑体"/>
          <w:b/>
          <w:bCs/>
          <w:sz w:val="32"/>
        </w:rPr>
      </w:pPr>
    </w:p>
    <w:p w14:paraId="6386514C">
      <w:pPr>
        <w:tabs>
          <w:tab w:val="left" w:pos="2550"/>
        </w:tabs>
        <w:jc w:val="center"/>
        <w:rPr>
          <w:rFonts w:eastAsia="黑体"/>
          <w:bCs/>
          <w:sz w:val="28"/>
          <w:szCs w:val="28"/>
        </w:rPr>
      </w:pPr>
      <w:bookmarkStart w:id="0" w:name="_Toc105491688"/>
      <w:r>
        <w:rPr>
          <w:rFonts w:hint="eastAsia" w:eastAsia="黑体"/>
          <w:bCs/>
          <w:sz w:val="28"/>
          <w:szCs w:val="28"/>
        </w:rPr>
        <w:t>摘  要</w:t>
      </w:r>
      <w:bookmarkEnd w:id="0"/>
    </w:p>
    <w:p w14:paraId="3580BD33">
      <w:pPr>
        <w:tabs>
          <w:tab w:val="left" w:pos="2550"/>
        </w:tabs>
        <w:jc w:val="center"/>
        <w:rPr>
          <w:rFonts w:eastAsia="黑体"/>
          <w:bCs/>
          <w:sz w:val="28"/>
          <w:szCs w:val="28"/>
        </w:rPr>
      </w:pPr>
    </w:p>
    <w:p w14:paraId="0921946E">
      <w:pPr>
        <w:tabs>
          <w:tab w:val="left" w:pos="2550"/>
        </w:tabs>
        <w:ind w:firstLine="540"/>
        <w:jc w:val="both"/>
        <w:rPr>
          <w:rFonts w:hint="default"/>
        </w:rPr>
      </w:pPr>
      <w:r>
        <w:rPr>
          <w:rFonts w:hint="default"/>
        </w:rPr>
        <w:t>随着信息系统在业务处理和自动化任务中的广泛应用，日志数据已成为安全审计、故障排查和责任追溯的重要依据。传统中心化日志存储方式虽然便于查询和管理，但日志原文及审计依据集中保存，存在被篡改、删除或伪造后难以及时发现的问题。针对上述问题，本文设计并实现了一种基于区块链的可信任务日志审计系统。系统采用“链下保存日志原文、链上保存日志哈希摘要”的混合存储模型，由Agent完成日志增量采集，Server负责日志入库、SHA-256哈希计算和 LogRegistry智能合约调用，SQLite保存日志、存证、审计和告警记录，Web前端展示日志、审计和告警结果。审计阶段，系统重新计算日志原文得到actualHash，并与数据库中的expectedHash、链上的onChainHash进行三方比对；当哈希不一致时，生成failed审计记录和hash_mismatch告警。实验结果表明，LogRegistry合约测试8项全部通过；日志批量提交100次成功率为100%，平均响应时间约107.03ms，吞吐量约9.33条/秒；批量审计100、500、1000条数据5轮均成功；篡改检测实验能够识别日志内容被修改并生成告警。结果说明，该系统能够形成从采集、存证、审计到告警展示的可信日志审计闭环。</w:t>
      </w:r>
    </w:p>
    <w:p w14:paraId="61931982">
      <w:pPr>
        <w:tabs>
          <w:tab w:val="left" w:pos="2550"/>
        </w:tabs>
        <w:rPr>
          <w:rFonts w:ascii="宋体" w:hAnsi="宋体"/>
          <w:bCs/>
          <w:szCs w:val="32"/>
        </w:rPr>
      </w:pPr>
    </w:p>
    <w:p w14:paraId="41FEA3D5">
      <w:pPr>
        <w:tabs>
          <w:tab w:val="left" w:pos="2550"/>
        </w:tabs>
        <w:ind w:left="960" w:hanging="960" w:hangingChars="400"/>
        <w:rPr>
          <w:rFonts w:hint="eastAsia" w:ascii="宋体" w:hAnsi="宋体" w:eastAsia="宋体" w:cs="宋体"/>
          <w:bCs/>
          <w:szCs w:val="28"/>
        </w:rPr>
      </w:pPr>
      <w:r>
        <w:rPr>
          <w:rFonts w:hint="eastAsia" w:ascii="黑体" w:hAnsi="宋体" w:eastAsia="黑体"/>
          <w:bCs/>
          <w:szCs w:val="28"/>
        </w:rPr>
        <w:t>关键词：</w:t>
      </w:r>
      <w:r>
        <w:rPr>
          <w:rFonts w:hint="eastAsia" w:ascii="宋体" w:hAnsi="宋体" w:eastAsia="宋体" w:cs="宋体"/>
          <w:bCs/>
          <w:szCs w:val="28"/>
        </w:rPr>
        <w:t>区块链</w:t>
      </w:r>
      <w:r>
        <w:rPr>
          <w:rFonts w:hint="eastAsia" w:ascii="宋体" w:hAnsi="宋体" w:cs="宋体"/>
          <w:bCs/>
          <w:szCs w:val="28"/>
          <w:lang w:eastAsia="zh-CN"/>
        </w:rPr>
        <w:t>，</w:t>
      </w:r>
      <w:r>
        <w:rPr>
          <w:rFonts w:hint="eastAsia" w:ascii="宋体" w:hAnsi="宋体" w:eastAsia="宋体" w:cs="宋体"/>
          <w:bCs/>
          <w:szCs w:val="28"/>
        </w:rPr>
        <w:t>日志审计</w:t>
      </w:r>
      <w:r>
        <w:rPr>
          <w:rFonts w:hint="eastAsia" w:ascii="宋体" w:hAnsi="宋体" w:cs="宋体"/>
          <w:bCs/>
          <w:szCs w:val="28"/>
          <w:lang w:eastAsia="zh-CN"/>
        </w:rPr>
        <w:t>，</w:t>
      </w:r>
      <w:r>
        <w:rPr>
          <w:rFonts w:hint="eastAsia" w:ascii="宋体" w:hAnsi="宋体" w:eastAsia="宋体" w:cs="宋体"/>
          <w:bCs/>
          <w:szCs w:val="28"/>
        </w:rPr>
        <w:t>智能合约</w:t>
      </w:r>
      <w:r>
        <w:rPr>
          <w:rFonts w:hint="eastAsia" w:ascii="宋体" w:hAnsi="宋体" w:cs="宋体"/>
          <w:bCs/>
          <w:szCs w:val="28"/>
          <w:lang w:eastAsia="zh-CN"/>
        </w:rPr>
        <w:t>，</w:t>
      </w:r>
      <w:r>
        <w:rPr>
          <w:rFonts w:hint="eastAsia" w:ascii="宋体" w:hAnsi="宋体" w:eastAsia="宋体" w:cs="宋体"/>
          <w:bCs/>
          <w:szCs w:val="28"/>
        </w:rPr>
        <w:t>哈希校验</w:t>
      </w:r>
      <w:r>
        <w:rPr>
          <w:rFonts w:hint="eastAsia" w:ascii="宋体" w:hAnsi="宋体" w:cs="宋体"/>
          <w:bCs/>
          <w:szCs w:val="28"/>
          <w:lang w:eastAsia="zh-CN"/>
        </w:rPr>
        <w:t>，</w:t>
      </w:r>
      <w:r>
        <w:rPr>
          <w:rFonts w:hint="eastAsia" w:ascii="宋体" w:hAnsi="宋体" w:eastAsia="宋体" w:cs="宋体"/>
          <w:bCs/>
          <w:szCs w:val="28"/>
        </w:rPr>
        <w:t>可信存证</w:t>
      </w:r>
      <w:r>
        <w:rPr>
          <w:rFonts w:hint="eastAsia" w:ascii="宋体" w:hAnsi="宋体" w:cs="宋体"/>
          <w:bCs/>
          <w:szCs w:val="28"/>
          <w:lang w:eastAsia="zh-CN"/>
        </w:rPr>
        <w:t>，</w:t>
      </w:r>
      <w:r>
        <w:rPr>
          <w:rFonts w:hint="eastAsia" w:ascii="宋体" w:hAnsi="宋体" w:eastAsia="宋体" w:cs="宋体"/>
          <w:bCs/>
          <w:szCs w:val="28"/>
        </w:rPr>
        <w:t>异常告警</w:t>
      </w:r>
    </w:p>
    <w:p w14:paraId="6FDC1A65">
      <w:pPr>
        <w:tabs>
          <w:tab w:val="left" w:pos="2550"/>
        </w:tabs>
        <w:ind w:left="960" w:hanging="960" w:hangingChars="400"/>
        <w:rPr>
          <w:rFonts w:ascii="黑体" w:hAnsi="宋体" w:eastAsia="黑体"/>
          <w:bCs/>
          <w:szCs w:val="28"/>
        </w:rPr>
      </w:pPr>
    </w:p>
    <w:p w14:paraId="300C1006">
      <w:pPr>
        <w:tabs>
          <w:tab w:val="left" w:pos="3180"/>
        </w:tabs>
        <w:autoSpaceDE/>
        <w:autoSpaceDN/>
        <w:jc w:val="center"/>
        <w:rPr>
          <w:rFonts w:ascii="黑体" w:eastAsia="黑体"/>
          <w:sz w:val="44"/>
          <w:szCs w:val="44"/>
        </w:rPr>
      </w:pPr>
      <w:r>
        <w:rPr>
          <w:rFonts w:ascii="黑体" w:eastAsia="黑体"/>
          <w:sz w:val="44"/>
          <w:szCs w:val="44"/>
        </w:rPr>
        <w:br w:type="page"/>
      </w:r>
    </w:p>
    <w:p w14:paraId="182C2A03">
      <w:pPr>
        <w:tabs>
          <w:tab w:val="left" w:pos="3180"/>
        </w:tabs>
        <w:ind w:right="29" w:rightChars="12"/>
        <w:jc w:val="center"/>
        <w:rPr>
          <w:rFonts w:hint="eastAsia" w:eastAsia="黑体"/>
          <w:b/>
          <w:sz w:val="32"/>
          <w:szCs w:val="32"/>
        </w:rPr>
      </w:pPr>
    </w:p>
    <w:p w14:paraId="0BBA2883">
      <w:pPr>
        <w:tabs>
          <w:tab w:val="left" w:pos="3180"/>
        </w:tabs>
        <w:ind w:right="29" w:rightChars="12"/>
        <w:jc w:val="center"/>
        <w:rPr>
          <w:rFonts w:hint="eastAsia" w:eastAsia="黑体"/>
          <w:b/>
          <w:sz w:val="32"/>
          <w:szCs w:val="32"/>
        </w:rPr>
      </w:pPr>
      <w:r>
        <w:rPr>
          <w:rFonts w:hint="eastAsia" w:eastAsia="黑体"/>
          <w:b/>
          <w:sz w:val="32"/>
          <w:szCs w:val="32"/>
        </w:rPr>
        <w:t>DESIGN AND IMPLEMENTATION OF A TRUSTED TASK LOG AUDITING SYSTEM BASED ON BLACKCHAIN</w:t>
      </w:r>
    </w:p>
    <w:p w14:paraId="08B58D3E">
      <w:pPr>
        <w:tabs>
          <w:tab w:val="left" w:pos="3180"/>
        </w:tabs>
        <w:ind w:right="29" w:rightChars="12"/>
        <w:jc w:val="center"/>
        <w:rPr>
          <w:rFonts w:eastAsia="黑体"/>
          <w:b/>
          <w:sz w:val="32"/>
          <w:szCs w:val="32"/>
        </w:rPr>
      </w:pPr>
    </w:p>
    <w:p w14:paraId="25C9FCE1">
      <w:pPr>
        <w:ind w:right="29" w:rightChars="12"/>
        <w:jc w:val="center"/>
        <w:outlineLvl w:val="0"/>
        <w:rPr>
          <w:b/>
          <w:sz w:val="28"/>
          <w:szCs w:val="28"/>
        </w:rPr>
      </w:pPr>
      <w:bookmarkStart w:id="1" w:name="_Toc105491689"/>
      <w:bookmarkStart w:id="2" w:name="_Toc875"/>
      <w:bookmarkStart w:id="3" w:name="_Toc18752"/>
      <w:bookmarkStart w:id="4" w:name="_Toc510854896"/>
      <w:bookmarkStart w:id="5" w:name="_Toc2114730846"/>
      <w:bookmarkStart w:id="6" w:name="_Toc862809718"/>
      <w:bookmarkStart w:id="7" w:name="_Toc737156026"/>
      <w:bookmarkStart w:id="8" w:name="_Toc28939"/>
      <w:bookmarkStart w:id="9" w:name="_Toc178383590"/>
      <w:bookmarkStart w:id="10" w:name="_Toc14778"/>
      <w:r>
        <w:rPr>
          <w:b/>
          <w:sz w:val="28"/>
          <w:szCs w:val="28"/>
        </w:rPr>
        <w:t>A</w:t>
      </w:r>
      <w:r>
        <w:rPr>
          <w:rFonts w:hint="eastAsia"/>
          <w:b/>
          <w:sz w:val="28"/>
          <w:szCs w:val="28"/>
        </w:rPr>
        <w:t>BSTRACT</w:t>
      </w:r>
      <w:bookmarkEnd w:id="1"/>
      <w:bookmarkEnd w:id="2"/>
      <w:bookmarkEnd w:id="3"/>
      <w:bookmarkEnd w:id="4"/>
      <w:bookmarkEnd w:id="5"/>
      <w:bookmarkEnd w:id="6"/>
      <w:bookmarkEnd w:id="7"/>
      <w:bookmarkEnd w:id="8"/>
      <w:bookmarkEnd w:id="9"/>
      <w:bookmarkEnd w:id="10"/>
    </w:p>
    <w:p w14:paraId="2A1A0C31">
      <w:pPr>
        <w:ind w:right="29" w:rightChars="12"/>
        <w:jc w:val="center"/>
        <w:rPr>
          <w:sz w:val="32"/>
          <w:szCs w:val="32"/>
        </w:rPr>
      </w:pPr>
    </w:p>
    <w:p w14:paraId="5F675790">
      <w:pPr>
        <w:ind w:right="29" w:rightChars="12" w:firstLine="420" w:firstLineChars="0"/>
        <w:jc w:val="both"/>
        <w:rPr>
          <w:rFonts w:hint="eastAsia"/>
          <w:szCs w:val="21"/>
        </w:rPr>
      </w:pPr>
      <w:r>
        <w:rPr>
          <w:rFonts w:hint="eastAsia"/>
          <w:szCs w:val="21"/>
        </w:rPr>
        <w:t>With the widespread use of information systems in business processing and automated tasks, log data has become an important basis for security auditing, fault diagnosis, and responsibility tracing. Traditional centralized log storage is convenient for query and management, but log contents and audit evidence are usually maintained in the same trusted domain. Once logs are tampered with, deleted, or forged, it is difficult to provide independent and reliable evidence for subsequent auditing. To address this problem, this thesis designs and implements a trusted task log auditing system based on blockchain. The system adopts a hybrid storage model in which original logs are stored off-chain and log hash digests are stored on-chain. The Agent module performs incremental log collection, the Server module handles log persistence, SHA-256 hash calculation, and interaction with the LogRegistry smart contract, SQLite stores logs, evidence records, audit records, alerts, and agent states, and the Web frontend visualizes logs, audit results, and alert information. During the audit process, the system recalculates the hash of the current log content as actualHash, reads expectedHash from the database, and obtains onChainHash from the smart contract. A three-party hash comparison is then performed to determine whether the log remains consistent with its evidence record. If an inconsistency is detected, the system generates a failed audit record and a hash_mismatch alert. Experimental results show that all eight smart contract tests passed. In the log submission experiment, 100 submissions were completed successfully with an average response time of about 107.03 ms and a throughput of about 9.33 records per second. Batch audit experiments on 100, 500, and 1000 records were completed successfully in five rounds, and the tamper detection experiment identified modified log content and generated an alert. The results indicate that the proposed system can form a trusted audit loop covering log collection, evidence storage, audit verification, alert generation, and frontend visualization.</w:t>
      </w:r>
    </w:p>
    <w:p w14:paraId="5CBB5337">
      <w:pPr>
        <w:ind w:right="29" w:rightChars="12"/>
        <w:jc w:val="both"/>
        <w:rPr>
          <w:rFonts w:hint="eastAsia"/>
          <w:szCs w:val="21"/>
        </w:rPr>
      </w:pPr>
    </w:p>
    <w:p w14:paraId="3C522DE4">
      <w:pPr>
        <w:ind w:left="1303" w:right="29" w:rightChars="12" w:hanging="1303" w:hangingChars="541"/>
        <w:rPr>
          <w:szCs w:val="28"/>
        </w:rPr>
      </w:pPr>
      <w:r>
        <w:rPr>
          <w:rFonts w:hint="eastAsia"/>
          <w:b/>
          <w:szCs w:val="28"/>
        </w:rPr>
        <w:t>KEY WORDS:</w:t>
      </w:r>
      <w:r>
        <w:rPr>
          <w:rFonts w:eastAsia="黑体"/>
          <w:b/>
        </w:rPr>
        <w:t xml:space="preserve"> </w:t>
      </w:r>
      <w:r>
        <w:rPr>
          <w:rFonts w:hint="eastAsia" w:ascii="Times New Roman" w:hAnsi="Times New Roman" w:cs="Times New Roman"/>
          <w:color w:val="000000" w:themeColor="text1"/>
          <w:szCs w:val="32"/>
          <w14:textFill>
            <w14:solidFill>
              <w14:schemeClr w14:val="tx1"/>
            </w14:solidFill>
          </w14:textFill>
        </w:rPr>
        <w:t>blockchain</w:t>
      </w:r>
      <w:r>
        <w:rPr>
          <w:rFonts w:hint="eastAsia" w:cs="Times New Roman"/>
          <w:color w:val="000000" w:themeColor="text1"/>
          <w:szCs w:val="32"/>
          <w:lang w:val="en-US" w:eastAsia="zh-CN"/>
          <w14:textFill>
            <w14:solidFill>
              <w14:schemeClr w14:val="tx1"/>
            </w14:solidFill>
          </w14:textFill>
        </w:rPr>
        <w:t xml:space="preserve">, </w:t>
      </w:r>
      <w:r>
        <w:rPr>
          <w:rFonts w:hint="eastAsia" w:ascii="Times New Roman" w:hAnsi="Times New Roman" w:cs="Times New Roman"/>
          <w:color w:val="000000" w:themeColor="text1"/>
          <w:szCs w:val="32"/>
          <w14:textFill>
            <w14:solidFill>
              <w14:schemeClr w14:val="tx1"/>
            </w14:solidFill>
          </w14:textFill>
        </w:rPr>
        <w:t>log auditing</w:t>
      </w:r>
      <w:r>
        <w:rPr>
          <w:rFonts w:hint="eastAsia" w:cs="Times New Roman"/>
          <w:color w:val="000000" w:themeColor="text1"/>
          <w:szCs w:val="32"/>
          <w:lang w:val="en-US" w:eastAsia="zh-CN"/>
          <w14:textFill>
            <w14:solidFill>
              <w14:schemeClr w14:val="tx1"/>
            </w14:solidFill>
          </w14:textFill>
        </w:rPr>
        <w:t xml:space="preserve">, </w:t>
      </w:r>
      <w:r>
        <w:rPr>
          <w:rFonts w:hint="eastAsia" w:ascii="Times New Roman" w:hAnsi="Times New Roman" w:cs="Times New Roman"/>
          <w:color w:val="000000" w:themeColor="text1"/>
          <w:szCs w:val="32"/>
          <w14:textFill>
            <w14:solidFill>
              <w14:schemeClr w14:val="tx1"/>
            </w14:solidFill>
          </w14:textFill>
        </w:rPr>
        <w:t>smart contract</w:t>
      </w:r>
      <w:r>
        <w:rPr>
          <w:rFonts w:hint="eastAsia" w:cs="Times New Roman"/>
          <w:color w:val="000000" w:themeColor="text1"/>
          <w:szCs w:val="32"/>
          <w:lang w:val="en-US" w:eastAsia="zh-CN"/>
          <w14:textFill>
            <w14:solidFill>
              <w14:schemeClr w14:val="tx1"/>
            </w14:solidFill>
          </w14:textFill>
        </w:rPr>
        <w:t>,</w:t>
      </w:r>
      <w:r>
        <w:rPr>
          <w:rFonts w:hint="eastAsia" w:ascii="Times New Roman" w:hAnsi="Times New Roman" w:cs="Times New Roman"/>
          <w:color w:val="000000" w:themeColor="text1"/>
          <w:szCs w:val="32"/>
          <w14:textFill>
            <w14:solidFill>
              <w14:schemeClr w14:val="tx1"/>
            </w14:solidFill>
          </w14:textFill>
        </w:rPr>
        <w:t xml:space="preserve"> hash verification</w:t>
      </w:r>
      <w:r>
        <w:rPr>
          <w:rFonts w:hint="eastAsia" w:cs="Times New Roman"/>
          <w:color w:val="000000" w:themeColor="text1"/>
          <w:szCs w:val="32"/>
          <w:lang w:val="en-US" w:eastAsia="zh-CN"/>
          <w14:textFill>
            <w14:solidFill>
              <w14:schemeClr w14:val="tx1"/>
            </w14:solidFill>
          </w14:textFill>
        </w:rPr>
        <w:t>,</w:t>
      </w:r>
      <w:r>
        <w:rPr>
          <w:rFonts w:hint="eastAsia" w:ascii="Times New Roman" w:hAnsi="Times New Roman" w:cs="Times New Roman"/>
          <w:color w:val="000000" w:themeColor="text1"/>
          <w:szCs w:val="32"/>
          <w14:textFill>
            <w14:solidFill>
              <w14:schemeClr w14:val="tx1"/>
            </w14:solidFill>
          </w14:textFill>
        </w:rPr>
        <w:t xml:space="preserve"> trusted evidence storage</w:t>
      </w:r>
      <w:r>
        <w:rPr>
          <w:rFonts w:hint="eastAsia" w:cs="Times New Roman"/>
          <w:color w:val="000000" w:themeColor="text1"/>
          <w:szCs w:val="32"/>
          <w:lang w:val="en-US" w:eastAsia="zh-CN"/>
          <w14:textFill>
            <w14:solidFill>
              <w14:schemeClr w14:val="tx1"/>
            </w14:solidFill>
          </w14:textFill>
        </w:rPr>
        <w:t>,</w:t>
      </w:r>
      <w:r>
        <w:rPr>
          <w:rFonts w:hint="eastAsia" w:ascii="Times New Roman" w:hAnsi="Times New Roman" w:cs="Times New Roman"/>
          <w:color w:val="000000" w:themeColor="text1"/>
          <w:szCs w:val="32"/>
          <w14:textFill>
            <w14:solidFill>
              <w14:schemeClr w14:val="tx1"/>
            </w14:solidFill>
          </w14:textFill>
        </w:rPr>
        <w:t xml:space="preserve"> anomaly alert</w:t>
      </w:r>
    </w:p>
    <w:p w14:paraId="19B07E75">
      <w:pPr>
        <w:ind w:right="29" w:rightChars="12" w:firstLine="629"/>
        <w:rPr>
          <w:sz w:val="28"/>
          <w:szCs w:val="28"/>
        </w:rPr>
      </w:pPr>
      <w:r>
        <w:rPr>
          <w:sz w:val="28"/>
          <w:szCs w:val="28"/>
        </w:rPr>
        <w:br w:type="page"/>
      </w:r>
    </w:p>
    <w:p w14:paraId="2C1EBE56">
      <w:pPr>
        <w:ind w:right="29" w:rightChars="12"/>
        <w:jc w:val="center"/>
        <w:rPr>
          <w:rFonts w:hint="eastAsia" w:ascii="黑体" w:eastAsia="黑体"/>
          <w:sz w:val="32"/>
          <w:szCs w:val="32"/>
        </w:rPr>
      </w:pPr>
    </w:p>
    <w:p w14:paraId="0FF74789">
      <w:pPr>
        <w:ind w:right="29" w:rightChars="12"/>
        <w:jc w:val="center"/>
        <w:rPr>
          <w:rFonts w:ascii="黑体" w:eastAsia="黑体"/>
          <w:sz w:val="32"/>
          <w:szCs w:val="32"/>
        </w:rPr>
      </w:pPr>
      <w:r>
        <w:rPr>
          <w:rFonts w:hint="eastAsia" w:ascii="黑体" w:eastAsia="黑体"/>
          <w:sz w:val="32"/>
          <w:szCs w:val="32"/>
        </w:rPr>
        <w:t>目  录</w:t>
      </w:r>
    </w:p>
    <w:p w14:paraId="0B422F7E">
      <w:pPr>
        <w:numPr>
          <w:ilvl w:val="0"/>
          <w:numId w:val="0"/>
        </w:numPr>
        <w:tabs>
          <w:tab w:val="left" w:pos="760"/>
        </w:tabs>
        <w:spacing w:before="18" w:beforeLines="6"/>
      </w:pPr>
    </w:p>
    <w:p w14:paraId="53E18BC6">
      <w:pPr>
        <w:pStyle w:val="11"/>
        <w:tabs>
          <w:tab w:val="right" w:leader="dot" w:pos="8306"/>
        </w:tabs>
      </w:pPr>
      <w:r>
        <w:rPr>
          <w:rFonts w:hint="default" w:ascii="Times New Roman" w:hAnsi="Times New Roman" w:cs="Times New Roman" w:eastAsiaTheme="majorEastAsia"/>
          <w:kern w:val="2"/>
          <w:sz w:val="24"/>
          <w:szCs w:val="24"/>
          <w:lang w:val="en-US" w:eastAsia="zh-CN" w:bidi="ar-SA"/>
        </w:rPr>
        <w:fldChar w:fldCharType="begin"/>
      </w:r>
      <w:r>
        <w:rPr>
          <w:rFonts w:hint="default" w:ascii="Times New Roman" w:hAnsi="Times New Roman" w:cs="Times New Roman" w:eastAsiaTheme="majorEastAsia"/>
          <w:kern w:val="2"/>
          <w:sz w:val="24"/>
          <w:szCs w:val="24"/>
          <w:lang w:val="en-US" w:eastAsia="zh-CN" w:bidi="ar-SA"/>
        </w:rPr>
        <w:instrText xml:space="preserve">TOC \o "1-3" \h \u </w:instrText>
      </w:r>
      <w:r>
        <w:rPr>
          <w:rFonts w:hint="default" w:ascii="Times New Roman" w:hAnsi="Times New Roman" w:cs="Times New Roman" w:eastAsiaTheme="majorEastAsia"/>
          <w:kern w:val="2"/>
          <w:sz w:val="24"/>
          <w:szCs w:val="24"/>
          <w:lang w:val="en-US" w:eastAsia="zh-CN" w:bidi="ar-SA"/>
        </w:rPr>
        <w:fldChar w:fldCharType="separate"/>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_Toc24959 </w:instrText>
      </w:r>
      <w:r>
        <w:rPr>
          <w:rFonts w:hint="default" w:ascii="Times New Roman" w:hAnsi="Times New Roman" w:cs="Times New Roman" w:eastAsiaTheme="majorEastAsia"/>
        </w:rPr>
        <w:fldChar w:fldCharType="separate"/>
      </w:r>
      <w:r>
        <w:rPr>
          <w:rFonts w:hint="default"/>
        </w:rPr>
        <w:t xml:space="preserve">1 </w:t>
      </w:r>
      <w:r>
        <w:rPr>
          <w:rFonts w:hint="eastAsia"/>
        </w:rPr>
        <w:t>绪论</w:t>
      </w:r>
      <w:r>
        <w:tab/>
      </w:r>
      <w:r>
        <w:fldChar w:fldCharType="begin"/>
      </w:r>
      <w:r>
        <w:instrText xml:space="preserve"> PAGEREF _Toc24959 \h </w:instrText>
      </w:r>
      <w:r>
        <w:fldChar w:fldCharType="separate"/>
      </w:r>
      <w:r>
        <w:t>1</w:t>
      </w:r>
      <w:r>
        <w:fldChar w:fldCharType="end"/>
      </w:r>
      <w:r>
        <w:rPr>
          <w:rFonts w:hint="default" w:ascii="Times New Roman" w:hAnsi="Times New Roman" w:cs="Times New Roman" w:eastAsiaTheme="majorEastAsia"/>
        </w:rPr>
        <w:fldChar w:fldCharType="end"/>
      </w:r>
    </w:p>
    <w:p w14:paraId="7A2AAF79">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_Toc31636 </w:instrText>
      </w:r>
      <w:r>
        <w:rPr>
          <w:rFonts w:hint="default" w:ascii="Times New Roman" w:hAnsi="Times New Roman" w:cs="Times New Roman" w:eastAsiaTheme="majorEastAsia"/>
        </w:rPr>
        <w:fldChar w:fldCharType="separate"/>
      </w:r>
      <w:r>
        <w:rPr>
          <w:rFonts w:hint="default"/>
        </w:rPr>
        <w:t xml:space="preserve">1.1 </w:t>
      </w:r>
      <w:r>
        <w:rPr>
          <w:rFonts w:hint="eastAsia"/>
        </w:rPr>
        <w:t>研究背景及意义</w:t>
      </w:r>
      <w:r>
        <w:tab/>
      </w:r>
      <w:r>
        <w:fldChar w:fldCharType="begin"/>
      </w:r>
      <w:r>
        <w:instrText xml:space="preserve"> PAGEREF _Toc31636 \h </w:instrText>
      </w:r>
      <w:r>
        <w:fldChar w:fldCharType="separate"/>
      </w:r>
      <w:r>
        <w:t>1</w:t>
      </w:r>
      <w:r>
        <w:fldChar w:fldCharType="end"/>
      </w:r>
      <w:r>
        <w:rPr>
          <w:rFonts w:hint="default" w:ascii="Times New Roman" w:hAnsi="Times New Roman" w:cs="Times New Roman" w:eastAsiaTheme="majorEastAsia"/>
        </w:rPr>
        <w:fldChar w:fldCharType="end"/>
      </w:r>
    </w:p>
    <w:p w14:paraId="177011C1">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_Toc28439 </w:instrText>
      </w:r>
      <w:r>
        <w:rPr>
          <w:rFonts w:hint="default" w:ascii="Times New Roman" w:hAnsi="Times New Roman" w:cs="Times New Roman" w:eastAsiaTheme="majorEastAsia"/>
        </w:rPr>
        <w:fldChar w:fldCharType="separate"/>
      </w:r>
      <w:r>
        <w:rPr>
          <w:rFonts w:hint="default"/>
        </w:rPr>
        <w:t xml:space="preserve">1.2 </w:t>
      </w:r>
      <w:r>
        <w:rPr>
          <w:rFonts w:hint="eastAsia"/>
        </w:rPr>
        <w:t>国内外研究现状</w:t>
      </w:r>
      <w:r>
        <w:tab/>
      </w:r>
      <w:r>
        <w:fldChar w:fldCharType="begin"/>
      </w:r>
      <w:r>
        <w:instrText xml:space="preserve"> PAGEREF _Toc28439 \h </w:instrText>
      </w:r>
      <w:r>
        <w:fldChar w:fldCharType="separate"/>
      </w:r>
      <w:r>
        <w:t>1</w:t>
      </w:r>
      <w:r>
        <w:fldChar w:fldCharType="end"/>
      </w:r>
      <w:r>
        <w:rPr>
          <w:rFonts w:hint="default" w:ascii="Times New Roman" w:hAnsi="Times New Roman" w:cs="Times New Roman" w:eastAsiaTheme="majorEastAsia"/>
        </w:rPr>
        <w:fldChar w:fldCharType="end"/>
      </w:r>
    </w:p>
    <w:p w14:paraId="2266541C">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_Toc11641 </w:instrText>
      </w:r>
      <w:r>
        <w:rPr>
          <w:rFonts w:hint="default" w:ascii="Times New Roman" w:hAnsi="Times New Roman" w:cs="Times New Roman" w:eastAsiaTheme="majorEastAsia"/>
        </w:rPr>
        <w:fldChar w:fldCharType="separate"/>
      </w:r>
      <w:r>
        <w:rPr>
          <w:rFonts w:hint="default"/>
        </w:rPr>
        <w:t xml:space="preserve">1.2.1 </w:t>
      </w:r>
      <w:r>
        <w:rPr>
          <w:rFonts w:hint="eastAsia"/>
        </w:rPr>
        <w:t>区块链存证技术研究现状</w:t>
      </w:r>
      <w:r>
        <w:tab/>
      </w:r>
      <w:r>
        <w:fldChar w:fldCharType="begin"/>
      </w:r>
      <w:r>
        <w:instrText xml:space="preserve"> PAGEREF _Toc11641 \h </w:instrText>
      </w:r>
      <w:r>
        <w:fldChar w:fldCharType="separate"/>
      </w:r>
      <w:r>
        <w:t>2</w:t>
      </w:r>
      <w:r>
        <w:fldChar w:fldCharType="end"/>
      </w:r>
      <w:r>
        <w:rPr>
          <w:rFonts w:hint="default" w:ascii="Times New Roman" w:hAnsi="Times New Roman" w:cs="Times New Roman" w:eastAsiaTheme="majorEastAsia"/>
        </w:rPr>
        <w:fldChar w:fldCharType="end"/>
      </w:r>
    </w:p>
    <w:p w14:paraId="3B695320">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_Toc19714 </w:instrText>
      </w:r>
      <w:r>
        <w:rPr>
          <w:rFonts w:hint="default" w:ascii="Times New Roman" w:hAnsi="Times New Roman" w:cs="Times New Roman" w:eastAsiaTheme="majorEastAsia"/>
        </w:rPr>
        <w:fldChar w:fldCharType="separate"/>
      </w:r>
      <w:r>
        <w:rPr>
          <w:rFonts w:hint="default"/>
        </w:rPr>
        <w:t xml:space="preserve">1.2.2 </w:t>
      </w:r>
      <w:r>
        <w:rPr>
          <w:rFonts w:hint="eastAsia"/>
        </w:rPr>
        <w:t>日志审计与完整性校验研究现状</w:t>
      </w:r>
      <w:r>
        <w:tab/>
      </w:r>
      <w:r>
        <w:fldChar w:fldCharType="begin"/>
      </w:r>
      <w:r>
        <w:instrText xml:space="preserve"> PAGEREF _Toc19714 \h </w:instrText>
      </w:r>
      <w:r>
        <w:fldChar w:fldCharType="separate"/>
      </w:r>
      <w:r>
        <w:t>2</w:t>
      </w:r>
      <w:r>
        <w:fldChar w:fldCharType="end"/>
      </w:r>
      <w:r>
        <w:rPr>
          <w:rFonts w:hint="default" w:ascii="Times New Roman" w:hAnsi="Times New Roman" w:cs="Times New Roman" w:eastAsiaTheme="majorEastAsia"/>
        </w:rPr>
        <w:fldChar w:fldCharType="end"/>
      </w:r>
    </w:p>
    <w:p w14:paraId="2EB384D0">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_Toc11785 </w:instrText>
      </w:r>
      <w:r>
        <w:rPr>
          <w:rFonts w:hint="default" w:ascii="Times New Roman" w:hAnsi="Times New Roman" w:cs="Times New Roman" w:eastAsiaTheme="majorEastAsia"/>
        </w:rPr>
        <w:fldChar w:fldCharType="separate"/>
      </w:r>
      <w:r>
        <w:rPr>
          <w:rFonts w:hint="default"/>
        </w:rPr>
        <w:t xml:space="preserve">1.2.3 </w:t>
      </w:r>
      <w:r>
        <w:rPr>
          <w:rFonts w:hint="eastAsia"/>
        </w:rPr>
        <w:t>智能合约在可信审计中的应用现状</w:t>
      </w:r>
      <w:r>
        <w:tab/>
      </w:r>
      <w:r>
        <w:fldChar w:fldCharType="begin"/>
      </w:r>
      <w:r>
        <w:instrText xml:space="preserve"> PAGEREF _Toc11785 \h </w:instrText>
      </w:r>
      <w:r>
        <w:fldChar w:fldCharType="separate"/>
      </w:r>
      <w:r>
        <w:t>3</w:t>
      </w:r>
      <w:r>
        <w:fldChar w:fldCharType="end"/>
      </w:r>
      <w:r>
        <w:rPr>
          <w:rFonts w:hint="default" w:ascii="Times New Roman" w:hAnsi="Times New Roman" w:cs="Times New Roman" w:eastAsiaTheme="majorEastAsia"/>
        </w:rPr>
        <w:fldChar w:fldCharType="end"/>
      </w:r>
    </w:p>
    <w:p w14:paraId="0C90FC5E">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_Toc7428 </w:instrText>
      </w:r>
      <w:r>
        <w:rPr>
          <w:rFonts w:hint="default" w:ascii="Times New Roman" w:hAnsi="Times New Roman" w:cs="Times New Roman" w:eastAsiaTheme="majorEastAsia"/>
        </w:rPr>
        <w:fldChar w:fldCharType="separate"/>
      </w:r>
      <w:r>
        <w:rPr>
          <w:rFonts w:hint="default"/>
        </w:rPr>
        <w:t xml:space="preserve">1.3 </w:t>
      </w:r>
      <w:r>
        <w:rPr>
          <w:rFonts w:hint="eastAsia"/>
        </w:rPr>
        <w:t>本文主要研究内容</w:t>
      </w:r>
      <w:r>
        <w:tab/>
      </w:r>
      <w:r>
        <w:fldChar w:fldCharType="begin"/>
      </w:r>
      <w:r>
        <w:instrText xml:space="preserve"> PAGEREF _Toc7428 \h </w:instrText>
      </w:r>
      <w:r>
        <w:fldChar w:fldCharType="separate"/>
      </w:r>
      <w:r>
        <w:t>4</w:t>
      </w:r>
      <w:r>
        <w:fldChar w:fldCharType="end"/>
      </w:r>
      <w:r>
        <w:rPr>
          <w:rFonts w:hint="default" w:ascii="Times New Roman" w:hAnsi="Times New Roman" w:cs="Times New Roman" w:eastAsiaTheme="majorEastAsia"/>
        </w:rPr>
        <w:fldChar w:fldCharType="end"/>
      </w:r>
    </w:p>
    <w:p w14:paraId="4378F36B">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_Toc26381 </w:instrText>
      </w:r>
      <w:r>
        <w:rPr>
          <w:rFonts w:hint="default" w:ascii="Times New Roman" w:hAnsi="Times New Roman" w:cs="Times New Roman" w:eastAsiaTheme="majorEastAsia"/>
        </w:rPr>
        <w:fldChar w:fldCharType="separate"/>
      </w:r>
      <w:r>
        <w:rPr>
          <w:rFonts w:hint="default"/>
        </w:rPr>
        <w:t xml:space="preserve">1.4 </w:t>
      </w:r>
      <w:r>
        <w:rPr>
          <w:rFonts w:hint="eastAsia"/>
        </w:rPr>
        <w:t>论文组织结构</w:t>
      </w:r>
      <w:r>
        <w:tab/>
      </w:r>
      <w:r>
        <w:fldChar w:fldCharType="begin"/>
      </w:r>
      <w:r>
        <w:instrText xml:space="preserve"> PAGEREF _Toc26381 \h </w:instrText>
      </w:r>
      <w:r>
        <w:fldChar w:fldCharType="separate"/>
      </w:r>
      <w:r>
        <w:t>4</w:t>
      </w:r>
      <w:r>
        <w:fldChar w:fldCharType="end"/>
      </w:r>
      <w:r>
        <w:rPr>
          <w:rFonts w:hint="default" w:ascii="Times New Roman" w:hAnsi="Times New Roman" w:cs="Times New Roman" w:eastAsiaTheme="majorEastAsia"/>
        </w:rPr>
        <w:fldChar w:fldCharType="end"/>
      </w:r>
    </w:p>
    <w:p w14:paraId="61B616EC">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_Toc7280 </w:instrText>
      </w:r>
      <w:r>
        <w:rPr>
          <w:rFonts w:hint="default" w:ascii="Times New Roman" w:hAnsi="Times New Roman" w:cs="Times New Roman" w:eastAsiaTheme="majorEastAsia"/>
        </w:rPr>
        <w:fldChar w:fldCharType="separate"/>
      </w:r>
      <w:r>
        <w:rPr>
          <w:rFonts w:hint="default"/>
        </w:rPr>
        <w:t xml:space="preserve">1.5 </w:t>
      </w:r>
      <w:r>
        <w:rPr>
          <w:rFonts w:hint="eastAsia"/>
        </w:rPr>
        <w:t>本章小结</w:t>
      </w:r>
      <w:r>
        <w:tab/>
      </w:r>
      <w:r>
        <w:fldChar w:fldCharType="begin"/>
      </w:r>
      <w:r>
        <w:instrText xml:space="preserve"> PAGEREF _Toc7280 \h </w:instrText>
      </w:r>
      <w:r>
        <w:fldChar w:fldCharType="separate"/>
      </w:r>
      <w:r>
        <w:t>4</w:t>
      </w:r>
      <w:r>
        <w:fldChar w:fldCharType="end"/>
      </w:r>
      <w:r>
        <w:rPr>
          <w:rFonts w:hint="default" w:ascii="Times New Roman" w:hAnsi="Times New Roman" w:cs="Times New Roman" w:eastAsiaTheme="majorEastAsia"/>
        </w:rPr>
        <w:fldChar w:fldCharType="end"/>
      </w:r>
    </w:p>
    <w:p w14:paraId="1BC046C8">
      <w:pPr>
        <w:pStyle w:val="11"/>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_Toc30846 </w:instrText>
      </w:r>
      <w:r>
        <w:rPr>
          <w:rFonts w:hint="default" w:ascii="Times New Roman" w:hAnsi="Times New Roman" w:cs="Times New Roman" w:eastAsiaTheme="majorEastAsia"/>
        </w:rPr>
        <w:fldChar w:fldCharType="separate"/>
      </w:r>
      <w:r>
        <w:rPr>
          <w:rFonts w:hint="default"/>
        </w:rPr>
        <w:t xml:space="preserve">2 </w:t>
      </w:r>
      <w:r>
        <w:t>相关理论与关键技术</w:t>
      </w:r>
      <w:r>
        <w:tab/>
      </w:r>
      <w:r>
        <w:fldChar w:fldCharType="begin"/>
      </w:r>
      <w:r>
        <w:instrText xml:space="preserve"> PAGEREF _Toc30846 \h </w:instrText>
      </w:r>
      <w:r>
        <w:fldChar w:fldCharType="separate"/>
      </w:r>
      <w:r>
        <w:t>6</w:t>
      </w:r>
      <w:r>
        <w:fldChar w:fldCharType="end"/>
      </w:r>
      <w:r>
        <w:rPr>
          <w:rFonts w:hint="default" w:ascii="Times New Roman" w:hAnsi="Times New Roman" w:cs="Times New Roman" w:eastAsiaTheme="majorEastAsia"/>
        </w:rPr>
        <w:fldChar w:fldCharType="end"/>
      </w:r>
    </w:p>
    <w:p w14:paraId="26B88CA2">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_Toc2977 </w:instrText>
      </w:r>
      <w:r>
        <w:rPr>
          <w:rFonts w:hint="default" w:ascii="Times New Roman" w:hAnsi="Times New Roman" w:cs="Times New Roman" w:eastAsiaTheme="majorEastAsia"/>
        </w:rPr>
        <w:fldChar w:fldCharType="separate"/>
      </w:r>
      <w:r>
        <w:rPr>
          <w:rFonts w:hint="default"/>
        </w:rPr>
        <w:t xml:space="preserve">2.1 </w:t>
      </w:r>
      <w:r>
        <w:t>区块链与链上存证技术</w:t>
      </w:r>
      <w:r>
        <w:tab/>
      </w:r>
      <w:r>
        <w:fldChar w:fldCharType="begin"/>
      </w:r>
      <w:r>
        <w:instrText xml:space="preserve"> PAGEREF _Toc2977 \h </w:instrText>
      </w:r>
      <w:r>
        <w:fldChar w:fldCharType="separate"/>
      </w:r>
      <w:r>
        <w:t>6</w:t>
      </w:r>
      <w:r>
        <w:fldChar w:fldCharType="end"/>
      </w:r>
      <w:r>
        <w:rPr>
          <w:rFonts w:hint="default" w:ascii="Times New Roman" w:hAnsi="Times New Roman" w:cs="Times New Roman" w:eastAsiaTheme="majorEastAsia"/>
        </w:rPr>
        <w:fldChar w:fldCharType="end"/>
      </w:r>
    </w:p>
    <w:p w14:paraId="67621125">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_Toc18560 </w:instrText>
      </w:r>
      <w:r>
        <w:rPr>
          <w:rFonts w:hint="default" w:ascii="Times New Roman" w:hAnsi="Times New Roman" w:cs="Times New Roman" w:eastAsiaTheme="majorEastAsia"/>
        </w:rPr>
        <w:fldChar w:fldCharType="separate"/>
      </w:r>
      <w:r>
        <w:rPr>
          <w:rFonts w:hint="default"/>
        </w:rPr>
        <w:t xml:space="preserve">2.2 </w:t>
      </w:r>
      <w:r>
        <w:t>智能合约与访问控制技术</w:t>
      </w:r>
      <w:r>
        <w:tab/>
      </w:r>
      <w:r>
        <w:fldChar w:fldCharType="begin"/>
      </w:r>
      <w:r>
        <w:instrText xml:space="preserve"> PAGEREF _Toc18560 \h </w:instrText>
      </w:r>
      <w:r>
        <w:fldChar w:fldCharType="separate"/>
      </w:r>
      <w:r>
        <w:t>7</w:t>
      </w:r>
      <w:r>
        <w:fldChar w:fldCharType="end"/>
      </w:r>
      <w:r>
        <w:rPr>
          <w:rFonts w:hint="default" w:ascii="Times New Roman" w:hAnsi="Times New Roman" w:cs="Times New Roman" w:eastAsiaTheme="majorEastAsia"/>
        </w:rPr>
        <w:fldChar w:fldCharType="end"/>
      </w:r>
    </w:p>
    <w:p w14:paraId="6587AB50">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_Toc10877 </w:instrText>
      </w:r>
      <w:r>
        <w:rPr>
          <w:rFonts w:hint="default" w:ascii="Times New Roman" w:hAnsi="Times New Roman" w:cs="Times New Roman" w:eastAsiaTheme="majorEastAsia"/>
        </w:rPr>
        <w:fldChar w:fldCharType="separate"/>
      </w:r>
      <w:r>
        <w:rPr>
          <w:rFonts w:hint="default"/>
        </w:rPr>
        <w:t xml:space="preserve">2.3 </w:t>
      </w:r>
      <w:r>
        <w:t>哈希摘要与日志完整性校验技术</w:t>
      </w:r>
      <w:r>
        <w:tab/>
      </w:r>
      <w:r>
        <w:fldChar w:fldCharType="begin"/>
      </w:r>
      <w:r>
        <w:instrText xml:space="preserve"> PAGEREF _Toc10877 \h </w:instrText>
      </w:r>
      <w:r>
        <w:fldChar w:fldCharType="separate"/>
      </w:r>
      <w:r>
        <w:t>7</w:t>
      </w:r>
      <w:r>
        <w:fldChar w:fldCharType="end"/>
      </w:r>
      <w:r>
        <w:rPr>
          <w:rFonts w:hint="default" w:ascii="Times New Roman" w:hAnsi="Times New Roman" w:cs="Times New Roman" w:eastAsiaTheme="majorEastAsia"/>
        </w:rPr>
        <w:fldChar w:fldCharType="end"/>
      </w:r>
    </w:p>
    <w:p w14:paraId="51EC0B6F">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_Toc2157 </w:instrText>
      </w:r>
      <w:r>
        <w:rPr>
          <w:rFonts w:hint="default" w:ascii="Times New Roman" w:hAnsi="Times New Roman" w:cs="Times New Roman" w:eastAsiaTheme="majorEastAsia"/>
        </w:rPr>
        <w:fldChar w:fldCharType="separate"/>
      </w:r>
      <w:r>
        <w:rPr>
          <w:rFonts w:hint="default"/>
        </w:rPr>
        <w:t xml:space="preserve">2.4 </w:t>
      </w:r>
      <w:r>
        <w:t>系统开发相关技术</w:t>
      </w:r>
      <w:r>
        <w:tab/>
      </w:r>
      <w:r>
        <w:fldChar w:fldCharType="begin"/>
      </w:r>
      <w:r>
        <w:instrText xml:space="preserve"> PAGEREF _Toc2157 \h </w:instrText>
      </w:r>
      <w:r>
        <w:fldChar w:fldCharType="separate"/>
      </w:r>
      <w:r>
        <w:t>8</w:t>
      </w:r>
      <w:r>
        <w:fldChar w:fldCharType="end"/>
      </w:r>
      <w:r>
        <w:rPr>
          <w:rFonts w:hint="default" w:ascii="Times New Roman" w:hAnsi="Times New Roman" w:cs="Times New Roman" w:eastAsiaTheme="majorEastAsia"/>
        </w:rPr>
        <w:fldChar w:fldCharType="end"/>
      </w:r>
    </w:p>
    <w:p w14:paraId="2AEE51A4">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_Toc14801 </w:instrText>
      </w:r>
      <w:r>
        <w:rPr>
          <w:rFonts w:hint="default" w:ascii="Times New Roman" w:hAnsi="Times New Roman" w:cs="Times New Roman" w:eastAsiaTheme="majorEastAsia"/>
        </w:rPr>
        <w:fldChar w:fldCharType="separate"/>
      </w:r>
      <w:r>
        <w:rPr>
          <w:rFonts w:hint="default"/>
        </w:rPr>
        <w:t xml:space="preserve">2.4.1 </w:t>
      </w:r>
      <w:r>
        <w:t>React前端框架</w:t>
      </w:r>
      <w:r>
        <w:tab/>
      </w:r>
      <w:r>
        <w:fldChar w:fldCharType="begin"/>
      </w:r>
      <w:r>
        <w:instrText xml:space="preserve"> PAGEREF _Toc14801 \h </w:instrText>
      </w:r>
      <w:r>
        <w:fldChar w:fldCharType="separate"/>
      </w:r>
      <w:r>
        <w:t>8</w:t>
      </w:r>
      <w:r>
        <w:fldChar w:fldCharType="end"/>
      </w:r>
      <w:r>
        <w:rPr>
          <w:rFonts w:hint="default" w:ascii="Times New Roman" w:hAnsi="Times New Roman" w:cs="Times New Roman" w:eastAsiaTheme="majorEastAsia"/>
        </w:rPr>
        <w:fldChar w:fldCharType="end"/>
      </w:r>
    </w:p>
    <w:p w14:paraId="2B7F5358">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_Toc32566 </w:instrText>
      </w:r>
      <w:r>
        <w:rPr>
          <w:rFonts w:hint="default" w:ascii="Times New Roman" w:hAnsi="Times New Roman" w:cs="Times New Roman" w:eastAsiaTheme="majorEastAsia"/>
        </w:rPr>
        <w:fldChar w:fldCharType="separate"/>
      </w:r>
      <w:r>
        <w:rPr>
          <w:rFonts w:hint="default"/>
        </w:rPr>
        <w:t xml:space="preserve">2.4.2 </w:t>
      </w:r>
      <w:r>
        <w:t>Express后端服务框架</w:t>
      </w:r>
      <w:r>
        <w:tab/>
      </w:r>
      <w:r>
        <w:fldChar w:fldCharType="begin"/>
      </w:r>
      <w:r>
        <w:instrText xml:space="preserve"> PAGEREF _Toc32566 \h </w:instrText>
      </w:r>
      <w:r>
        <w:fldChar w:fldCharType="separate"/>
      </w:r>
      <w:r>
        <w:t>8</w:t>
      </w:r>
      <w:r>
        <w:fldChar w:fldCharType="end"/>
      </w:r>
      <w:r>
        <w:rPr>
          <w:rFonts w:hint="default" w:ascii="Times New Roman" w:hAnsi="Times New Roman" w:cs="Times New Roman" w:eastAsiaTheme="majorEastAsia"/>
        </w:rPr>
        <w:fldChar w:fldCharType="end"/>
      </w:r>
    </w:p>
    <w:p w14:paraId="1AA8B3DE">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_Toc12486 </w:instrText>
      </w:r>
      <w:r>
        <w:rPr>
          <w:rFonts w:hint="default" w:ascii="Times New Roman" w:hAnsi="Times New Roman" w:cs="Times New Roman" w:eastAsiaTheme="majorEastAsia"/>
        </w:rPr>
        <w:fldChar w:fldCharType="separate"/>
      </w:r>
      <w:r>
        <w:rPr>
          <w:rFonts w:hint="default"/>
        </w:rPr>
        <w:t xml:space="preserve">2.4.3 </w:t>
      </w:r>
      <w:r>
        <w:rPr>
          <w:rFonts w:hint="eastAsia" w:ascii="黑体" w:hAnsi="黑体" w:eastAsia="黑体" w:cs="黑体"/>
        </w:rPr>
        <w:t>SQLite</w:t>
      </w:r>
      <w:r>
        <w:t>数据存储技术</w:t>
      </w:r>
      <w:r>
        <w:tab/>
      </w:r>
      <w:r>
        <w:fldChar w:fldCharType="begin"/>
      </w:r>
      <w:r>
        <w:instrText xml:space="preserve"> PAGEREF _Toc12486 \h </w:instrText>
      </w:r>
      <w:r>
        <w:fldChar w:fldCharType="separate"/>
      </w:r>
      <w:r>
        <w:t>9</w:t>
      </w:r>
      <w:r>
        <w:fldChar w:fldCharType="end"/>
      </w:r>
      <w:r>
        <w:rPr>
          <w:rFonts w:hint="default" w:ascii="Times New Roman" w:hAnsi="Times New Roman" w:cs="Times New Roman" w:eastAsiaTheme="majorEastAsia"/>
        </w:rPr>
        <w:fldChar w:fldCharType="end"/>
      </w:r>
    </w:p>
    <w:p w14:paraId="54CC097A">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_Toc11151 </w:instrText>
      </w:r>
      <w:r>
        <w:rPr>
          <w:rFonts w:hint="default" w:ascii="Times New Roman" w:hAnsi="Times New Roman" w:cs="Times New Roman" w:eastAsiaTheme="majorEastAsia"/>
        </w:rPr>
        <w:fldChar w:fldCharType="separate"/>
      </w:r>
      <w:r>
        <w:rPr>
          <w:rFonts w:hint="default"/>
        </w:rPr>
        <w:t xml:space="preserve">2.4.4 </w:t>
      </w:r>
      <w:r>
        <w:rPr>
          <w:rFonts w:hint="eastAsia" w:ascii="黑体" w:hAnsi="黑体" w:eastAsia="黑体" w:cs="黑体"/>
        </w:rPr>
        <w:t>Hardhat</w:t>
      </w:r>
      <w:r>
        <w:t>智能合约开发环境</w:t>
      </w:r>
      <w:r>
        <w:tab/>
      </w:r>
      <w:r>
        <w:fldChar w:fldCharType="begin"/>
      </w:r>
      <w:r>
        <w:instrText xml:space="preserve"> PAGEREF _Toc11151 \h </w:instrText>
      </w:r>
      <w:r>
        <w:fldChar w:fldCharType="separate"/>
      </w:r>
      <w:r>
        <w:t>9</w:t>
      </w:r>
      <w:r>
        <w:fldChar w:fldCharType="end"/>
      </w:r>
      <w:r>
        <w:rPr>
          <w:rFonts w:hint="default" w:ascii="Times New Roman" w:hAnsi="Times New Roman" w:cs="Times New Roman" w:eastAsiaTheme="majorEastAsia"/>
        </w:rPr>
        <w:fldChar w:fldCharType="end"/>
      </w:r>
    </w:p>
    <w:p w14:paraId="01AB63B2">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_Toc3773 </w:instrText>
      </w:r>
      <w:r>
        <w:rPr>
          <w:rFonts w:hint="default" w:ascii="Times New Roman" w:hAnsi="Times New Roman" w:cs="Times New Roman" w:eastAsiaTheme="majorEastAsia"/>
        </w:rPr>
        <w:fldChar w:fldCharType="separate"/>
      </w:r>
      <w:r>
        <w:rPr>
          <w:rFonts w:hint="default"/>
        </w:rPr>
        <w:t xml:space="preserve">2.5 </w:t>
      </w:r>
      <w:r>
        <w:t>本章小结</w:t>
      </w:r>
      <w:r>
        <w:tab/>
      </w:r>
      <w:r>
        <w:fldChar w:fldCharType="begin"/>
      </w:r>
      <w:r>
        <w:instrText xml:space="preserve"> PAGEREF _Toc3773 \h </w:instrText>
      </w:r>
      <w:r>
        <w:fldChar w:fldCharType="separate"/>
      </w:r>
      <w:r>
        <w:t>9</w:t>
      </w:r>
      <w:r>
        <w:fldChar w:fldCharType="end"/>
      </w:r>
      <w:r>
        <w:rPr>
          <w:rFonts w:hint="default" w:ascii="Times New Roman" w:hAnsi="Times New Roman" w:cs="Times New Roman" w:eastAsiaTheme="majorEastAsia"/>
        </w:rPr>
        <w:fldChar w:fldCharType="end"/>
      </w:r>
    </w:p>
    <w:p w14:paraId="3A19B467">
      <w:pPr>
        <w:pStyle w:val="11"/>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_Toc9416 </w:instrText>
      </w:r>
      <w:r>
        <w:rPr>
          <w:rFonts w:hint="default" w:ascii="Times New Roman" w:hAnsi="Times New Roman" w:cs="Times New Roman" w:eastAsiaTheme="majorEastAsia"/>
        </w:rPr>
        <w:fldChar w:fldCharType="separate"/>
      </w:r>
      <w:r>
        <w:rPr>
          <w:rFonts w:hint="default"/>
        </w:rPr>
        <w:t xml:space="preserve">3 </w:t>
      </w:r>
      <w:r>
        <w:t>基于区块链的可信日志存证与审计机制设计</w:t>
      </w:r>
      <w:r>
        <w:tab/>
      </w:r>
      <w:r>
        <w:fldChar w:fldCharType="begin"/>
      </w:r>
      <w:r>
        <w:instrText xml:space="preserve"> PAGEREF _Toc9416 \h </w:instrText>
      </w:r>
      <w:r>
        <w:fldChar w:fldCharType="separate"/>
      </w:r>
      <w:r>
        <w:t>10</w:t>
      </w:r>
      <w:r>
        <w:fldChar w:fldCharType="end"/>
      </w:r>
      <w:r>
        <w:rPr>
          <w:rFonts w:hint="default" w:ascii="Times New Roman" w:hAnsi="Times New Roman" w:cs="Times New Roman" w:eastAsiaTheme="majorEastAsia"/>
        </w:rPr>
        <w:fldChar w:fldCharType="end"/>
      </w:r>
    </w:p>
    <w:p w14:paraId="5F4F3D61">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_Toc13655 </w:instrText>
      </w:r>
      <w:r>
        <w:rPr>
          <w:rFonts w:hint="default" w:ascii="Times New Roman" w:hAnsi="Times New Roman" w:cs="Times New Roman" w:eastAsiaTheme="majorEastAsia"/>
        </w:rPr>
        <w:fldChar w:fldCharType="separate"/>
      </w:r>
      <w:r>
        <w:rPr>
          <w:rFonts w:hint="default"/>
        </w:rPr>
        <w:t xml:space="preserve">3.1 </w:t>
      </w:r>
      <w:r>
        <w:rPr>
          <w:rFonts w:hint="eastAsia"/>
        </w:rPr>
        <w:t>可信日志审计总体机制</w:t>
      </w:r>
      <w:r>
        <w:rPr>
          <w:rFonts w:hint="eastAsia"/>
          <w:lang w:val="en-US" w:eastAsia="zh-CN"/>
        </w:rPr>
        <w:t>设计</w:t>
      </w:r>
      <w:r>
        <w:tab/>
      </w:r>
      <w:r>
        <w:fldChar w:fldCharType="begin"/>
      </w:r>
      <w:r>
        <w:instrText xml:space="preserve"> PAGEREF _Toc13655 \h </w:instrText>
      </w:r>
      <w:r>
        <w:fldChar w:fldCharType="separate"/>
      </w:r>
      <w:r>
        <w:t>10</w:t>
      </w:r>
      <w:r>
        <w:fldChar w:fldCharType="end"/>
      </w:r>
      <w:r>
        <w:rPr>
          <w:rFonts w:hint="default" w:ascii="Times New Roman" w:hAnsi="Times New Roman" w:cs="Times New Roman" w:eastAsiaTheme="majorEastAsia"/>
        </w:rPr>
        <w:fldChar w:fldCharType="end"/>
      </w:r>
    </w:p>
    <w:p w14:paraId="4E1BB4D5">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_Toc5964 </w:instrText>
      </w:r>
      <w:r>
        <w:rPr>
          <w:rFonts w:hint="default" w:ascii="Times New Roman" w:hAnsi="Times New Roman" w:cs="Times New Roman" w:eastAsiaTheme="majorEastAsia"/>
        </w:rPr>
        <w:fldChar w:fldCharType="separate"/>
      </w:r>
      <w:r>
        <w:rPr>
          <w:rFonts w:hint="default"/>
        </w:rPr>
        <w:t xml:space="preserve">3.1.1 </w:t>
      </w:r>
      <w:r>
        <w:t>链下日志存储与链上哈希存证模型</w:t>
      </w:r>
      <w:r>
        <w:rPr>
          <w:rFonts w:hint="eastAsia"/>
          <w:lang w:val="en-US" w:eastAsia="zh-CN"/>
        </w:rPr>
        <w:t>设计</w:t>
      </w:r>
      <w:r>
        <w:tab/>
      </w:r>
      <w:r>
        <w:fldChar w:fldCharType="begin"/>
      </w:r>
      <w:r>
        <w:instrText xml:space="preserve"> PAGEREF _Toc5964 \h </w:instrText>
      </w:r>
      <w:r>
        <w:fldChar w:fldCharType="separate"/>
      </w:r>
      <w:r>
        <w:t>10</w:t>
      </w:r>
      <w:r>
        <w:fldChar w:fldCharType="end"/>
      </w:r>
      <w:r>
        <w:rPr>
          <w:rFonts w:hint="default" w:ascii="Times New Roman" w:hAnsi="Times New Roman" w:cs="Times New Roman" w:eastAsiaTheme="majorEastAsia"/>
        </w:rPr>
        <w:fldChar w:fldCharType="end"/>
      </w:r>
    </w:p>
    <w:p w14:paraId="28F2EDF8">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_Toc21365 </w:instrText>
      </w:r>
      <w:r>
        <w:rPr>
          <w:rFonts w:hint="default" w:ascii="Times New Roman" w:hAnsi="Times New Roman" w:cs="Times New Roman" w:eastAsiaTheme="majorEastAsia"/>
        </w:rPr>
        <w:fldChar w:fldCharType="separate"/>
      </w:r>
      <w:r>
        <w:rPr>
          <w:rFonts w:hint="default"/>
        </w:rPr>
        <w:t xml:space="preserve">3.1.2 </w:t>
      </w:r>
      <w:r>
        <w:t>日志采集、存证、审计、告警闭环流程</w:t>
      </w:r>
      <w:r>
        <w:rPr>
          <w:rFonts w:hint="eastAsia"/>
          <w:lang w:val="en-US" w:eastAsia="zh-CN"/>
        </w:rPr>
        <w:t>设计</w:t>
      </w:r>
      <w:r>
        <w:tab/>
      </w:r>
      <w:r>
        <w:fldChar w:fldCharType="begin"/>
      </w:r>
      <w:r>
        <w:instrText xml:space="preserve"> PAGEREF _Toc21365 \h </w:instrText>
      </w:r>
      <w:r>
        <w:fldChar w:fldCharType="separate"/>
      </w:r>
      <w:r>
        <w:t>11</w:t>
      </w:r>
      <w:r>
        <w:fldChar w:fldCharType="end"/>
      </w:r>
      <w:r>
        <w:rPr>
          <w:rFonts w:hint="default" w:ascii="Times New Roman" w:hAnsi="Times New Roman" w:cs="Times New Roman" w:eastAsiaTheme="majorEastAsia"/>
        </w:rPr>
        <w:fldChar w:fldCharType="end"/>
      </w:r>
    </w:p>
    <w:p w14:paraId="55CF5075">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_Toc25103 </w:instrText>
      </w:r>
      <w:r>
        <w:rPr>
          <w:rFonts w:hint="default" w:ascii="Times New Roman" w:hAnsi="Times New Roman" w:cs="Times New Roman" w:eastAsiaTheme="majorEastAsia"/>
        </w:rPr>
        <w:fldChar w:fldCharType="separate"/>
      </w:r>
      <w:r>
        <w:rPr>
          <w:rFonts w:hint="default"/>
        </w:rPr>
        <w:t xml:space="preserve">3.2 </w:t>
      </w:r>
      <w:r>
        <w:rPr>
          <w:rFonts w:hint="eastAsia"/>
        </w:rPr>
        <w:t>日志哈希生成与存证数据模型</w:t>
      </w:r>
      <w:r>
        <w:rPr>
          <w:rFonts w:hint="eastAsia"/>
          <w:lang w:val="en-US" w:eastAsia="zh-CN"/>
        </w:rPr>
        <w:t>设计</w:t>
      </w:r>
      <w:r>
        <w:tab/>
      </w:r>
      <w:r>
        <w:fldChar w:fldCharType="begin"/>
      </w:r>
      <w:r>
        <w:instrText xml:space="preserve"> PAGEREF _Toc25103 \h </w:instrText>
      </w:r>
      <w:r>
        <w:fldChar w:fldCharType="separate"/>
      </w:r>
      <w:r>
        <w:t>11</w:t>
      </w:r>
      <w:r>
        <w:fldChar w:fldCharType="end"/>
      </w:r>
      <w:r>
        <w:rPr>
          <w:rFonts w:hint="default" w:ascii="Times New Roman" w:hAnsi="Times New Roman" w:cs="Times New Roman" w:eastAsiaTheme="majorEastAsia"/>
        </w:rPr>
        <w:fldChar w:fldCharType="end"/>
      </w:r>
    </w:p>
    <w:p w14:paraId="66FB83D4">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_Toc29040 </w:instrText>
      </w:r>
      <w:r>
        <w:rPr>
          <w:rFonts w:hint="default" w:ascii="Times New Roman" w:hAnsi="Times New Roman" w:cs="Times New Roman" w:eastAsiaTheme="majorEastAsia"/>
        </w:rPr>
        <w:fldChar w:fldCharType="separate"/>
      </w:r>
      <w:r>
        <w:rPr>
          <w:rFonts w:hint="default"/>
        </w:rPr>
        <w:t xml:space="preserve">3.2.1 </w:t>
      </w:r>
      <w:r>
        <w:t>日志标准化封装与任务标识设计</w:t>
      </w:r>
      <w:r>
        <w:tab/>
      </w:r>
      <w:r>
        <w:fldChar w:fldCharType="begin"/>
      </w:r>
      <w:r>
        <w:instrText xml:space="preserve"> PAGEREF _Toc29040 \h </w:instrText>
      </w:r>
      <w:r>
        <w:fldChar w:fldCharType="separate"/>
      </w:r>
      <w:r>
        <w:t>11</w:t>
      </w:r>
      <w:r>
        <w:fldChar w:fldCharType="end"/>
      </w:r>
      <w:r>
        <w:rPr>
          <w:rFonts w:hint="default" w:ascii="Times New Roman" w:hAnsi="Times New Roman" w:cs="Times New Roman" w:eastAsiaTheme="majorEastAsia"/>
        </w:rPr>
        <w:fldChar w:fldCharType="end"/>
      </w:r>
    </w:p>
    <w:p w14:paraId="22C74B9F">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_Toc17525 </w:instrText>
      </w:r>
      <w:r>
        <w:rPr>
          <w:rFonts w:hint="default" w:ascii="Times New Roman" w:hAnsi="Times New Roman" w:cs="Times New Roman" w:eastAsiaTheme="majorEastAsia"/>
        </w:rPr>
        <w:fldChar w:fldCharType="separate"/>
      </w:r>
      <w:r>
        <w:rPr>
          <w:rFonts w:hint="default"/>
        </w:rPr>
        <w:t xml:space="preserve">3.2.2 </w:t>
      </w:r>
      <w:r>
        <w:t>SHA-256日志摘要生成方法</w:t>
      </w:r>
      <w:r>
        <w:tab/>
      </w:r>
      <w:r>
        <w:fldChar w:fldCharType="begin"/>
      </w:r>
      <w:r>
        <w:instrText xml:space="preserve"> PAGEREF _Toc17525 \h </w:instrText>
      </w:r>
      <w:r>
        <w:fldChar w:fldCharType="separate"/>
      </w:r>
      <w:r>
        <w:t>12</w:t>
      </w:r>
      <w:r>
        <w:fldChar w:fldCharType="end"/>
      </w:r>
      <w:r>
        <w:rPr>
          <w:rFonts w:hint="default" w:ascii="Times New Roman" w:hAnsi="Times New Roman" w:cs="Times New Roman" w:eastAsiaTheme="majorEastAsia"/>
        </w:rPr>
        <w:fldChar w:fldCharType="end"/>
      </w:r>
    </w:p>
    <w:p w14:paraId="2B956D51">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_Toc28634 </w:instrText>
      </w:r>
      <w:r>
        <w:rPr>
          <w:rFonts w:hint="default" w:ascii="Times New Roman" w:hAnsi="Times New Roman" w:cs="Times New Roman" w:eastAsiaTheme="majorEastAsia"/>
        </w:rPr>
        <w:fldChar w:fldCharType="separate"/>
      </w:r>
      <w:r>
        <w:rPr>
          <w:rFonts w:hint="default"/>
        </w:rPr>
        <w:t xml:space="preserve">3.2.3 </w:t>
      </w:r>
      <w:r>
        <w:t>链上存证字段与链下记录映射关系</w:t>
      </w:r>
      <w:r>
        <w:tab/>
      </w:r>
      <w:r>
        <w:fldChar w:fldCharType="begin"/>
      </w:r>
      <w:r>
        <w:instrText xml:space="preserve"> PAGEREF _Toc28634 \h </w:instrText>
      </w:r>
      <w:r>
        <w:fldChar w:fldCharType="separate"/>
      </w:r>
      <w:r>
        <w:t>12</w:t>
      </w:r>
      <w:r>
        <w:fldChar w:fldCharType="end"/>
      </w:r>
      <w:r>
        <w:rPr>
          <w:rFonts w:hint="default" w:ascii="Times New Roman" w:hAnsi="Times New Roman" w:cs="Times New Roman" w:eastAsiaTheme="majorEastAsia"/>
        </w:rPr>
        <w:fldChar w:fldCharType="end"/>
      </w:r>
    </w:p>
    <w:p w14:paraId="701E201D">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_Toc18558 </w:instrText>
      </w:r>
      <w:r>
        <w:rPr>
          <w:rFonts w:hint="default" w:ascii="Times New Roman" w:hAnsi="Times New Roman" w:cs="Times New Roman" w:eastAsiaTheme="majorEastAsia"/>
        </w:rPr>
        <w:fldChar w:fldCharType="separate"/>
      </w:r>
      <w:r>
        <w:rPr>
          <w:rFonts w:hint="default"/>
        </w:rPr>
        <w:t xml:space="preserve">3.3 </w:t>
      </w:r>
      <w:r>
        <w:rPr>
          <w:rFonts w:hint="eastAsia"/>
        </w:rPr>
        <w:t>LogRegistry智能合约设计</w:t>
      </w:r>
      <w:r>
        <w:tab/>
      </w:r>
      <w:r>
        <w:fldChar w:fldCharType="begin"/>
      </w:r>
      <w:r>
        <w:instrText xml:space="preserve"> PAGEREF _Toc18558 \h </w:instrText>
      </w:r>
      <w:r>
        <w:fldChar w:fldCharType="separate"/>
      </w:r>
      <w:r>
        <w:t>13</w:t>
      </w:r>
      <w:r>
        <w:fldChar w:fldCharType="end"/>
      </w:r>
      <w:r>
        <w:rPr>
          <w:rFonts w:hint="default" w:ascii="Times New Roman" w:hAnsi="Times New Roman" w:cs="Times New Roman" w:eastAsiaTheme="majorEastAsia"/>
        </w:rPr>
        <w:fldChar w:fldCharType="end"/>
      </w:r>
    </w:p>
    <w:p w14:paraId="6C514D74">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_Toc5513 </w:instrText>
      </w:r>
      <w:r>
        <w:rPr>
          <w:rFonts w:hint="default" w:ascii="Times New Roman" w:hAnsi="Times New Roman" w:cs="Times New Roman" w:eastAsiaTheme="majorEastAsia"/>
        </w:rPr>
        <w:fldChar w:fldCharType="separate"/>
      </w:r>
      <w:r>
        <w:rPr>
          <w:rFonts w:hint="default"/>
        </w:rPr>
        <w:t xml:space="preserve">3.3.1 </w:t>
      </w:r>
      <w:r>
        <w:t>合约数据结构设计</w:t>
      </w:r>
      <w:r>
        <w:tab/>
      </w:r>
      <w:r>
        <w:fldChar w:fldCharType="begin"/>
      </w:r>
      <w:r>
        <w:instrText xml:space="preserve"> PAGEREF _Toc5513 \h </w:instrText>
      </w:r>
      <w:r>
        <w:fldChar w:fldCharType="separate"/>
      </w:r>
      <w:r>
        <w:t>13</w:t>
      </w:r>
      <w:r>
        <w:fldChar w:fldCharType="end"/>
      </w:r>
      <w:r>
        <w:rPr>
          <w:rFonts w:hint="default" w:ascii="Times New Roman" w:hAnsi="Times New Roman" w:cs="Times New Roman" w:eastAsiaTheme="majorEastAsia"/>
        </w:rPr>
        <w:fldChar w:fldCharType="end"/>
      </w:r>
    </w:p>
    <w:p w14:paraId="2B3C0A48">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_Toc13109 </w:instrText>
      </w:r>
      <w:r>
        <w:rPr>
          <w:rFonts w:hint="default" w:ascii="Times New Roman" w:hAnsi="Times New Roman" w:cs="Times New Roman" w:eastAsiaTheme="majorEastAsia"/>
        </w:rPr>
        <w:fldChar w:fldCharType="separate"/>
      </w:r>
      <w:r>
        <w:rPr>
          <w:rFonts w:hint="default"/>
        </w:rPr>
        <w:t xml:space="preserve">3.3.2 </w:t>
      </w:r>
      <w:r>
        <w:t>基于AccessControl的写入权限控制</w:t>
      </w:r>
      <w:r>
        <w:tab/>
      </w:r>
      <w:r>
        <w:fldChar w:fldCharType="begin"/>
      </w:r>
      <w:r>
        <w:instrText xml:space="preserve"> PAGEREF _Toc13109 \h </w:instrText>
      </w:r>
      <w:r>
        <w:fldChar w:fldCharType="separate"/>
      </w:r>
      <w:r>
        <w:t>14</w:t>
      </w:r>
      <w:r>
        <w:fldChar w:fldCharType="end"/>
      </w:r>
      <w:r>
        <w:rPr>
          <w:rFonts w:hint="default" w:ascii="Times New Roman" w:hAnsi="Times New Roman" w:cs="Times New Roman" w:eastAsiaTheme="majorEastAsia"/>
        </w:rPr>
        <w:fldChar w:fldCharType="end"/>
      </w:r>
    </w:p>
    <w:p w14:paraId="28FDDF5B">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_Toc28347 </w:instrText>
      </w:r>
      <w:r>
        <w:rPr>
          <w:rFonts w:hint="default" w:ascii="Times New Roman" w:hAnsi="Times New Roman" w:cs="Times New Roman" w:eastAsiaTheme="majorEastAsia"/>
        </w:rPr>
        <w:fldChar w:fldCharType="separate"/>
      </w:r>
      <w:r>
        <w:rPr>
          <w:rFonts w:hint="default"/>
        </w:rPr>
        <w:t xml:space="preserve">3.3.3 </w:t>
      </w:r>
      <w:r>
        <w:t>日志哈希写入与任务维度查询方法</w:t>
      </w:r>
      <w:r>
        <w:tab/>
      </w:r>
      <w:r>
        <w:fldChar w:fldCharType="begin"/>
      </w:r>
      <w:r>
        <w:instrText xml:space="preserve"> PAGEREF _Toc28347 \h </w:instrText>
      </w:r>
      <w:r>
        <w:fldChar w:fldCharType="separate"/>
      </w:r>
      <w:r>
        <w:t>14</w:t>
      </w:r>
      <w:r>
        <w:fldChar w:fldCharType="end"/>
      </w:r>
      <w:r>
        <w:rPr>
          <w:rFonts w:hint="default" w:ascii="Times New Roman" w:hAnsi="Times New Roman" w:cs="Times New Roman" w:eastAsiaTheme="majorEastAsia"/>
        </w:rPr>
        <w:fldChar w:fldCharType="end"/>
      </w:r>
    </w:p>
    <w:p w14:paraId="74740738">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_Toc21941 </w:instrText>
      </w:r>
      <w:r>
        <w:rPr>
          <w:rFonts w:hint="default" w:ascii="Times New Roman" w:hAnsi="Times New Roman" w:cs="Times New Roman" w:eastAsiaTheme="majorEastAsia"/>
        </w:rPr>
        <w:fldChar w:fldCharType="separate"/>
      </w:r>
      <w:r>
        <w:rPr>
          <w:rFonts w:hint="default" w:ascii="宋体" w:hAnsi="宋体" w:eastAsia="宋体"/>
        </w:rPr>
        <w:t xml:space="preserve">3.4 </w:t>
      </w:r>
      <w:r>
        <w:rPr>
          <w:rFonts w:hint="eastAsia" w:ascii="Times New Roman" w:hAnsi="Times New Roman" w:eastAsia="黑体"/>
          <w:szCs w:val="28"/>
        </w:rPr>
        <w:t>链上链下协同审计机制</w:t>
      </w:r>
      <w:r>
        <w:tab/>
      </w:r>
      <w:r>
        <w:fldChar w:fldCharType="begin"/>
      </w:r>
      <w:r>
        <w:instrText xml:space="preserve"> PAGEREF _Toc21941 \h </w:instrText>
      </w:r>
      <w:r>
        <w:fldChar w:fldCharType="separate"/>
      </w:r>
      <w:r>
        <w:t>15</w:t>
      </w:r>
      <w:r>
        <w:fldChar w:fldCharType="end"/>
      </w:r>
      <w:r>
        <w:rPr>
          <w:rFonts w:hint="default" w:ascii="Times New Roman" w:hAnsi="Times New Roman" w:cs="Times New Roman" w:eastAsiaTheme="majorEastAsia"/>
        </w:rPr>
        <w:fldChar w:fldCharType="end"/>
      </w:r>
    </w:p>
    <w:p w14:paraId="503D5A88">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_Toc3731 </w:instrText>
      </w:r>
      <w:r>
        <w:rPr>
          <w:rFonts w:hint="default" w:ascii="Times New Roman" w:hAnsi="Times New Roman" w:cs="Times New Roman" w:eastAsiaTheme="majorEastAsia"/>
        </w:rPr>
        <w:fldChar w:fldCharType="separate"/>
      </w:r>
      <w:r>
        <w:rPr>
          <w:rFonts w:hint="default"/>
        </w:rPr>
        <w:t xml:space="preserve">3.4.1 </w:t>
      </w:r>
      <w:r>
        <w:t>数据库哈希、链上哈希与重算哈希三方比对</w:t>
      </w:r>
      <w:r>
        <w:tab/>
      </w:r>
      <w:r>
        <w:fldChar w:fldCharType="begin"/>
      </w:r>
      <w:r>
        <w:instrText xml:space="preserve"> PAGEREF _Toc3731 \h </w:instrText>
      </w:r>
      <w:r>
        <w:fldChar w:fldCharType="separate"/>
      </w:r>
      <w:r>
        <w:t>15</w:t>
      </w:r>
      <w:r>
        <w:fldChar w:fldCharType="end"/>
      </w:r>
      <w:r>
        <w:rPr>
          <w:rFonts w:hint="default" w:ascii="Times New Roman" w:hAnsi="Times New Roman" w:cs="Times New Roman" w:eastAsiaTheme="majorEastAsia"/>
        </w:rPr>
        <w:fldChar w:fldCharType="end"/>
      </w:r>
    </w:p>
    <w:p w14:paraId="5CD61C61">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_Toc11077 </w:instrText>
      </w:r>
      <w:r>
        <w:rPr>
          <w:rFonts w:hint="default" w:ascii="Times New Roman" w:hAnsi="Times New Roman" w:cs="Times New Roman" w:eastAsiaTheme="majorEastAsia"/>
        </w:rPr>
        <w:fldChar w:fldCharType="separate"/>
      </w:r>
      <w:r>
        <w:rPr>
          <w:rFonts w:hint="default"/>
        </w:rPr>
        <w:t xml:space="preserve">3.4.2 </w:t>
      </w:r>
      <w:r>
        <w:t>历史合约地址回溯审计策略</w:t>
      </w:r>
      <w:r>
        <w:tab/>
      </w:r>
      <w:r>
        <w:fldChar w:fldCharType="begin"/>
      </w:r>
      <w:r>
        <w:instrText xml:space="preserve"> PAGEREF _Toc11077 \h </w:instrText>
      </w:r>
      <w:r>
        <w:fldChar w:fldCharType="separate"/>
      </w:r>
      <w:r>
        <w:t>16</w:t>
      </w:r>
      <w:r>
        <w:fldChar w:fldCharType="end"/>
      </w:r>
      <w:r>
        <w:rPr>
          <w:rFonts w:hint="default" w:ascii="Times New Roman" w:hAnsi="Times New Roman" w:cs="Times New Roman" w:eastAsiaTheme="majorEastAsia"/>
        </w:rPr>
        <w:fldChar w:fldCharType="end"/>
      </w:r>
    </w:p>
    <w:p w14:paraId="793C3408">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_Toc3390 </w:instrText>
      </w:r>
      <w:r>
        <w:rPr>
          <w:rFonts w:hint="default" w:ascii="Times New Roman" w:hAnsi="Times New Roman" w:cs="Times New Roman" w:eastAsiaTheme="majorEastAsia"/>
        </w:rPr>
        <w:fldChar w:fldCharType="separate"/>
      </w:r>
      <w:r>
        <w:rPr>
          <w:rFonts w:hint="default"/>
        </w:rPr>
        <w:t xml:space="preserve">3.4.3 </w:t>
      </w:r>
      <w:r>
        <w:t>合约代码存在性校验机制</w:t>
      </w:r>
      <w:r>
        <w:tab/>
      </w:r>
      <w:r>
        <w:fldChar w:fldCharType="begin"/>
      </w:r>
      <w:r>
        <w:instrText xml:space="preserve"> PAGEREF _Toc3390 \h </w:instrText>
      </w:r>
      <w:r>
        <w:fldChar w:fldCharType="separate"/>
      </w:r>
      <w:r>
        <w:t>17</w:t>
      </w:r>
      <w:r>
        <w:fldChar w:fldCharType="end"/>
      </w:r>
      <w:r>
        <w:rPr>
          <w:rFonts w:hint="default" w:ascii="Times New Roman" w:hAnsi="Times New Roman" w:cs="Times New Roman" w:eastAsiaTheme="majorEastAsia"/>
        </w:rPr>
        <w:fldChar w:fldCharType="end"/>
      </w:r>
    </w:p>
    <w:p w14:paraId="4EF6562F">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_Toc21844 </w:instrText>
      </w:r>
      <w:r>
        <w:rPr>
          <w:rFonts w:hint="default" w:ascii="Times New Roman" w:hAnsi="Times New Roman" w:cs="Times New Roman" w:eastAsiaTheme="majorEastAsia"/>
        </w:rPr>
        <w:fldChar w:fldCharType="separate"/>
      </w:r>
      <w:r>
        <w:rPr>
          <w:rFonts w:hint="default"/>
        </w:rPr>
        <w:t xml:space="preserve">3.5 </w:t>
      </w:r>
      <w:r>
        <w:rPr>
          <w:rFonts w:hint="eastAsia"/>
        </w:rPr>
        <w:t>篡改检测与异常告警机制</w:t>
      </w:r>
      <w:r>
        <w:tab/>
      </w:r>
      <w:r>
        <w:fldChar w:fldCharType="begin"/>
      </w:r>
      <w:r>
        <w:instrText xml:space="preserve"> PAGEREF _Toc21844 \h </w:instrText>
      </w:r>
      <w:r>
        <w:fldChar w:fldCharType="separate"/>
      </w:r>
      <w:r>
        <w:t>18</w:t>
      </w:r>
      <w:r>
        <w:fldChar w:fldCharType="end"/>
      </w:r>
      <w:r>
        <w:rPr>
          <w:rFonts w:hint="default" w:ascii="Times New Roman" w:hAnsi="Times New Roman" w:cs="Times New Roman" w:eastAsiaTheme="majorEastAsia"/>
        </w:rPr>
        <w:fldChar w:fldCharType="end"/>
      </w:r>
    </w:p>
    <w:p w14:paraId="324F386F">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_Toc12417 </w:instrText>
      </w:r>
      <w:r>
        <w:rPr>
          <w:rFonts w:hint="default" w:ascii="Times New Roman" w:hAnsi="Times New Roman" w:cs="Times New Roman" w:eastAsiaTheme="majorEastAsia"/>
        </w:rPr>
        <w:fldChar w:fldCharType="separate"/>
      </w:r>
      <w:r>
        <w:rPr>
          <w:rFonts w:hint="default"/>
        </w:rPr>
        <w:t xml:space="preserve">3.5.1 </w:t>
      </w:r>
      <w:r>
        <w:t>审计状态判定规则</w:t>
      </w:r>
      <w:r>
        <w:tab/>
      </w:r>
      <w:r>
        <w:fldChar w:fldCharType="begin"/>
      </w:r>
      <w:r>
        <w:instrText xml:space="preserve"> PAGEREF _Toc12417 \h </w:instrText>
      </w:r>
      <w:r>
        <w:fldChar w:fldCharType="separate"/>
      </w:r>
      <w:r>
        <w:t>18</w:t>
      </w:r>
      <w:r>
        <w:fldChar w:fldCharType="end"/>
      </w:r>
      <w:r>
        <w:rPr>
          <w:rFonts w:hint="default" w:ascii="Times New Roman" w:hAnsi="Times New Roman" w:cs="Times New Roman" w:eastAsiaTheme="majorEastAsia"/>
        </w:rPr>
        <w:fldChar w:fldCharType="end"/>
      </w:r>
    </w:p>
    <w:p w14:paraId="6057335C">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_Toc19552 </w:instrText>
      </w:r>
      <w:r>
        <w:rPr>
          <w:rFonts w:hint="default" w:ascii="Times New Roman" w:hAnsi="Times New Roman" w:cs="Times New Roman" w:eastAsiaTheme="majorEastAsia"/>
        </w:rPr>
        <w:fldChar w:fldCharType="separate"/>
      </w:r>
      <w:r>
        <w:rPr>
          <w:rFonts w:hint="default"/>
        </w:rPr>
        <w:t xml:space="preserve">3.5.2 </w:t>
      </w:r>
      <w:r>
        <w:t>哈希不一致告警生成流程</w:t>
      </w:r>
      <w:r>
        <w:tab/>
      </w:r>
      <w:r>
        <w:fldChar w:fldCharType="begin"/>
      </w:r>
      <w:r>
        <w:instrText xml:space="preserve"> PAGEREF _Toc19552 \h </w:instrText>
      </w:r>
      <w:r>
        <w:fldChar w:fldCharType="separate"/>
      </w:r>
      <w:r>
        <w:t>19</w:t>
      </w:r>
      <w:r>
        <w:fldChar w:fldCharType="end"/>
      </w:r>
      <w:r>
        <w:rPr>
          <w:rFonts w:hint="default" w:ascii="Times New Roman" w:hAnsi="Times New Roman" w:cs="Times New Roman" w:eastAsiaTheme="majorEastAsia"/>
        </w:rPr>
        <w:fldChar w:fldCharType="end"/>
      </w:r>
    </w:p>
    <w:p w14:paraId="16854384">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_Toc22914 </w:instrText>
      </w:r>
      <w:r>
        <w:rPr>
          <w:rFonts w:hint="default" w:ascii="Times New Roman" w:hAnsi="Times New Roman" w:cs="Times New Roman" w:eastAsiaTheme="majorEastAsia"/>
        </w:rPr>
        <w:fldChar w:fldCharType="separate"/>
      </w:r>
      <w:r>
        <w:rPr>
          <w:rFonts w:hint="default"/>
        </w:rPr>
        <w:t xml:space="preserve">3.6 </w:t>
      </w:r>
      <w:r>
        <w:t>本章小结</w:t>
      </w:r>
      <w:r>
        <w:tab/>
      </w:r>
      <w:r>
        <w:fldChar w:fldCharType="begin"/>
      </w:r>
      <w:r>
        <w:instrText xml:space="preserve"> PAGEREF _Toc22914 \h </w:instrText>
      </w:r>
      <w:r>
        <w:fldChar w:fldCharType="separate"/>
      </w:r>
      <w:r>
        <w:t>19</w:t>
      </w:r>
      <w:r>
        <w:fldChar w:fldCharType="end"/>
      </w:r>
      <w:r>
        <w:rPr>
          <w:rFonts w:hint="default" w:ascii="Times New Roman" w:hAnsi="Times New Roman" w:cs="Times New Roman" w:eastAsiaTheme="majorEastAsia"/>
        </w:rPr>
        <w:fldChar w:fldCharType="end"/>
      </w:r>
    </w:p>
    <w:p w14:paraId="73BCF45D">
      <w:pPr>
        <w:pStyle w:val="11"/>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_Toc5389 </w:instrText>
      </w:r>
      <w:r>
        <w:rPr>
          <w:rFonts w:hint="default" w:ascii="Times New Roman" w:hAnsi="Times New Roman" w:cs="Times New Roman" w:eastAsiaTheme="majorEastAsia"/>
        </w:rPr>
        <w:fldChar w:fldCharType="separate"/>
      </w:r>
      <w:r>
        <w:rPr>
          <w:rFonts w:hint="default"/>
        </w:rPr>
        <w:t xml:space="preserve">4 </w:t>
      </w:r>
      <w:r>
        <w:t>系统需求分析与总体设计</w:t>
      </w:r>
      <w:r>
        <w:tab/>
      </w:r>
      <w:r>
        <w:fldChar w:fldCharType="begin"/>
      </w:r>
      <w:r>
        <w:instrText xml:space="preserve"> PAGEREF _Toc5389 \h </w:instrText>
      </w:r>
      <w:r>
        <w:fldChar w:fldCharType="separate"/>
      </w:r>
      <w:r>
        <w:t>20</w:t>
      </w:r>
      <w:r>
        <w:fldChar w:fldCharType="end"/>
      </w:r>
      <w:r>
        <w:rPr>
          <w:rFonts w:hint="default" w:ascii="Times New Roman" w:hAnsi="Times New Roman" w:cs="Times New Roman" w:eastAsiaTheme="majorEastAsia"/>
        </w:rPr>
        <w:fldChar w:fldCharType="end"/>
      </w:r>
    </w:p>
    <w:p w14:paraId="39793D75">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_Toc27143 </w:instrText>
      </w:r>
      <w:r>
        <w:rPr>
          <w:rFonts w:hint="default" w:ascii="Times New Roman" w:hAnsi="Times New Roman" w:cs="Times New Roman" w:eastAsiaTheme="majorEastAsia"/>
        </w:rPr>
        <w:fldChar w:fldCharType="separate"/>
      </w:r>
      <w:r>
        <w:rPr>
          <w:rFonts w:hint="default"/>
        </w:rPr>
        <w:t xml:space="preserve">4.1 </w:t>
      </w:r>
      <w:r>
        <w:t>业务场景分析</w:t>
      </w:r>
      <w:r>
        <w:tab/>
      </w:r>
      <w:r>
        <w:fldChar w:fldCharType="begin"/>
      </w:r>
      <w:r>
        <w:instrText xml:space="preserve"> PAGEREF _Toc27143 \h </w:instrText>
      </w:r>
      <w:r>
        <w:fldChar w:fldCharType="separate"/>
      </w:r>
      <w:r>
        <w:t>20</w:t>
      </w:r>
      <w:r>
        <w:fldChar w:fldCharType="end"/>
      </w:r>
      <w:r>
        <w:rPr>
          <w:rFonts w:hint="default" w:ascii="Times New Roman" w:hAnsi="Times New Roman" w:cs="Times New Roman" w:eastAsiaTheme="majorEastAsia"/>
        </w:rPr>
        <w:fldChar w:fldCharType="end"/>
      </w:r>
    </w:p>
    <w:p w14:paraId="7E35C6BB">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_Toc759 </w:instrText>
      </w:r>
      <w:r>
        <w:rPr>
          <w:rFonts w:hint="default" w:ascii="Times New Roman" w:hAnsi="Times New Roman" w:cs="Times New Roman" w:eastAsiaTheme="majorEastAsia"/>
        </w:rPr>
        <w:fldChar w:fldCharType="separate"/>
      </w:r>
      <w:r>
        <w:rPr>
          <w:rFonts w:hint="default"/>
        </w:rPr>
        <w:t xml:space="preserve">4.2 </w:t>
      </w:r>
      <w:r>
        <w:t>系统需求分析</w:t>
      </w:r>
      <w:r>
        <w:tab/>
      </w:r>
      <w:r>
        <w:fldChar w:fldCharType="begin"/>
      </w:r>
      <w:r>
        <w:instrText xml:space="preserve"> PAGEREF _Toc759 \h </w:instrText>
      </w:r>
      <w:r>
        <w:fldChar w:fldCharType="separate"/>
      </w:r>
      <w:r>
        <w:t>21</w:t>
      </w:r>
      <w:r>
        <w:fldChar w:fldCharType="end"/>
      </w:r>
      <w:r>
        <w:rPr>
          <w:rFonts w:hint="default" w:ascii="Times New Roman" w:hAnsi="Times New Roman" w:cs="Times New Roman" w:eastAsiaTheme="majorEastAsia"/>
        </w:rPr>
        <w:fldChar w:fldCharType="end"/>
      </w:r>
    </w:p>
    <w:p w14:paraId="38FACE5A">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_Toc9346 </w:instrText>
      </w:r>
      <w:r>
        <w:rPr>
          <w:rFonts w:hint="default" w:ascii="Times New Roman" w:hAnsi="Times New Roman" w:cs="Times New Roman" w:eastAsiaTheme="majorEastAsia"/>
        </w:rPr>
        <w:fldChar w:fldCharType="separate"/>
      </w:r>
      <w:r>
        <w:rPr>
          <w:rFonts w:hint="default"/>
        </w:rPr>
        <w:t xml:space="preserve">4.2.1 </w:t>
      </w:r>
      <w:r>
        <w:t>日志自动采集需求</w:t>
      </w:r>
      <w:r>
        <w:tab/>
      </w:r>
      <w:r>
        <w:fldChar w:fldCharType="begin"/>
      </w:r>
      <w:r>
        <w:instrText xml:space="preserve"> PAGEREF _Toc9346 \h </w:instrText>
      </w:r>
      <w:r>
        <w:fldChar w:fldCharType="separate"/>
      </w:r>
      <w:r>
        <w:t>21</w:t>
      </w:r>
      <w:r>
        <w:fldChar w:fldCharType="end"/>
      </w:r>
      <w:r>
        <w:rPr>
          <w:rFonts w:hint="default" w:ascii="Times New Roman" w:hAnsi="Times New Roman" w:cs="Times New Roman" w:eastAsiaTheme="majorEastAsia"/>
        </w:rPr>
        <w:fldChar w:fldCharType="end"/>
      </w:r>
    </w:p>
    <w:p w14:paraId="7DD71B86">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_Toc7934 </w:instrText>
      </w:r>
      <w:r>
        <w:rPr>
          <w:rFonts w:hint="default" w:ascii="Times New Roman" w:hAnsi="Times New Roman" w:cs="Times New Roman" w:eastAsiaTheme="majorEastAsia"/>
        </w:rPr>
        <w:fldChar w:fldCharType="separate"/>
      </w:r>
      <w:r>
        <w:rPr>
          <w:rFonts w:hint="default"/>
        </w:rPr>
        <w:t xml:space="preserve">4.2.2 </w:t>
      </w:r>
      <w:r>
        <w:t>链上可信存证需求</w:t>
      </w:r>
      <w:r>
        <w:tab/>
      </w:r>
      <w:r>
        <w:fldChar w:fldCharType="begin"/>
      </w:r>
      <w:r>
        <w:instrText xml:space="preserve"> PAGEREF _Toc7934 \h </w:instrText>
      </w:r>
      <w:r>
        <w:fldChar w:fldCharType="separate"/>
      </w:r>
      <w:r>
        <w:t>21</w:t>
      </w:r>
      <w:r>
        <w:fldChar w:fldCharType="end"/>
      </w:r>
      <w:r>
        <w:rPr>
          <w:rFonts w:hint="default" w:ascii="Times New Roman" w:hAnsi="Times New Roman" w:cs="Times New Roman" w:eastAsiaTheme="majorEastAsia"/>
        </w:rPr>
        <w:fldChar w:fldCharType="end"/>
      </w:r>
    </w:p>
    <w:p w14:paraId="3FCEFEB5">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_Toc26017 </w:instrText>
      </w:r>
      <w:r>
        <w:rPr>
          <w:rFonts w:hint="default" w:ascii="Times New Roman" w:hAnsi="Times New Roman" w:cs="Times New Roman" w:eastAsiaTheme="majorEastAsia"/>
        </w:rPr>
        <w:fldChar w:fldCharType="separate"/>
      </w:r>
      <w:r>
        <w:rPr>
          <w:rFonts w:hint="default"/>
        </w:rPr>
        <w:t xml:space="preserve">4.2.3 </w:t>
      </w:r>
      <w:r>
        <w:t>审计校验需求</w:t>
      </w:r>
      <w:r>
        <w:tab/>
      </w:r>
      <w:r>
        <w:fldChar w:fldCharType="begin"/>
      </w:r>
      <w:r>
        <w:instrText xml:space="preserve"> PAGEREF _Toc26017 \h </w:instrText>
      </w:r>
      <w:r>
        <w:fldChar w:fldCharType="separate"/>
      </w:r>
      <w:r>
        <w:t>21</w:t>
      </w:r>
      <w:r>
        <w:fldChar w:fldCharType="end"/>
      </w:r>
      <w:r>
        <w:rPr>
          <w:rFonts w:hint="default" w:ascii="Times New Roman" w:hAnsi="Times New Roman" w:cs="Times New Roman" w:eastAsiaTheme="majorEastAsia"/>
        </w:rPr>
        <w:fldChar w:fldCharType="end"/>
      </w:r>
    </w:p>
    <w:p w14:paraId="15A10818">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_Toc13605 </w:instrText>
      </w:r>
      <w:r>
        <w:rPr>
          <w:rFonts w:hint="default" w:ascii="Times New Roman" w:hAnsi="Times New Roman" w:cs="Times New Roman" w:eastAsiaTheme="majorEastAsia"/>
        </w:rPr>
        <w:fldChar w:fldCharType="separate"/>
      </w:r>
      <w:r>
        <w:rPr>
          <w:rFonts w:hint="default"/>
        </w:rPr>
        <w:t xml:space="preserve">4.2.4 </w:t>
      </w:r>
      <w:r>
        <w:t>异常告警需求</w:t>
      </w:r>
      <w:r>
        <w:tab/>
      </w:r>
      <w:r>
        <w:fldChar w:fldCharType="begin"/>
      </w:r>
      <w:r>
        <w:instrText xml:space="preserve"> PAGEREF _Toc13605 \h </w:instrText>
      </w:r>
      <w:r>
        <w:fldChar w:fldCharType="separate"/>
      </w:r>
      <w:r>
        <w:t>22</w:t>
      </w:r>
      <w:r>
        <w:fldChar w:fldCharType="end"/>
      </w:r>
      <w:r>
        <w:rPr>
          <w:rFonts w:hint="default" w:ascii="Times New Roman" w:hAnsi="Times New Roman" w:cs="Times New Roman" w:eastAsiaTheme="majorEastAsia"/>
        </w:rPr>
        <w:fldChar w:fldCharType="end"/>
      </w:r>
    </w:p>
    <w:p w14:paraId="7AF17F96">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_Toc19261 </w:instrText>
      </w:r>
      <w:r>
        <w:rPr>
          <w:rFonts w:hint="default" w:ascii="Times New Roman" w:hAnsi="Times New Roman" w:cs="Times New Roman" w:eastAsiaTheme="majorEastAsia"/>
        </w:rPr>
        <w:fldChar w:fldCharType="separate"/>
      </w:r>
      <w:r>
        <w:rPr>
          <w:rFonts w:hint="default"/>
        </w:rPr>
        <w:t xml:space="preserve">4.2.5 </w:t>
      </w:r>
      <w:r>
        <w:t>可视化展示需求</w:t>
      </w:r>
      <w:r>
        <w:tab/>
      </w:r>
      <w:r>
        <w:fldChar w:fldCharType="begin"/>
      </w:r>
      <w:r>
        <w:instrText xml:space="preserve"> PAGEREF _Toc19261 \h </w:instrText>
      </w:r>
      <w:r>
        <w:fldChar w:fldCharType="separate"/>
      </w:r>
      <w:r>
        <w:t>22</w:t>
      </w:r>
      <w:r>
        <w:fldChar w:fldCharType="end"/>
      </w:r>
      <w:r>
        <w:rPr>
          <w:rFonts w:hint="default" w:ascii="Times New Roman" w:hAnsi="Times New Roman" w:cs="Times New Roman" w:eastAsiaTheme="majorEastAsia"/>
        </w:rPr>
        <w:fldChar w:fldCharType="end"/>
      </w:r>
    </w:p>
    <w:p w14:paraId="20D428F6">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_Toc28221 </w:instrText>
      </w:r>
      <w:r>
        <w:rPr>
          <w:rFonts w:hint="default" w:ascii="Times New Roman" w:hAnsi="Times New Roman" w:cs="Times New Roman" w:eastAsiaTheme="majorEastAsia"/>
        </w:rPr>
        <w:fldChar w:fldCharType="separate"/>
      </w:r>
      <w:r>
        <w:rPr>
          <w:rFonts w:hint="default"/>
        </w:rPr>
        <w:t xml:space="preserve">4.3 </w:t>
      </w:r>
      <w:r>
        <w:t>非功能需求分析</w:t>
      </w:r>
      <w:r>
        <w:tab/>
      </w:r>
      <w:r>
        <w:fldChar w:fldCharType="begin"/>
      </w:r>
      <w:r>
        <w:instrText xml:space="preserve"> PAGEREF _Toc28221 \h </w:instrText>
      </w:r>
      <w:r>
        <w:fldChar w:fldCharType="separate"/>
      </w:r>
      <w:r>
        <w:t>22</w:t>
      </w:r>
      <w:r>
        <w:fldChar w:fldCharType="end"/>
      </w:r>
      <w:r>
        <w:rPr>
          <w:rFonts w:hint="default" w:ascii="Times New Roman" w:hAnsi="Times New Roman" w:cs="Times New Roman" w:eastAsiaTheme="majorEastAsia"/>
        </w:rPr>
        <w:fldChar w:fldCharType="end"/>
      </w:r>
    </w:p>
    <w:p w14:paraId="5DFCDA53">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_Toc15320 </w:instrText>
      </w:r>
      <w:r>
        <w:rPr>
          <w:rFonts w:hint="default" w:ascii="Times New Roman" w:hAnsi="Times New Roman" w:cs="Times New Roman" w:eastAsiaTheme="majorEastAsia"/>
        </w:rPr>
        <w:fldChar w:fldCharType="separate"/>
      </w:r>
      <w:r>
        <w:rPr>
          <w:rFonts w:hint="default"/>
        </w:rPr>
        <w:t xml:space="preserve">4.3.1 </w:t>
      </w:r>
      <w:r>
        <w:t>数据可信性需求</w:t>
      </w:r>
      <w:r>
        <w:tab/>
      </w:r>
      <w:r>
        <w:fldChar w:fldCharType="begin"/>
      </w:r>
      <w:r>
        <w:instrText xml:space="preserve"> PAGEREF _Toc15320 \h </w:instrText>
      </w:r>
      <w:r>
        <w:fldChar w:fldCharType="separate"/>
      </w:r>
      <w:r>
        <w:t>22</w:t>
      </w:r>
      <w:r>
        <w:fldChar w:fldCharType="end"/>
      </w:r>
      <w:r>
        <w:rPr>
          <w:rFonts w:hint="default" w:ascii="Times New Roman" w:hAnsi="Times New Roman" w:cs="Times New Roman" w:eastAsiaTheme="majorEastAsia"/>
        </w:rPr>
        <w:fldChar w:fldCharType="end"/>
      </w:r>
    </w:p>
    <w:p w14:paraId="14DFA4CA">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_Toc15333 </w:instrText>
      </w:r>
      <w:r>
        <w:rPr>
          <w:rFonts w:hint="default" w:ascii="Times New Roman" w:hAnsi="Times New Roman" w:cs="Times New Roman" w:eastAsiaTheme="majorEastAsia"/>
        </w:rPr>
        <w:fldChar w:fldCharType="separate"/>
      </w:r>
      <w:r>
        <w:rPr>
          <w:rFonts w:hint="default"/>
        </w:rPr>
        <w:t xml:space="preserve">4.3.2 </w:t>
      </w:r>
      <w:r>
        <w:t>系统可用性需求</w:t>
      </w:r>
      <w:r>
        <w:tab/>
      </w:r>
      <w:r>
        <w:fldChar w:fldCharType="begin"/>
      </w:r>
      <w:r>
        <w:instrText xml:space="preserve"> PAGEREF _Toc15333 \h </w:instrText>
      </w:r>
      <w:r>
        <w:fldChar w:fldCharType="separate"/>
      </w:r>
      <w:r>
        <w:t>23</w:t>
      </w:r>
      <w:r>
        <w:fldChar w:fldCharType="end"/>
      </w:r>
      <w:r>
        <w:rPr>
          <w:rFonts w:hint="default" w:ascii="Times New Roman" w:hAnsi="Times New Roman" w:cs="Times New Roman" w:eastAsiaTheme="majorEastAsia"/>
        </w:rPr>
        <w:fldChar w:fldCharType="end"/>
      </w:r>
    </w:p>
    <w:p w14:paraId="0583B2EE">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_Toc6932 </w:instrText>
      </w:r>
      <w:r>
        <w:rPr>
          <w:rFonts w:hint="default" w:ascii="Times New Roman" w:hAnsi="Times New Roman" w:cs="Times New Roman" w:eastAsiaTheme="majorEastAsia"/>
        </w:rPr>
        <w:fldChar w:fldCharType="separate"/>
      </w:r>
      <w:r>
        <w:rPr>
          <w:rFonts w:hint="default"/>
        </w:rPr>
        <w:t xml:space="preserve">4.3.3 </w:t>
      </w:r>
      <w:r>
        <w:t>可维护性与可扩展性需求</w:t>
      </w:r>
      <w:r>
        <w:tab/>
      </w:r>
      <w:r>
        <w:fldChar w:fldCharType="begin"/>
      </w:r>
      <w:r>
        <w:instrText xml:space="preserve"> PAGEREF _Toc6932 \h </w:instrText>
      </w:r>
      <w:r>
        <w:fldChar w:fldCharType="separate"/>
      </w:r>
      <w:r>
        <w:t>23</w:t>
      </w:r>
      <w:r>
        <w:fldChar w:fldCharType="end"/>
      </w:r>
      <w:r>
        <w:rPr>
          <w:rFonts w:hint="default" w:ascii="Times New Roman" w:hAnsi="Times New Roman" w:cs="Times New Roman" w:eastAsiaTheme="majorEastAsia"/>
        </w:rPr>
        <w:fldChar w:fldCharType="end"/>
      </w:r>
    </w:p>
    <w:p w14:paraId="6B24CCA4">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_Toc20916 </w:instrText>
      </w:r>
      <w:r>
        <w:rPr>
          <w:rFonts w:hint="default" w:ascii="Times New Roman" w:hAnsi="Times New Roman" w:cs="Times New Roman" w:eastAsiaTheme="majorEastAsia"/>
        </w:rPr>
        <w:fldChar w:fldCharType="separate"/>
      </w:r>
      <w:r>
        <w:rPr>
          <w:rFonts w:hint="default"/>
        </w:rPr>
        <w:t xml:space="preserve">4.4 </w:t>
      </w:r>
      <w:r>
        <w:t>系统总体架构设计</w:t>
      </w:r>
      <w:r>
        <w:tab/>
      </w:r>
      <w:r>
        <w:fldChar w:fldCharType="begin"/>
      </w:r>
      <w:r>
        <w:instrText xml:space="preserve"> PAGEREF _Toc20916 \h </w:instrText>
      </w:r>
      <w:r>
        <w:fldChar w:fldCharType="separate"/>
      </w:r>
      <w:r>
        <w:t>23</w:t>
      </w:r>
      <w:r>
        <w:fldChar w:fldCharType="end"/>
      </w:r>
      <w:r>
        <w:rPr>
          <w:rFonts w:hint="default" w:ascii="Times New Roman" w:hAnsi="Times New Roman" w:cs="Times New Roman" w:eastAsiaTheme="majorEastAsia"/>
        </w:rPr>
        <w:fldChar w:fldCharType="end"/>
      </w:r>
    </w:p>
    <w:p w14:paraId="2199377C">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_Toc6849 </w:instrText>
      </w:r>
      <w:r>
        <w:rPr>
          <w:rFonts w:hint="default" w:ascii="Times New Roman" w:hAnsi="Times New Roman" w:cs="Times New Roman" w:eastAsiaTheme="majorEastAsia"/>
        </w:rPr>
        <w:fldChar w:fldCharType="separate"/>
      </w:r>
      <w:r>
        <w:rPr>
          <w:rFonts w:hint="default"/>
        </w:rPr>
        <w:t xml:space="preserve">4.5 </w:t>
      </w:r>
      <w:r>
        <w:t>系统功能模块设计</w:t>
      </w:r>
      <w:r>
        <w:tab/>
      </w:r>
      <w:r>
        <w:fldChar w:fldCharType="begin"/>
      </w:r>
      <w:r>
        <w:instrText xml:space="preserve"> PAGEREF _Toc6849 \h </w:instrText>
      </w:r>
      <w:r>
        <w:fldChar w:fldCharType="separate"/>
      </w:r>
      <w:r>
        <w:t>24</w:t>
      </w:r>
      <w:r>
        <w:fldChar w:fldCharType="end"/>
      </w:r>
      <w:r>
        <w:rPr>
          <w:rFonts w:hint="default" w:ascii="Times New Roman" w:hAnsi="Times New Roman" w:cs="Times New Roman" w:eastAsiaTheme="majorEastAsia"/>
        </w:rPr>
        <w:fldChar w:fldCharType="end"/>
      </w:r>
    </w:p>
    <w:p w14:paraId="35B2F32B">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_Toc31875 </w:instrText>
      </w:r>
      <w:r>
        <w:rPr>
          <w:rFonts w:hint="default" w:ascii="Times New Roman" w:hAnsi="Times New Roman" w:cs="Times New Roman" w:eastAsiaTheme="majorEastAsia"/>
        </w:rPr>
        <w:fldChar w:fldCharType="separate"/>
      </w:r>
      <w:r>
        <w:rPr>
          <w:rFonts w:hint="default"/>
        </w:rPr>
        <w:t xml:space="preserve">4.5.1 </w:t>
      </w:r>
      <w:r>
        <w:t>日志采集Agent模块</w:t>
      </w:r>
      <w:r>
        <w:tab/>
      </w:r>
      <w:r>
        <w:fldChar w:fldCharType="begin"/>
      </w:r>
      <w:r>
        <w:instrText xml:space="preserve"> PAGEREF _Toc31875 \h </w:instrText>
      </w:r>
      <w:r>
        <w:fldChar w:fldCharType="separate"/>
      </w:r>
      <w:r>
        <w:t>24</w:t>
      </w:r>
      <w:r>
        <w:fldChar w:fldCharType="end"/>
      </w:r>
      <w:r>
        <w:rPr>
          <w:rFonts w:hint="default" w:ascii="Times New Roman" w:hAnsi="Times New Roman" w:cs="Times New Roman" w:eastAsiaTheme="majorEastAsia"/>
        </w:rPr>
        <w:fldChar w:fldCharType="end"/>
      </w:r>
    </w:p>
    <w:p w14:paraId="2071F501">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_Toc21875 </w:instrText>
      </w:r>
      <w:r>
        <w:rPr>
          <w:rFonts w:hint="default" w:ascii="Times New Roman" w:hAnsi="Times New Roman" w:cs="Times New Roman" w:eastAsiaTheme="majorEastAsia"/>
        </w:rPr>
        <w:fldChar w:fldCharType="separate"/>
      </w:r>
      <w:r>
        <w:rPr>
          <w:rFonts w:hint="default"/>
        </w:rPr>
        <w:t xml:space="preserve">4.5.2 </w:t>
      </w:r>
      <w:r>
        <w:t>后端服务模块</w:t>
      </w:r>
      <w:r>
        <w:tab/>
      </w:r>
      <w:r>
        <w:fldChar w:fldCharType="begin"/>
      </w:r>
      <w:r>
        <w:instrText xml:space="preserve"> PAGEREF _Toc21875 \h </w:instrText>
      </w:r>
      <w:r>
        <w:fldChar w:fldCharType="separate"/>
      </w:r>
      <w:r>
        <w:t>25</w:t>
      </w:r>
      <w:r>
        <w:fldChar w:fldCharType="end"/>
      </w:r>
      <w:r>
        <w:rPr>
          <w:rFonts w:hint="default" w:ascii="Times New Roman" w:hAnsi="Times New Roman" w:cs="Times New Roman" w:eastAsiaTheme="majorEastAsia"/>
        </w:rPr>
        <w:fldChar w:fldCharType="end"/>
      </w:r>
    </w:p>
    <w:p w14:paraId="0C56CD15">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_Toc28975 </w:instrText>
      </w:r>
      <w:r>
        <w:rPr>
          <w:rFonts w:hint="default" w:ascii="Times New Roman" w:hAnsi="Times New Roman" w:cs="Times New Roman" w:eastAsiaTheme="majorEastAsia"/>
        </w:rPr>
        <w:fldChar w:fldCharType="separate"/>
      </w:r>
      <w:r>
        <w:rPr>
          <w:rFonts w:hint="default"/>
        </w:rPr>
        <w:t xml:space="preserve">4.5.3 </w:t>
      </w:r>
      <w:r>
        <w:t>区块链存证模块</w:t>
      </w:r>
      <w:r>
        <w:tab/>
      </w:r>
      <w:r>
        <w:fldChar w:fldCharType="begin"/>
      </w:r>
      <w:r>
        <w:instrText xml:space="preserve"> PAGEREF _Toc28975 \h </w:instrText>
      </w:r>
      <w:r>
        <w:fldChar w:fldCharType="separate"/>
      </w:r>
      <w:r>
        <w:t>25</w:t>
      </w:r>
      <w:r>
        <w:fldChar w:fldCharType="end"/>
      </w:r>
      <w:r>
        <w:rPr>
          <w:rFonts w:hint="default" w:ascii="Times New Roman" w:hAnsi="Times New Roman" w:cs="Times New Roman" w:eastAsiaTheme="majorEastAsia"/>
        </w:rPr>
        <w:fldChar w:fldCharType="end"/>
      </w:r>
    </w:p>
    <w:p w14:paraId="39077168">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_Toc1734 </w:instrText>
      </w:r>
      <w:r>
        <w:rPr>
          <w:rFonts w:hint="default" w:ascii="Times New Roman" w:hAnsi="Times New Roman" w:cs="Times New Roman" w:eastAsiaTheme="majorEastAsia"/>
        </w:rPr>
        <w:fldChar w:fldCharType="separate"/>
      </w:r>
      <w:r>
        <w:rPr>
          <w:rFonts w:hint="default"/>
        </w:rPr>
        <w:t xml:space="preserve">4.5.4 </w:t>
      </w:r>
      <w:r>
        <w:t>审计告警模块</w:t>
      </w:r>
      <w:r>
        <w:tab/>
      </w:r>
      <w:r>
        <w:fldChar w:fldCharType="begin"/>
      </w:r>
      <w:r>
        <w:instrText xml:space="preserve"> PAGEREF _Toc1734 \h </w:instrText>
      </w:r>
      <w:r>
        <w:fldChar w:fldCharType="separate"/>
      </w:r>
      <w:r>
        <w:t>25</w:t>
      </w:r>
      <w:r>
        <w:fldChar w:fldCharType="end"/>
      </w:r>
      <w:r>
        <w:rPr>
          <w:rFonts w:hint="default" w:ascii="Times New Roman" w:hAnsi="Times New Roman" w:cs="Times New Roman" w:eastAsiaTheme="majorEastAsia"/>
        </w:rPr>
        <w:fldChar w:fldCharType="end"/>
      </w:r>
    </w:p>
    <w:p w14:paraId="471A201E">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_Toc13904 </w:instrText>
      </w:r>
      <w:r>
        <w:rPr>
          <w:rFonts w:hint="default" w:ascii="Times New Roman" w:hAnsi="Times New Roman" w:cs="Times New Roman" w:eastAsiaTheme="majorEastAsia"/>
        </w:rPr>
        <w:fldChar w:fldCharType="separate"/>
      </w:r>
      <w:r>
        <w:rPr>
          <w:rFonts w:hint="default"/>
        </w:rPr>
        <w:t xml:space="preserve">4.5.5 </w:t>
      </w:r>
      <w:r>
        <w:t>前端可视化模块</w:t>
      </w:r>
      <w:r>
        <w:tab/>
      </w:r>
      <w:r>
        <w:fldChar w:fldCharType="begin"/>
      </w:r>
      <w:r>
        <w:instrText xml:space="preserve"> PAGEREF _Toc13904 \h </w:instrText>
      </w:r>
      <w:r>
        <w:fldChar w:fldCharType="separate"/>
      </w:r>
      <w:r>
        <w:t>25</w:t>
      </w:r>
      <w:r>
        <w:fldChar w:fldCharType="end"/>
      </w:r>
      <w:r>
        <w:rPr>
          <w:rFonts w:hint="default" w:ascii="Times New Roman" w:hAnsi="Times New Roman" w:cs="Times New Roman" w:eastAsiaTheme="majorEastAsia"/>
        </w:rPr>
        <w:fldChar w:fldCharType="end"/>
      </w:r>
    </w:p>
    <w:p w14:paraId="222ECE1D">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_Toc5811 </w:instrText>
      </w:r>
      <w:r>
        <w:rPr>
          <w:rFonts w:hint="default" w:ascii="Times New Roman" w:hAnsi="Times New Roman" w:cs="Times New Roman" w:eastAsiaTheme="majorEastAsia"/>
        </w:rPr>
        <w:fldChar w:fldCharType="separate"/>
      </w:r>
      <w:r>
        <w:rPr>
          <w:rFonts w:hint="default"/>
        </w:rPr>
        <w:t xml:space="preserve">4.6 </w:t>
      </w:r>
      <w:r>
        <w:t>系统数据流与业务流程设计</w:t>
      </w:r>
      <w:r>
        <w:tab/>
      </w:r>
      <w:r>
        <w:fldChar w:fldCharType="begin"/>
      </w:r>
      <w:r>
        <w:instrText xml:space="preserve"> PAGEREF _Toc5811 \h </w:instrText>
      </w:r>
      <w:r>
        <w:fldChar w:fldCharType="separate"/>
      </w:r>
      <w:r>
        <w:t>25</w:t>
      </w:r>
      <w:r>
        <w:fldChar w:fldCharType="end"/>
      </w:r>
      <w:r>
        <w:rPr>
          <w:rFonts w:hint="default" w:ascii="Times New Roman" w:hAnsi="Times New Roman" w:cs="Times New Roman" w:eastAsiaTheme="majorEastAsia"/>
        </w:rPr>
        <w:fldChar w:fldCharType="end"/>
      </w:r>
    </w:p>
    <w:p w14:paraId="6E8530B7">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_Toc10419 </w:instrText>
      </w:r>
      <w:r>
        <w:rPr>
          <w:rFonts w:hint="default" w:ascii="Times New Roman" w:hAnsi="Times New Roman" w:cs="Times New Roman" w:eastAsiaTheme="majorEastAsia"/>
        </w:rPr>
        <w:fldChar w:fldCharType="separate"/>
      </w:r>
      <w:r>
        <w:rPr>
          <w:rFonts w:hint="default"/>
        </w:rPr>
        <w:t xml:space="preserve">4.7 </w:t>
      </w:r>
      <w:r>
        <w:t>数据库设计</w:t>
      </w:r>
      <w:r>
        <w:tab/>
      </w:r>
      <w:r>
        <w:fldChar w:fldCharType="begin"/>
      </w:r>
      <w:r>
        <w:instrText xml:space="preserve"> PAGEREF _Toc10419 \h </w:instrText>
      </w:r>
      <w:r>
        <w:fldChar w:fldCharType="separate"/>
      </w:r>
      <w:r>
        <w:t>26</w:t>
      </w:r>
      <w:r>
        <w:fldChar w:fldCharType="end"/>
      </w:r>
      <w:r>
        <w:rPr>
          <w:rFonts w:hint="default" w:ascii="Times New Roman" w:hAnsi="Times New Roman" w:cs="Times New Roman" w:eastAsiaTheme="majorEastAsia"/>
        </w:rPr>
        <w:fldChar w:fldCharType="end"/>
      </w:r>
    </w:p>
    <w:p w14:paraId="4468BCE8">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_Toc6312 </w:instrText>
      </w:r>
      <w:r>
        <w:rPr>
          <w:rFonts w:hint="default" w:ascii="Times New Roman" w:hAnsi="Times New Roman" w:cs="Times New Roman" w:eastAsiaTheme="majorEastAsia"/>
        </w:rPr>
        <w:fldChar w:fldCharType="separate"/>
      </w:r>
      <w:r>
        <w:rPr>
          <w:rFonts w:hint="default"/>
        </w:rPr>
        <w:t xml:space="preserve">4.7.1 </w:t>
      </w:r>
      <w:r>
        <w:t>日志数据表设计</w:t>
      </w:r>
      <w:r>
        <w:tab/>
      </w:r>
      <w:r>
        <w:fldChar w:fldCharType="begin"/>
      </w:r>
      <w:r>
        <w:instrText xml:space="preserve"> PAGEREF _Toc6312 \h </w:instrText>
      </w:r>
      <w:r>
        <w:fldChar w:fldCharType="separate"/>
      </w:r>
      <w:r>
        <w:t>26</w:t>
      </w:r>
      <w:r>
        <w:fldChar w:fldCharType="end"/>
      </w:r>
      <w:r>
        <w:rPr>
          <w:rFonts w:hint="default" w:ascii="Times New Roman" w:hAnsi="Times New Roman" w:cs="Times New Roman" w:eastAsiaTheme="majorEastAsia"/>
        </w:rPr>
        <w:fldChar w:fldCharType="end"/>
      </w:r>
    </w:p>
    <w:p w14:paraId="3BD80A84">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_Toc22682 </w:instrText>
      </w:r>
      <w:r>
        <w:rPr>
          <w:rFonts w:hint="default" w:ascii="Times New Roman" w:hAnsi="Times New Roman" w:cs="Times New Roman" w:eastAsiaTheme="majorEastAsia"/>
        </w:rPr>
        <w:fldChar w:fldCharType="separate"/>
      </w:r>
      <w:r>
        <w:rPr>
          <w:rFonts w:hint="default"/>
        </w:rPr>
        <w:t xml:space="preserve">4.7.2 </w:t>
      </w:r>
      <w:r>
        <w:t>存证记录表设计</w:t>
      </w:r>
      <w:r>
        <w:tab/>
      </w:r>
      <w:r>
        <w:fldChar w:fldCharType="begin"/>
      </w:r>
      <w:r>
        <w:instrText xml:space="preserve"> PAGEREF _Toc22682 \h </w:instrText>
      </w:r>
      <w:r>
        <w:fldChar w:fldCharType="separate"/>
      </w:r>
      <w:r>
        <w:t>27</w:t>
      </w:r>
      <w:r>
        <w:fldChar w:fldCharType="end"/>
      </w:r>
      <w:r>
        <w:rPr>
          <w:rFonts w:hint="default" w:ascii="Times New Roman" w:hAnsi="Times New Roman" w:cs="Times New Roman" w:eastAsiaTheme="majorEastAsia"/>
        </w:rPr>
        <w:fldChar w:fldCharType="end"/>
      </w:r>
    </w:p>
    <w:p w14:paraId="75EAD7E4">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_Toc9279 </w:instrText>
      </w:r>
      <w:r>
        <w:rPr>
          <w:rFonts w:hint="default" w:ascii="Times New Roman" w:hAnsi="Times New Roman" w:cs="Times New Roman" w:eastAsiaTheme="majorEastAsia"/>
        </w:rPr>
        <w:fldChar w:fldCharType="separate"/>
      </w:r>
      <w:r>
        <w:rPr>
          <w:rFonts w:hint="default"/>
        </w:rPr>
        <w:t xml:space="preserve">4.7.3 </w:t>
      </w:r>
      <w:r>
        <w:t>审计记录与告警表设计</w:t>
      </w:r>
      <w:r>
        <w:tab/>
      </w:r>
      <w:r>
        <w:fldChar w:fldCharType="begin"/>
      </w:r>
      <w:r>
        <w:instrText xml:space="preserve"> PAGEREF _Toc9279 \h </w:instrText>
      </w:r>
      <w:r>
        <w:fldChar w:fldCharType="separate"/>
      </w:r>
      <w:r>
        <w:t>27</w:t>
      </w:r>
      <w:r>
        <w:fldChar w:fldCharType="end"/>
      </w:r>
      <w:r>
        <w:rPr>
          <w:rFonts w:hint="default" w:ascii="Times New Roman" w:hAnsi="Times New Roman" w:cs="Times New Roman" w:eastAsiaTheme="majorEastAsia"/>
        </w:rPr>
        <w:fldChar w:fldCharType="end"/>
      </w:r>
    </w:p>
    <w:p w14:paraId="6E92E545">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_Toc11794 </w:instrText>
      </w:r>
      <w:r>
        <w:rPr>
          <w:rFonts w:hint="default" w:ascii="Times New Roman" w:hAnsi="Times New Roman" w:cs="Times New Roman" w:eastAsiaTheme="majorEastAsia"/>
        </w:rPr>
        <w:fldChar w:fldCharType="separate"/>
      </w:r>
      <w:r>
        <w:rPr>
          <w:rFonts w:hint="default"/>
        </w:rPr>
        <w:t xml:space="preserve">4.7.4 </w:t>
      </w:r>
      <w:r>
        <w:t>Agent状态表设计</w:t>
      </w:r>
      <w:r>
        <w:tab/>
      </w:r>
      <w:r>
        <w:fldChar w:fldCharType="begin"/>
      </w:r>
      <w:r>
        <w:instrText xml:space="preserve"> PAGEREF _Toc11794 \h </w:instrText>
      </w:r>
      <w:r>
        <w:fldChar w:fldCharType="separate"/>
      </w:r>
      <w:r>
        <w:t>27</w:t>
      </w:r>
      <w:r>
        <w:fldChar w:fldCharType="end"/>
      </w:r>
      <w:r>
        <w:rPr>
          <w:rFonts w:hint="default" w:ascii="Times New Roman" w:hAnsi="Times New Roman" w:cs="Times New Roman" w:eastAsiaTheme="majorEastAsia"/>
        </w:rPr>
        <w:fldChar w:fldCharType="end"/>
      </w:r>
    </w:p>
    <w:p w14:paraId="5E0CE922">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_Toc23749 </w:instrText>
      </w:r>
      <w:r>
        <w:rPr>
          <w:rFonts w:hint="default" w:ascii="Times New Roman" w:hAnsi="Times New Roman" w:cs="Times New Roman" w:eastAsiaTheme="majorEastAsia"/>
        </w:rPr>
        <w:fldChar w:fldCharType="separate"/>
      </w:r>
      <w:r>
        <w:rPr>
          <w:rFonts w:hint="default"/>
        </w:rPr>
        <w:t xml:space="preserve">4.8 </w:t>
      </w:r>
      <w:r>
        <w:t>本章小结</w:t>
      </w:r>
      <w:r>
        <w:tab/>
      </w:r>
      <w:r>
        <w:fldChar w:fldCharType="begin"/>
      </w:r>
      <w:r>
        <w:instrText xml:space="preserve"> PAGEREF _Toc23749 \h </w:instrText>
      </w:r>
      <w:r>
        <w:fldChar w:fldCharType="separate"/>
      </w:r>
      <w:r>
        <w:t>28</w:t>
      </w:r>
      <w:r>
        <w:fldChar w:fldCharType="end"/>
      </w:r>
      <w:r>
        <w:rPr>
          <w:rFonts w:hint="default" w:ascii="Times New Roman" w:hAnsi="Times New Roman" w:cs="Times New Roman" w:eastAsiaTheme="majorEastAsia"/>
        </w:rPr>
        <w:fldChar w:fldCharType="end"/>
      </w:r>
    </w:p>
    <w:p w14:paraId="73E7042E">
      <w:pPr>
        <w:pStyle w:val="11"/>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_Toc29915 </w:instrText>
      </w:r>
      <w:r>
        <w:rPr>
          <w:rFonts w:hint="default" w:ascii="Times New Roman" w:hAnsi="Times New Roman" w:cs="Times New Roman" w:eastAsiaTheme="majorEastAsia"/>
        </w:rPr>
        <w:fldChar w:fldCharType="separate"/>
      </w:r>
      <w:r>
        <w:rPr>
          <w:rFonts w:hint="default"/>
        </w:rPr>
        <w:t xml:space="preserve">5 </w:t>
      </w:r>
      <w:r>
        <w:t>系统实现与实验验证</w:t>
      </w:r>
      <w:r>
        <w:tab/>
      </w:r>
      <w:r>
        <w:fldChar w:fldCharType="begin"/>
      </w:r>
      <w:r>
        <w:instrText xml:space="preserve"> PAGEREF _Toc29915 \h </w:instrText>
      </w:r>
      <w:r>
        <w:fldChar w:fldCharType="separate"/>
      </w:r>
      <w:r>
        <w:t>29</w:t>
      </w:r>
      <w:r>
        <w:fldChar w:fldCharType="end"/>
      </w:r>
      <w:r>
        <w:rPr>
          <w:rFonts w:hint="default" w:ascii="Times New Roman" w:hAnsi="Times New Roman" w:cs="Times New Roman" w:eastAsiaTheme="majorEastAsia"/>
        </w:rPr>
        <w:fldChar w:fldCharType="end"/>
      </w:r>
    </w:p>
    <w:p w14:paraId="75A7C5DE">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_Toc26102 </w:instrText>
      </w:r>
      <w:r>
        <w:rPr>
          <w:rFonts w:hint="default" w:ascii="Times New Roman" w:hAnsi="Times New Roman" w:cs="Times New Roman" w:eastAsiaTheme="majorEastAsia"/>
        </w:rPr>
        <w:fldChar w:fldCharType="separate"/>
      </w:r>
      <w:r>
        <w:rPr>
          <w:rFonts w:hint="default"/>
        </w:rPr>
        <w:t xml:space="preserve">5.1 </w:t>
      </w:r>
      <w:r>
        <w:t>系统开发环境与工程结构</w:t>
      </w:r>
      <w:r>
        <w:tab/>
      </w:r>
      <w:r>
        <w:fldChar w:fldCharType="begin"/>
      </w:r>
      <w:r>
        <w:instrText xml:space="preserve"> PAGEREF _Toc26102 \h </w:instrText>
      </w:r>
      <w:r>
        <w:fldChar w:fldCharType="separate"/>
      </w:r>
      <w:r>
        <w:t>29</w:t>
      </w:r>
      <w:r>
        <w:fldChar w:fldCharType="end"/>
      </w:r>
      <w:r>
        <w:rPr>
          <w:rFonts w:hint="default" w:ascii="Times New Roman" w:hAnsi="Times New Roman" w:cs="Times New Roman" w:eastAsiaTheme="majorEastAsia"/>
        </w:rPr>
        <w:fldChar w:fldCharType="end"/>
      </w:r>
    </w:p>
    <w:p w14:paraId="3604C49F">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_Toc13500 </w:instrText>
      </w:r>
      <w:r>
        <w:rPr>
          <w:rFonts w:hint="default" w:ascii="Times New Roman" w:hAnsi="Times New Roman" w:cs="Times New Roman" w:eastAsiaTheme="majorEastAsia"/>
        </w:rPr>
        <w:fldChar w:fldCharType="separate"/>
      </w:r>
      <w:r>
        <w:rPr>
          <w:rFonts w:hint="default"/>
        </w:rPr>
        <w:t xml:space="preserve">5.2 </w:t>
      </w:r>
      <w:r>
        <w:t>日志采集Agent实现</w:t>
      </w:r>
      <w:r>
        <w:tab/>
      </w:r>
      <w:r>
        <w:fldChar w:fldCharType="begin"/>
      </w:r>
      <w:r>
        <w:instrText xml:space="preserve"> PAGEREF _Toc13500 \h </w:instrText>
      </w:r>
      <w:r>
        <w:fldChar w:fldCharType="separate"/>
      </w:r>
      <w:r>
        <w:t>29</w:t>
      </w:r>
      <w:r>
        <w:fldChar w:fldCharType="end"/>
      </w:r>
      <w:r>
        <w:rPr>
          <w:rFonts w:hint="default" w:ascii="Times New Roman" w:hAnsi="Times New Roman" w:cs="Times New Roman" w:eastAsiaTheme="majorEastAsia"/>
        </w:rPr>
        <w:fldChar w:fldCharType="end"/>
      </w:r>
    </w:p>
    <w:p w14:paraId="5DFD823D">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_Toc14231 </w:instrText>
      </w:r>
      <w:r>
        <w:rPr>
          <w:rFonts w:hint="default" w:ascii="Times New Roman" w:hAnsi="Times New Roman" w:cs="Times New Roman" w:eastAsiaTheme="majorEastAsia"/>
        </w:rPr>
        <w:fldChar w:fldCharType="separate"/>
      </w:r>
      <w:r>
        <w:rPr>
          <w:rFonts w:hint="default"/>
        </w:rPr>
        <w:t xml:space="preserve">5.2.1 </w:t>
      </w:r>
      <w:r>
        <w:t>增量读取与偏移量持久化实现</w:t>
      </w:r>
      <w:r>
        <w:tab/>
      </w:r>
      <w:r>
        <w:fldChar w:fldCharType="begin"/>
      </w:r>
      <w:r>
        <w:instrText xml:space="preserve"> PAGEREF _Toc14231 \h </w:instrText>
      </w:r>
      <w:r>
        <w:fldChar w:fldCharType="separate"/>
      </w:r>
      <w:r>
        <w:t>30</w:t>
      </w:r>
      <w:r>
        <w:fldChar w:fldCharType="end"/>
      </w:r>
      <w:r>
        <w:rPr>
          <w:rFonts w:hint="default" w:ascii="Times New Roman" w:hAnsi="Times New Roman" w:cs="Times New Roman" w:eastAsiaTheme="majorEastAsia"/>
        </w:rPr>
        <w:fldChar w:fldCharType="end"/>
      </w:r>
    </w:p>
    <w:p w14:paraId="5310C68B">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_Toc8497 </w:instrText>
      </w:r>
      <w:r>
        <w:rPr>
          <w:rFonts w:hint="default" w:ascii="Times New Roman" w:hAnsi="Times New Roman" w:cs="Times New Roman" w:eastAsiaTheme="majorEastAsia"/>
        </w:rPr>
        <w:fldChar w:fldCharType="separate"/>
      </w:r>
      <w:r>
        <w:rPr>
          <w:rFonts w:hint="default"/>
        </w:rPr>
        <w:t xml:space="preserve">5.2.2 </w:t>
      </w:r>
      <w:r>
        <w:t>失败重试与状态同步实现</w:t>
      </w:r>
      <w:r>
        <w:tab/>
      </w:r>
      <w:r>
        <w:fldChar w:fldCharType="begin"/>
      </w:r>
      <w:r>
        <w:instrText xml:space="preserve"> PAGEREF _Toc8497 \h </w:instrText>
      </w:r>
      <w:r>
        <w:fldChar w:fldCharType="separate"/>
      </w:r>
      <w:r>
        <w:t>30</w:t>
      </w:r>
      <w:r>
        <w:fldChar w:fldCharType="end"/>
      </w:r>
      <w:r>
        <w:rPr>
          <w:rFonts w:hint="default" w:ascii="Times New Roman" w:hAnsi="Times New Roman" w:cs="Times New Roman" w:eastAsiaTheme="majorEastAsia"/>
        </w:rPr>
        <w:fldChar w:fldCharType="end"/>
      </w:r>
    </w:p>
    <w:p w14:paraId="6D06F7CB">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_Toc3793 </w:instrText>
      </w:r>
      <w:r>
        <w:rPr>
          <w:rFonts w:hint="default" w:ascii="Times New Roman" w:hAnsi="Times New Roman" w:cs="Times New Roman" w:eastAsiaTheme="majorEastAsia"/>
        </w:rPr>
        <w:fldChar w:fldCharType="separate"/>
      </w:r>
      <w:r>
        <w:rPr>
          <w:rFonts w:hint="default"/>
        </w:rPr>
        <w:t xml:space="preserve">5.3 </w:t>
      </w:r>
      <w:r>
        <w:t>后端服务与数据持久化实现</w:t>
      </w:r>
      <w:r>
        <w:tab/>
      </w:r>
      <w:r>
        <w:fldChar w:fldCharType="begin"/>
      </w:r>
      <w:r>
        <w:instrText xml:space="preserve"> PAGEREF _Toc3793 \h </w:instrText>
      </w:r>
      <w:r>
        <w:fldChar w:fldCharType="separate"/>
      </w:r>
      <w:r>
        <w:t>31</w:t>
      </w:r>
      <w:r>
        <w:fldChar w:fldCharType="end"/>
      </w:r>
      <w:r>
        <w:rPr>
          <w:rFonts w:hint="default" w:ascii="Times New Roman" w:hAnsi="Times New Roman" w:cs="Times New Roman" w:eastAsiaTheme="majorEastAsia"/>
        </w:rPr>
        <w:fldChar w:fldCharType="end"/>
      </w:r>
    </w:p>
    <w:p w14:paraId="44E28D50">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_Toc984 </w:instrText>
      </w:r>
      <w:r>
        <w:rPr>
          <w:rFonts w:hint="default" w:ascii="Times New Roman" w:hAnsi="Times New Roman" w:cs="Times New Roman" w:eastAsiaTheme="majorEastAsia"/>
        </w:rPr>
        <w:fldChar w:fldCharType="separate"/>
      </w:r>
      <w:r>
        <w:rPr>
          <w:rFonts w:hint="default"/>
        </w:rPr>
        <w:t xml:space="preserve">5.3.1 </w:t>
      </w:r>
      <w:r>
        <w:t>后端分层架构与核心接口实现</w:t>
      </w:r>
      <w:r>
        <w:tab/>
      </w:r>
      <w:r>
        <w:fldChar w:fldCharType="begin"/>
      </w:r>
      <w:r>
        <w:instrText xml:space="preserve"> PAGEREF _Toc984 \h </w:instrText>
      </w:r>
      <w:r>
        <w:fldChar w:fldCharType="separate"/>
      </w:r>
      <w:r>
        <w:t>31</w:t>
      </w:r>
      <w:r>
        <w:fldChar w:fldCharType="end"/>
      </w:r>
      <w:r>
        <w:rPr>
          <w:rFonts w:hint="default" w:ascii="Times New Roman" w:hAnsi="Times New Roman" w:cs="Times New Roman" w:eastAsiaTheme="majorEastAsia"/>
        </w:rPr>
        <w:fldChar w:fldCharType="end"/>
      </w:r>
    </w:p>
    <w:p w14:paraId="6F114706">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_Toc29566 </w:instrText>
      </w:r>
      <w:r>
        <w:rPr>
          <w:rFonts w:hint="default" w:ascii="Times New Roman" w:hAnsi="Times New Roman" w:cs="Times New Roman" w:eastAsiaTheme="majorEastAsia"/>
        </w:rPr>
        <w:fldChar w:fldCharType="separate"/>
      </w:r>
      <w:r>
        <w:rPr>
          <w:rFonts w:hint="default"/>
        </w:rPr>
        <w:t xml:space="preserve">5.3.2 </w:t>
      </w:r>
      <w:r>
        <w:t>日志入库、哈希计算与上链流程实现</w:t>
      </w:r>
      <w:r>
        <w:tab/>
      </w:r>
      <w:r>
        <w:fldChar w:fldCharType="begin"/>
      </w:r>
      <w:r>
        <w:instrText xml:space="preserve"> PAGEREF _Toc29566 \h </w:instrText>
      </w:r>
      <w:r>
        <w:fldChar w:fldCharType="separate"/>
      </w:r>
      <w:r>
        <w:t>32</w:t>
      </w:r>
      <w:r>
        <w:fldChar w:fldCharType="end"/>
      </w:r>
      <w:r>
        <w:rPr>
          <w:rFonts w:hint="default" w:ascii="Times New Roman" w:hAnsi="Times New Roman" w:cs="Times New Roman" w:eastAsiaTheme="majorEastAsia"/>
        </w:rPr>
        <w:fldChar w:fldCharType="end"/>
      </w:r>
    </w:p>
    <w:p w14:paraId="63FED75A">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_Toc24334 </w:instrText>
      </w:r>
      <w:r>
        <w:rPr>
          <w:rFonts w:hint="default" w:ascii="Times New Roman" w:hAnsi="Times New Roman" w:cs="Times New Roman" w:eastAsiaTheme="majorEastAsia"/>
        </w:rPr>
        <w:fldChar w:fldCharType="separate"/>
      </w:r>
      <w:r>
        <w:rPr>
          <w:rFonts w:hint="default"/>
        </w:rPr>
        <w:t xml:space="preserve">5.3.3 </w:t>
      </w:r>
      <w:r>
        <w:t>审计记录与告警数据表实现</w:t>
      </w:r>
      <w:r>
        <w:tab/>
      </w:r>
      <w:r>
        <w:fldChar w:fldCharType="begin"/>
      </w:r>
      <w:r>
        <w:instrText xml:space="preserve"> PAGEREF _Toc24334 \h </w:instrText>
      </w:r>
      <w:r>
        <w:fldChar w:fldCharType="separate"/>
      </w:r>
      <w:r>
        <w:t>33</w:t>
      </w:r>
      <w:r>
        <w:fldChar w:fldCharType="end"/>
      </w:r>
      <w:r>
        <w:rPr>
          <w:rFonts w:hint="default" w:ascii="Times New Roman" w:hAnsi="Times New Roman" w:cs="Times New Roman" w:eastAsiaTheme="majorEastAsia"/>
        </w:rPr>
        <w:fldChar w:fldCharType="end"/>
      </w:r>
    </w:p>
    <w:p w14:paraId="24B48037">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_Toc14534 </w:instrText>
      </w:r>
      <w:r>
        <w:rPr>
          <w:rFonts w:hint="default" w:ascii="Times New Roman" w:hAnsi="Times New Roman" w:cs="Times New Roman" w:eastAsiaTheme="majorEastAsia"/>
        </w:rPr>
        <w:fldChar w:fldCharType="separate"/>
      </w:r>
      <w:r>
        <w:rPr>
          <w:rFonts w:hint="default"/>
        </w:rPr>
        <w:t xml:space="preserve">5.4 </w:t>
      </w:r>
      <w:r>
        <w:t>前端可视化模块实现</w:t>
      </w:r>
      <w:r>
        <w:tab/>
      </w:r>
      <w:r>
        <w:fldChar w:fldCharType="begin"/>
      </w:r>
      <w:r>
        <w:instrText xml:space="preserve"> PAGEREF _Toc14534 \h </w:instrText>
      </w:r>
      <w:r>
        <w:fldChar w:fldCharType="separate"/>
      </w:r>
      <w:r>
        <w:t>33</w:t>
      </w:r>
      <w:r>
        <w:fldChar w:fldCharType="end"/>
      </w:r>
      <w:r>
        <w:rPr>
          <w:rFonts w:hint="default" w:ascii="Times New Roman" w:hAnsi="Times New Roman" w:cs="Times New Roman" w:eastAsiaTheme="majorEastAsia"/>
        </w:rPr>
        <w:fldChar w:fldCharType="end"/>
      </w:r>
    </w:p>
    <w:p w14:paraId="1898E379">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_Toc12947 </w:instrText>
      </w:r>
      <w:r>
        <w:rPr>
          <w:rFonts w:hint="default" w:ascii="Times New Roman" w:hAnsi="Times New Roman" w:cs="Times New Roman" w:eastAsiaTheme="majorEastAsia"/>
        </w:rPr>
        <w:fldChar w:fldCharType="separate"/>
      </w:r>
      <w:r>
        <w:rPr>
          <w:rFonts w:hint="default"/>
        </w:rPr>
        <w:t xml:space="preserve">5.4.1 </w:t>
      </w:r>
      <w:r>
        <w:t>系统总览与日志中心实现</w:t>
      </w:r>
      <w:r>
        <w:tab/>
      </w:r>
      <w:r>
        <w:fldChar w:fldCharType="begin"/>
      </w:r>
      <w:r>
        <w:instrText xml:space="preserve"> PAGEREF _Toc12947 \h </w:instrText>
      </w:r>
      <w:r>
        <w:fldChar w:fldCharType="separate"/>
      </w:r>
      <w:r>
        <w:t>33</w:t>
      </w:r>
      <w:r>
        <w:fldChar w:fldCharType="end"/>
      </w:r>
      <w:r>
        <w:rPr>
          <w:rFonts w:hint="default" w:ascii="Times New Roman" w:hAnsi="Times New Roman" w:cs="Times New Roman" w:eastAsiaTheme="majorEastAsia"/>
        </w:rPr>
        <w:fldChar w:fldCharType="end"/>
      </w:r>
    </w:p>
    <w:p w14:paraId="6E4E088B">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_Toc23487 </w:instrText>
      </w:r>
      <w:r>
        <w:rPr>
          <w:rFonts w:hint="default" w:ascii="Times New Roman" w:hAnsi="Times New Roman" w:cs="Times New Roman" w:eastAsiaTheme="majorEastAsia"/>
        </w:rPr>
        <w:fldChar w:fldCharType="separate"/>
      </w:r>
      <w:r>
        <w:rPr>
          <w:rFonts w:hint="default"/>
        </w:rPr>
        <w:t xml:space="preserve">5.4.2 </w:t>
      </w:r>
      <w:r>
        <w:t>审计管理与告警管理实现</w:t>
      </w:r>
      <w:r>
        <w:tab/>
      </w:r>
      <w:r>
        <w:fldChar w:fldCharType="begin"/>
      </w:r>
      <w:r>
        <w:instrText xml:space="preserve"> PAGEREF _Toc23487 \h </w:instrText>
      </w:r>
      <w:r>
        <w:fldChar w:fldCharType="separate"/>
      </w:r>
      <w:r>
        <w:t>34</w:t>
      </w:r>
      <w:r>
        <w:fldChar w:fldCharType="end"/>
      </w:r>
      <w:r>
        <w:rPr>
          <w:rFonts w:hint="default" w:ascii="Times New Roman" w:hAnsi="Times New Roman" w:cs="Times New Roman" w:eastAsiaTheme="majorEastAsia"/>
        </w:rPr>
        <w:fldChar w:fldCharType="end"/>
      </w:r>
    </w:p>
    <w:p w14:paraId="4029CBA0">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_Toc23089 </w:instrText>
      </w:r>
      <w:r>
        <w:rPr>
          <w:rFonts w:hint="default" w:ascii="Times New Roman" w:hAnsi="Times New Roman" w:cs="Times New Roman" w:eastAsiaTheme="majorEastAsia"/>
        </w:rPr>
        <w:fldChar w:fldCharType="separate"/>
      </w:r>
      <w:r>
        <w:rPr>
          <w:rFonts w:hint="default"/>
        </w:rPr>
        <w:t xml:space="preserve">5.5 </w:t>
      </w:r>
      <w:r>
        <w:t>功能测试与闭环验证</w:t>
      </w:r>
      <w:r>
        <w:tab/>
      </w:r>
      <w:r>
        <w:fldChar w:fldCharType="begin"/>
      </w:r>
      <w:r>
        <w:instrText xml:space="preserve"> PAGEREF _Toc23089 \h </w:instrText>
      </w:r>
      <w:r>
        <w:fldChar w:fldCharType="separate"/>
      </w:r>
      <w:r>
        <w:t>35</w:t>
      </w:r>
      <w:r>
        <w:fldChar w:fldCharType="end"/>
      </w:r>
      <w:r>
        <w:rPr>
          <w:rFonts w:hint="default" w:ascii="Times New Roman" w:hAnsi="Times New Roman" w:cs="Times New Roman" w:eastAsiaTheme="majorEastAsia"/>
        </w:rPr>
        <w:fldChar w:fldCharType="end"/>
      </w:r>
    </w:p>
    <w:p w14:paraId="6EFE2D71">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_Toc30700 </w:instrText>
      </w:r>
      <w:r>
        <w:rPr>
          <w:rFonts w:hint="default" w:ascii="Times New Roman" w:hAnsi="Times New Roman" w:cs="Times New Roman" w:eastAsiaTheme="majorEastAsia"/>
        </w:rPr>
        <w:fldChar w:fldCharType="separate"/>
      </w:r>
      <w:r>
        <w:rPr>
          <w:rFonts w:hint="default"/>
        </w:rPr>
        <w:t xml:space="preserve">5.5.1 </w:t>
      </w:r>
      <w:r>
        <w:t>智能合约功能测试</w:t>
      </w:r>
      <w:r>
        <w:tab/>
      </w:r>
      <w:r>
        <w:fldChar w:fldCharType="begin"/>
      </w:r>
      <w:r>
        <w:instrText xml:space="preserve"> PAGEREF _Toc30700 \h </w:instrText>
      </w:r>
      <w:r>
        <w:fldChar w:fldCharType="separate"/>
      </w:r>
      <w:r>
        <w:t>35</w:t>
      </w:r>
      <w:r>
        <w:fldChar w:fldCharType="end"/>
      </w:r>
      <w:r>
        <w:rPr>
          <w:rFonts w:hint="default" w:ascii="Times New Roman" w:hAnsi="Times New Roman" w:cs="Times New Roman" w:eastAsiaTheme="majorEastAsia"/>
        </w:rPr>
        <w:fldChar w:fldCharType="end"/>
      </w:r>
    </w:p>
    <w:p w14:paraId="57DFED2F">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_Toc32440 </w:instrText>
      </w:r>
      <w:r>
        <w:rPr>
          <w:rFonts w:hint="default" w:ascii="Times New Roman" w:hAnsi="Times New Roman" w:cs="Times New Roman" w:eastAsiaTheme="majorEastAsia"/>
        </w:rPr>
        <w:fldChar w:fldCharType="separate"/>
      </w:r>
      <w:r>
        <w:rPr>
          <w:rFonts w:hint="default"/>
        </w:rPr>
        <w:t xml:space="preserve">5.5.2 </w:t>
      </w:r>
      <w:r>
        <w:t>后端接口与审计闭环测试</w:t>
      </w:r>
      <w:r>
        <w:tab/>
      </w:r>
      <w:r>
        <w:fldChar w:fldCharType="begin"/>
      </w:r>
      <w:r>
        <w:instrText xml:space="preserve"> PAGEREF _Toc32440 \h </w:instrText>
      </w:r>
      <w:r>
        <w:fldChar w:fldCharType="separate"/>
      </w:r>
      <w:r>
        <w:t>35</w:t>
      </w:r>
      <w:r>
        <w:fldChar w:fldCharType="end"/>
      </w:r>
      <w:r>
        <w:rPr>
          <w:rFonts w:hint="default" w:ascii="Times New Roman" w:hAnsi="Times New Roman" w:cs="Times New Roman" w:eastAsiaTheme="majorEastAsia"/>
        </w:rPr>
        <w:fldChar w:fldCharType="end"/>
      </w:r>
    </w:p>
    <w:p w14:paraId="796BD3E2">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_Toc2252 </w:instrText>
      </w:r>
      <w:r>
        <w:rPr>
          <w:rFonts w:hint="default" w:ascii="Times New Roman" w:hAnsi="Times New Roman" w:cs="Times New Roman" w:eastAsiaTheme="majorEastAsia"/>
        </w:rPr>
        <w:fldChar w:fldCharType="separate"/>
      </w:r>
      <w:r>
        <w:rPr>
          <w:rFonts w:hint="default"/>
        </w:rPr>
        <w:t xml:space="preserve">5.5.3 </w:t>
      </w:r>
      <w:r>
        <w:t>Agent采集与前端展示测试</w:t>
      </w:r>
      <w:r>
        <w:tab/>
      </w:r>
      <w:r>
        <w:fldChar w:fldCharType="begin"/>
      </w:r>
      <w:r>
        <w:instrText xml:space="preserve"> PAGEREF _Toc2252 \h </w:instrText>
      </w:r>
      <w:r>
        <w:fldChar w:fldCharType="separate"/>
      </w:r>
      <w:r>
        <w:t>36</w:t>
      </w:r>
      <w:r>
        <w:fldChar w:fldCharType="end"/>
      </w:r>
      <w:r>
        <w:rPr>
          <w:rFonts w:hint="default" w:ascii="Times New Roman" w:hAnsi="Times New Roman" w:cs="Times New Roman" w:eastAsiaTheme="majorEastAsia"/>
        </w:rPr>
        <w:fldChar w:fldCharType="end"/>
      </w:r>
    </w:p>
    <w:p w14:paraId="49032E15">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_Toc5077 </w:instrText>
      </w:r>
      <w:r>
        <w:rPr>
          <w:rFonts w:hint="default" w:ascii="Times New Roman" w:hAnsi="Times New Roman" w:cs="Times New Roman" w:eastAsiaTheme="majorEastAsia"/>
        </w:rPr>
        <w:fldChar w:fldCharType="separate"/>
      </w:r>
      <w:r>
        <w:rPr>
          <w:rFonts w:hint="default"/>
        </w:rPr>
        <w:t xml:space="preserve">5.6 </w:t>
      </w:r>
      <w:r>
        <w:t>性能实验与篡改检测实验</w:t>
      </w:r>
      <w:r>
        <w:tab/>
      </w:r>
      <w:r>
        <w:fldChar w:fldCharType="begin"/>
      </w:r>
      <w:r>
        <w:instrText xml:space="preserve"> PAGEREF _Toc5077 \h </w:instrText>
      </w:r>
      <w:r>
        <w:fldChar w:fldCharType="separate"/>
      </w:r>
      <w:r>
        <w:t>36</w:t>
      </w:r>
      <w:r>
        <w:fldChar w:fldCharType="end"/>
      </w:r>
      <w:r>
        <w:rPr>
          <w:rFonts w:hint="default" w:ascii="Times New Roman" w:hAnsi="Times New Roman" w:cs="Times New Roman" w:eastAsiaTheme="majorEastAsia"/>
        </w:rPr>
        <w:fldChar w:fldCharType="end"/>
      </w:r>
    </w:p>
    <w:p w14:paraId="0CCB40D4">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_Toc10463 </w:instrText>
      </w:r>
      <w:r>
        <w:rPr>
          <w:rFonts w:hint="default" w:ascii="Times New Roman" w:hAnsi="Times New Roman" w:cs="Times New Roman" w:eastAsiaTheme="majorEastAsia"/>
        </w:rPr>
        <w:fldChar w:fldCharType="separate"/>
      </w:r>
      <w:r>
        <w:rPr>
          <w:rFonts w:hint="default"/>
        </w:rPr>
        <w:t xml:space="preserve">5.6.1 </w:t>
      </w:r>
      <w:r>
        <w:t>日志批量提交实验</w:t>
      </w:r>
      <w:r>
        <w:tab/>
      </w:r>
      <w:r>
        <w:fldChar w:fldCharType="begin"/>
      </w:r>
      <w:r>
        <w:instrText xml:space="preserve"> PAGEREF _Toc10463 \h </w:instrText>
      </w:r>
      <w:r>
        <w:fldChar w:fldCharType="separate"/>
      </w:r>
      <w:r>
        <w:t>37</w:t>
      </w:r>
      <w:r>
        <w:fldChar w:fldCharType="end"/>
      </w:r>
      <w:r>
        <w:rPr>
          <w:rFonts w:hint="default" w:ascii="Times New Roman" w:hAnsi="Times New Roman" w:cs="Times New Roman" w:eastAsiaTheme="majorEastAsia"/>
        </w:rPr>
        <w:fldChar w:fldCharType="end"/>
      </w:r>
    </w:p>
    <w:p w14:paraId="5CA9FC36">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_Toc29058 </w:instrText>
      </w:r>
      <w:r>
        <w:rPr>
          <w:rFonts w:hint="default" w:ascii="Times New Roman" w:hAnsi="Times New Roman" w:cs="Times New Roman" w:eastAsiaTheme="majorEastAsia"/>
        </w:rPr>
        <w:fldChar w:fldCharType="separate"/>
      </w:r>
      <w:r>
        <w:rPr>
          <w:rFonts w:hint="default"/>
        </w:rPr>
        <w:t xml:space="preserve">5.6.2 </w:t>
      </w:r>
      <w:r>
        <w:t>批量审计性能实验</w:t>
      </w:r>
      <w:r>
        <w:tab/>
      </w:r>
      <w:r>
        <w:fldChar w:fldCharType="begin"/>
      </w:r>
      <w:r>
        <w:instrText xml:space="preserve"> PAGEREF _Toc29058 \h </w:instrText>
      </w:r>
      <w:r>
        <w:fldChar w:fldCharType="separate"/>
      </w:r>
      <w:r>
        <w:t>37</w:t>
      </w:r>
      <w:r>
        <w:fldChar w:fldCharType="end"/>
      </w:r>
      <w:r>
        <w:rPr>
          <w:rFonts w:hint="default" w:ascii="Times New Roman" w:hAnsi="Times New Roman" w:cs="Times New Roman" w:eastAsiaTheme="majorEastAsia"/>
        </w:rPr>
        <w:fldChar w:fldCharType="end"/>
      </w:r>
    </w:p>
    <w:p w14:paraId="57245CEE">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_Toc16838 </w:instrText>
      </w:r>
      <w:r>
        <w:rPr>
          <w:rFonts w:hint="default" w:ascii="Times New Roman" w:hAnsi="Times New Roman" w:cs="Times New Roman" w:eastAsiaTheme="majorEastAsia"/>
        </w:rPr>
        <w:fldChar w:fldCharType="separate"/>
      </w:r>
      <w:r>
        <w:rPr>
          <w:rFonts w:hint="default"/>
        </w:rPr>
        <w:t xml:space="preserve">5.6.3 </w:t>
      </w:r>
      <w:r>
        <w:t>篡改检测实验与结果分析</w:t>
      </w:r>
      <w:r>
        <w:tab/>
      </w:r>
      <w:r>
        <w:fldChar w:fldCharType="begin"/>
      </w:r>
      <w:r>
        <w:instrText xml:space="preserve"> PAGEREF _Toc16838 \h </w:instrText>
      </w:r>
      <w:r>
        <w:fldChar w:fldCharType="separate"/>
      </w:r>
      <w:r>
        <w:t>38</w:t>
      </w:r>
      <w:r>
        <w:fldChar w:fldCharType="end"/>
      </w:r>
      <w:r>
        <w:rPr>
          <w:rFonts w:hint="default" w:ascii="Times New Roman" w:hAnsi="Times New Roman" w:cs="Times New Roman" w:eastAsiaTheme="majorEastAsia"/>
        </w:rPr>
        <w:fldChar w:fldCharType="end"/>
      </w:r>
    </w:p>
    <w:p w14:paraId="21C2AF76">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_Toc20008 </w:instrText>
      </w:r>
      <w:r>
        <w:rPr>
          <w:rFonts w:hint="default" w:ascii="Times New Roman" w:hAnsi="Times New Roman" w:cs="Times New Roman" w:eastAsiaTheme="majorEastAsia"/>
        </w:rPr>
        <w:fldChar w:fldCharType="separate"/>
      </w:r>
      <w:r>
        <w:rPr>
          <w:rFonts w:hint="default"/>
        </w:rPr>
        <w:t xml:space="preserve">5.7 </w:t>
      </w:r>
      <w:r>
        <w:t>本章小结</w:t>
      </w:r>
      <w:r>
        <w:tab/>
      </w:r>
      <w:r>
        <w:fldChar w:fldCharType="begin"/>
      </w:r>
      <w:r>
        <w:instrText xml:space="preserve"> PAGEREF _Toc20008 \h </w:instrText>
      </w:r>
      <w:r>
        <w:fldChar w:fldCharType="separate"/>
      </w:r>
      <w:r>
        <w:t>39</w:t>
      </w:r>
      <w:r>
        <w:fldChar w:fldCharType="end"/>
      </w:r>
      <w:r>
        <w:rPr>
          <w:rFonts w:hint="default" w:ascii="Times New Roman" w:hAnsi="Times New Roman" w:cs="Times New Roman" w:eastAsiaTheme="majorEastAsia"/>
        </w:rPr>
        <w:fldChar w:fldCharType="end"/>
      </w:r>
    </w:p>
    <w:p w14:paraId="2E6DED0E">
      <w:pPr>
        <w:pStyle w:val="11"/>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_Toc32358 </w:instrText>
      </w:r>
      <w:r>
        <w:rPr>
          <w:rFonts w:hint="default" w:ascii="Times New Roman" w:hAnsi="Times New Roman" w:cs="Times New Roman" w:eastAsiaTheme="majorEastAsia"/>
        </w:rPr>
        <w:fldChar w:fldCharType="separate"/>
      </w:r>
      <w:r>
        <w:rPr>
          <w:rFonts w:hint="default"/>
        </w:rPr>
        <w:t xml:space="preserve">6 </w:t>
      </w:r>
      <w:r>
        <w:t>总结与展望</w:t>
      </w:r>
      <w:r>
        <w:tab/>
      </w:r>
      <w:r>
        <w:fldChar w:fldCharType="begin"/>
      </w:r>
      <w:r>
        <w:instrText xml:space="preserve"> PAGEREF _Toc32358 \h </w:instrText>
      </w:r>
      <w:r>
        <w:fldChar w:fldCharType="separate"/>
      </w:r>
      <w:r>
        <w:t>40</w:t>
      </w:r>
      <w:r>
        <w:fldChar w:fldCharType="end"/>
      </w:r>
      <w:r>
        <w:rPr>
          <w:rFonts w:hint="default" w:ascii="Times New Roman" w:hAnsi="Times New Roman" w:cs="Times New Roman" w:eastAsiaTheme="majorEastAsia"/>
        </w:rPr>
        <w:fldChar w:fldCharType="end"/>
      </w:r>
    </w:p>
    <w:p w14:paraId="640760F7">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_Toc18094 </w:instrText>
      </w:r>
      <w:r>
        <w:rPr>
          <w:rFonts w:hint="default" w:ascii="Times New Roman" w:hAnsi="Times New Roman" w:cs="Times New Roman" w:eastAsiaTheme="majorEastAsia"/>
        </w:rPr>
        <w:fldChar w:fldCharType="separate"/>
      </w:r>
      <w:r>
        <w:rPr>
          <w:rFonts w:hint="default"/>
        </w:rPr>
        <w:t xml:space="preserve">6.1 </w:t>
      </w:r>
      <w:r>
        <w:t>研究工作总结</w:t>
      </w:r>
      <w:r>
        <w:tab/>
      </w:r>
      <w:r>
        <w:fldChar w:fldCharType="begin"/>
      </w:r>
      <w:r>
        <w:instrText xml:space="preserve"> PAGEREF _Toc18094 \h </w:instrText>
      </w:r>
      <w:r>
        <w:fldChar w:fldCharType="separate"/>
      </w:r>
      <w:r>
        <w:t>40</w:t>
      </w:r>
      <w:r>
        <w:fldChar w:fldCharType="end"/>
      </w:r>
      <w:r>
        <w:rPr>
          <w:rFonts w:hint="default" w:ascii="Times New Roman" w:hAnsi="Times New Roman" w:cs="Times New Roman" w:eastAsiaTheme="majorEastAsia"/>
        </w:rPr>
        <w:fldChar w:fldCharType="end"/>
      </w:r>
    </w:p>
    <w:p w14:paraId="08B37C83">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_Toc5952 </w:instrText>
      </w:r>
      <w:r>
        <w:rPr>
          <w:rFonts w:hint="default" w:ascii="Times New Roman" w:hAnsi="Times New Roman" w:cs="Times New Roman" w:eastAsiaTheme="majorEastAsia"/>
        </w:rPr>
        <w:fldChar w:fldCharType="separate"/>
      </w:r>
      <w:r>
        <w:rPr>
          <w:rFonts w:hint="default"/>
        </w:rPr>
        <w:t xml:space="preserve">6.2 </w:t>
      </w:r>
      <w:r>
        <w:t>系统创新点</w:t>
      </w:r>
      <w:r>
        <w:tab/>
      </w:r>
      <w:r>
        <w:fldChar w:fldCharType="begin"/>
      </w:r>
      <w:r>
        <w:instrText xml:space="preserve"> PAGEREF _Toc5952 \h </w:instrText>
      </w:r>
      <w:r>
        <w:fldChar w:fldCharType="separate"/>
      </w:r>
      <w:r>
        <w:t>40</w:t>
      </w:r>
      <w:r>
        <w:fldChar w:fldCharType="end"/>
      </w:r>
      <w:r>
        <w:rPr>
          <w:rFonts w:hint="default" w:ascii="Times New Roman" w:hAnsi="Times New Roman" w:cs="Times New Roman" w:eastAsiaTheme="majorEastAsia"/>
        </w:rPr>
        <w:fldChar w:fldCharType="end"/>
      </w:r>
    </w:p>
    <w:p w14:paraId="7827D941">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_Toc19454 </w:instrText>
      </w:r>
      <w:r>
        <w:rPr>
          <w:rFonts w:hint="default" w:ascii="Times New Roman" w:hAnsi="Times New Roman" w:cs="Times New Roman" w:eastAsiaTheme="majorEastAsia"/>
        </w:rPr>
        <w:fldChar w:fldCharType="separate"/>
      </w:r>
      <w:r>
        <w:rPr>
          <w:rFonts w:hint="default"/>
        </w:rPr>
        <w:t xml:space="preserve">6.3 </w:t>
      </w:r>
      <w:r>
        <w:t>存在不足</w:t>
      </w:r>
      <w:r>
        <w:tab/>
      </w:r>
      <w:r>
        <w:fldChar w:fldCharType="begin"/>
      </w:r>
      <w:r>
        <w:instrText xml:space="preserve"> PAGEREF _Toc19454 \h </w:instrText>
      </w:r>
      <w:r>
        <w:fldChar w:fldCharType="separate"/>
      </w:r>
      <w:r>
        <w:t>41</w:t>
      </w:r>
      <w:r>
        <w:fldChar w:fldCharType="end"/>
      </w:r>
      <w:r>
        <w:rPr>
          <w:rFonts w:hint="default" w:ascii="Times New Roman" w:hAnsi="Times New Roman" w:cs="Times New Roman" w:eastAsiaTheme="majorEastAsia"/>
        </w:rPr>
        <w:fldChar w:fldCharType="end"/>
      </w:r>
    </w:p>
    <w:p w14:paraId="5BEAA876">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_Toc4691 </w:instrText>
      </w:r>
      <w:r>
        <w:rPr>
          <w:rFonts w:hint="default" w:ascii="Times New Roman" w:hAnsi="Times New Roman" w:cs="Times New Roman" w:eastAsiaTheme="majorEastAsia"/>
        </w:rPr>
        <w:fldChar w:fldCharType="separate"/>
      </w:r>
      <w:r>
        <w:rPr>
          <w:rFonts w:hint="default"/>
        </w:rPr>
        <w:t xml:space="preserve">6.4 </w:t>
      </w:r>
      <w:r>
        <w:t>后续优化方向</w:t>
      </w:r>
      <w:r>
        <w:tab/>
      </w:r>
      <w:r>
        <w:fldChar w:fldCharType="begin"/>
      </w:r>
      <w:r>
        <w:instrText xml:space="preserve"> PAGEREF _Toc4691 \h </w:instrText>
      </w:r>
      <w:r>
        <w:fldChar w:fldCharType="separate"/>
      </w:r>
      <w:r>
        <w:t>41</w:t>
      </w:r>
      <w:r>
        <w:fldChar w:fldCharType="end"/>
      </w:r>
      <w:r>
        <w:rPr>
          <w:rFonts w:hint="default" w:ascii="Times New Roman" w:hAnsi="Times New Roman" w:cs="Times New Roman" w:eastAsiaTheme="majorEastAsia"/>
        </w:rPr>
        <w:fldChar w:fldCharType="end"/>
      </w:r>
    </w:p>
    <w:p w14:paraId="3326E452">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_Toc18899 </w:instrText>
      </w:r>
      <w:r>
        <w:rPr>
          <w:rFonts w:hint="default" w:ascii="Times New Roman" w:hAnsi="Times New Roman" w:cs="Times New Roman" w:eastAsiaTheme="majorEastAsia"/>
        </w:rPr>
        <w:fldChar w:fldCharType="separate"/>
      </w:r>
      <w:r>
        <w:rPr>
          <w:rFonts w:hint="default"/>
        </w:rPr>
        <w:t xml:space="preserve">6.5 </w:t>
      </w:r>
      <w:r>
        <w:t>本章小结</w:t>
      </w:r>
      <w:r>
        <w:tab/>
      </w:r>
      <w:r>
        <w:fldChar w:fldCharType="begin"/>
      </w:r>
      <w:r>
        <w:instrText xml:space="preserve"> PAGEREF _Toc18899 \h </w:instrText>
      </w:r>
      <w:r>
        <w:fldChar w:fldCharType="separate"/>
      </w:r>
      <w:r>
        <w:t>42</w:t>
      </w:r>
      <w:r>
        <w:fldChar w:fldCharType="end"/>
      </w:r>
      <w:r>
        <w:rPr>
          <w:rFonts w:hint="default" w:ascii="Times New Roman" w:hAnsi="Times New Roman" w:cs="Times New Roman" w:eastAsiaTheme="majorEastAsia"/>
        </w:rPr>
        <w:fldChar w:fldCharType="end"/>
      </w:r>
    </w:p>
    <w:p w14:paraId="1DC89422">
      <w:pPr>
        <w:pStyle w:val="11"/>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HYPERLINK \l _Toc6982 </w:instrText>
      </w:r>
      <w:r>
        <w:rPr>
          <w:rFonts w:hint="default" w:ascii="Times New Roman" w:hAnsi="Times New Roman" w:cs="Times New Roman" w:eastAsiaTheme="majorEastAsia"/>
        </w:rPr>
        <w:fldChar w:fldCharType="separate"/>
      </w:r>
      <w:r>
        <w:t>参考文献</w:t>
      </w:r>
      <w:r>
        <w:tab/>
      </w:r>
      <w:r>
        <w:fldChar w:fldCharType="begin"/>
      </w:r>
      <w:r>
        <w:instrText xml:space="preserve"> PAGEREF _Toc6982 \h </w:instrText>
      </w:r>
      <w:r>
        <w:fldChar w:fldCharType="separate"/>
      </w:r>
      <w:r>
        <w:t>43</w:t>
      </w:r>
      <w:r>
        <w:fldChar w:fldCharType="end"/>
      </w:r>
      <w:r>
        <w:rPr>
          <w:rFonts w:hint="default" w:ascii="Times New Roman" w:hAnsi="Times New Roman" w:cs="Times New Roman" w:eastAsiaTheme="majorEastAsia"/>
        </w:rPr>
        <w:fldChar w:fldCharType="end"/>
      </w:r>
    </w:p>
    <w:p w14:paraId="7A4DDBCF">
      <w:pPr>
        <w:spacing w:before="18" w:beforeLines="6"/>
        <w:ind w:left="435"/>
        <w:rPr>
          <w:rFonts w:hint="default" w:ascii="Times New Roman" w:hAnsi="Times New Roman" w:cs="Times New Roman" w:eastAsiaTheme="majorEastAsia"/>
        </w:rPr>
      </w:pPr>
      <w:r>
        <w:rPr>
          <w:rFonts w:hint="default" w:ascii="Times New Roman" w:hAnsi="Times New Roman" w:cs="Times New Roman" w:eastAsiaTheme="majorEastAsia"/>
        </w:rPr>
        <w:fldChar w:fldCharType="end"/>
      </w:r>
    </w:p>
    <w:p w14:paraId="29814D2A">
      <w:pPr>
        <w:spacing w:before="18" w:beforeLines="6"/>
        <w:ind w:left="435"/>
      </w:pPr>
    </w:p>
    <w:p w14:paraId="4F4749A9">
      <w:pPr>
        <w:spacing w:before="6"/>
        <w:ind w:right="29" w:rightChars="12"/>
        <w:jc w:val="center"/>
      </w:pPr>
    </w:p>
    <w:p w14:paraId="2C5C0516">
      <w:pPr>
        <w:spacing w:before="6"/>
        <w:ind w:right="29" w:rightChars="12"/>
        <w:jc w:val="center"/>
      </w:pPr>
    </w:p>
    <w:p w14:paraId="283BFC84">
      <w:pPr>
        <w:spacing w:before="6"/>
        <w:ind w:right="29" w:rightChars="12"/>
        <w:jc w:val="center"/>
      </w:pPr>
    </w:p>
    <w:p w14:paraId="1F1EBFAC">
      <w:pPr>
        <w:spacing w:before="6"/>
        <w:ind w:right="29" w:rightChars="12"/>
        <w:jc w:val="center"/>
      </w:pPr>
    </w:p>
    <w:p w14:paraId="7F763E49">
      <w:pPr>
        <w:spacing w:before="6"/>
        <w:ind w:right="29" w:rightChars="12"/>
        <w:jc w:val="center"/>
      </w:pPr>
    </w:p>
    <w:p w14:paraId="4118D3C6">
      <w:pPr>
        <w:spacing w:before="6"/>
        <w:ind w:right="29" w:rightChars="12"/>
        <w:jc w:val="center"/>
        <w:rPr>
          <w:rFonts w:ascii="黑体" w:eastAsia="黑体"/>
          <w:szCs w:val="21"/>
        </w:rPr>
      </w:pPr>
    </w:p>
    <w:p w14:paraId="7094742F">
      <w:pPr>
        <w:spacing w:before="6"/>
        <w:ind w:right="29" w:rightChars="12"/>
        <w:jc w:val="center"/>
        <w:rPr>
          <w:rFonts w:ascii="黑体" w:eastAsia="黑体"/>
          <w:szCs w:val="21"/>
        </w:rPr>
      </w:pPr>
    </w:p>
    <w:p w14:paraId="465F62BB">
      <w:pPr>
        <w:ind w:right="29" w:rightChars="12"/>
        <w:rPr>
          <w:rFonts w:ascii="宋体" w:hAnsi="宋体"/>
          <w:b/>
          <w:sz w:val="36"/>
          <w:szCs w:val="36"/>
        </w:rP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p>
    <w:p w14:paraId="2231564D">
      <w:pPr>
        <w:ind w:right="29" w:rightChars="12"/>
        <w:rPr>
          <w:rFonts w:ascii="宋体" w:hAnsi="宋体"/>
          <w:b/>
          <w:sz w:val="36"/>
          <w:szCs w:val="36"/>
        </w:rPr>
      </w:pPr>
    </w:p>
    <w:p w14:paraId="0BD90532">
      <w:pPr>
        <w:pStyle w:val="2"/>
        <w:bidi w:val="0"/>
        <w:rPr>
          <w:rFonts w:hint="eastAsia"/>
        </w:rPr>
      </w:pPr>
      <w:bookmarkStart w:id="11" w:name="_Toc105491690"/>
      <w:bookmarkStart w:id="12" w:name="_Toc16200"/>
      <w:bookmarkStart w:id="13" w:name="_Toc24959"/>
      <w:r>
        <w:rPr>
          <w:rFonts w:hint="eastAsia"/>
        </w:rPr>
        <w:t>绪论</w:t>
      </w:r>
      <w:bookmarkEnd w:id="11"/>
      <w:bookmarkEnd w:id="12"/>
      <w:bookmarkEnd w:id="13"/>
    </w:p>
    <w:p w14:paraId="0BFCD8E6">
      <w:pPr>
        <w:ind w:right="29" w:rightChars="12"/>
        <w:jc w:val="center"/>
        <w:outlineLvl w:val="0"/>
        <w:rPr>
          <w:rFonts w:hint="eastAsia" w:ascii="黑体" w:eastAsia="黑体"/>
          <w:bCs/>
          <w:color w:val="000000" w:themeColor="text1"/>
          <w:sz w:val="32"/>
          <w:szCs w:val="32"/>
          <w14:textFill>
            <w14:solidFill>
              <w14:schemeClr w14:val="tx1"/>
            </w14:solidFill>
          </w14:textFill>
        </w:rPr>
      </w:pPr>
    </w:p>
    <w:p w14:paraId="1FA8FFF2">
      <w:pPr>
        <w:pStyle w:val="3"/>
        <w:bidi w:val="0"/>
        <w:rPr>
          <w:rFonts w:hint="eastAsia"/>
        </w:rPr>
      </w:pPr>
      <w:bookmarkStart w:id="14" w:name="_Toc26365"/>
      <w:bookmarkStart w:id="15" w:name="_Toc31636"/>
      <w:r>
        <w:rPr>
          <w:rFonts w:hint="eastAsia"/>
        </w:rPr>
        <w:t>研究背景及意义</w:t>
      </w:r>
      <w:bookmarkEnd w:id="14"/>
      <w:bookmarkEnd w:id="15"/>
    </w:p>
    <w:p w14:paraId="0407ECA8">
      <w:pPr>
        <w:spacing w:line="360" w:lineRule="auto"/>
        <w:ind w:firstLine="420"/>
        <w:jc w:val="both"/>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w:t>
      </w:r>
      <w:r>
        <w:rPr>
          <w:rFonts w:hint="default"/>
          <w:vertAlign w:val="superscript"/>
          <w:lang w:val="en-US"/>
        </w:rPr>
        <w:fldChar w:fldCharType="begin"/>
      </w:r>
      <w:r>
        <w:rPr>
          <w:rFonts w:hint="default"/>
          <w:vertAlign w:val="superscript"/>
          <w:lang w:val="en-US"/>
        </w:rPr>
        <w:instrText xml:space="preserve"> REF _Ref229 \r \h </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jc w:val="both"/>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已有研究将区块链用于可信日志存储与验证，通过链上数据指纹与本地数据指纹比对识别日志内容被修改的情况</w:t>
      </w:r>
      <w:r>
        <w:rPr>
          <w:rFonts w:hint="default"/>
          <w:vertAlign w:val="superscript"/>
          <w:lang w:val="en-US"/>
        </w:rPr>
        <w:fldChar w:fldCharType="begin"/>
      </w:r>
      <w:r>
        <w:rPr>
          <w:rFonts w:hint="default"/>
          <w:vertAlign w:val="superscript"/>
          <w:lang w:val="en-US"/>
        </w:rPr>
        <w:instrText xml:space="preserve"> REF _Ref304 \r \h </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t>。区块链通过密码学结构和分布式账本机制，为可信数据记录提供了新的技术路径</w:t>
      </w:r>
      <w:r>
        <w:rPr>
          <w:rFonts w:hint="default"/>
          <w:vertAlign w:val="superscript"/>
          <w:lang w:val="en-US"/>
        </w:rPr>
        <w:fldChar w:fldCharType="begin"/>
      </w:r>
      <w:r>
        <w:rPr>
          <w:rFonts w:hint="default"/>
          <w:vertAlign w:val="superscript"/>
          <w:lang w:val="en-US"/>
        </w:rPr>
        <w:instrText xml:space="preserve"> REF _Ref373 \r \h </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。基于这一问题，本文围绕“基于区块链的可信任务日志审计系统设计与实现”展开研究，构建从日志采集、链下存储、链上存证、审计比对、异常告警到前端展示的原型系统。</w:t>
      </w:r>
    </w:p>
    <w:p w14:paraId="4A2B1AB8">
      <w:pPr>
        <w:spacing w:line="360" w:lineRule="auto"/>
        <w:ind w:firstLine="420"/>
        <w:jc w:val="both"/>
        <w:rPr>
          <w:rFonts w:hint="eastAsia" w:ascii="黑体" w:eastAsia="黑体"/>
          <w:color w:val="000000" w:themeColor="text1"/>
          <w:sz w:val="28"/>
          <w:szCs w:val="28"/>
          <w14:textFill>
            <w14:solidFill>
              <w14:schemeClr w14:val="tx1"/>
            </w14:solidFill>
          </w14:textFill>
        </w:rPr>
      </w:pPr>
      <w:r>
        <w:t>从工程实现角度看，系统将Agent增量采集、Express后端服务、SQLite链下存储、LogRegistry智能合约、审计告警和React前端展示组织为连续流程，使日志在产生后能够被采集、存证、核验和展示，为后续实验验证提供了完整运行环境。</w:t>
      </w:r>
    </w:p>
    <w:p w14:paraId="316FA3E8">
      <w:pPr>
        <w:pStyle w:val="3"/>
        <w:bidi w:val="0"/>
        <w:rPr>
          <w:rFonts w:hint="eastAsia"/>
        </w:rPr>
      </w:pPr>
      <w:bookmarkStart w:id="16" w:name="_Toc28439"/>
      <w:bookmarkStart w:id="17" w:name="_Toc18568"/>
      <w:r>
        <w:rPr>
          <w:rFonts w:hint="eastAsia"/>
        </w:rPr>
        <w:t>国内外研究现状</w:t>
      </w:r>
      <w:bookmarkEnd w:id="16"/>
      <w:bookmarkEnd w:id="17"/>
    </w:p>
    <w:p w14:paraId="1BCA4F64">
      <w:pPr>
        <w:bidi w:val="0"/>
        <w:ind w:firstLine="480" w:firstLineChars="200"/>
        <w:jc w:val="both"/>
      </w:pPr>
      <w:r>
        <w:t>近年来，数据可信存证、日志审计和智能合约可信管理等方向持续发展。从可信数据管理角度看，区块链可在不完全可信环境中增强数据完整性、可追溯性和不可抵赖性</w:t>
      </w:r>
      <w:r>
        <w:rPr>
          <w:rFonts w:hint="default"/>
          <w:vertAlign w:val="superscript"/>
          <w:lang w:val="en-US"/>
        </w:rPr>
        <w:fldChar w:fldCharType="begin"/>
      </w:r>
      <w:r>
        <w:rPr>
          <w:rFonts w:hint="default"/>
          <w:vertAlign w:val="superscript"/>
          <w:lang w:val="en-US"/>
        </w:rPr>
        <w:instrText xml:space="preserve"> REF _Ref428 \r \h </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t>。区块链在信息安全领域的研究已覆盖认证、访问控制和数据保护等方向</w:t>
      </w:r>
      <w:r>
        <w:rPr>
          <w:rFonts w:hint="default"/>
          <w:vertAlign w:val="superscript"/>
          <w:lang w:val="en-US"/>
        </w:rPr>
        <w:fldChar w:fldCharType="begin"/>
      </w:r>
      <w:r>
        <w:rPr>
          <w:rFonts w:hint="default"/>
          <w:vertAlign w:val="superscript"/>
          <w:lang w:val="en-US"/>
        </w:rPr>
        <w:instrText xml:space="preserve"> REF _Ref474 \r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34C82EB0">
      <w:pPr>
        <w:bidi w:val="0"/>
        <w:ind w:firstLine="480" w:firstLineChars="200"/>
        <w:jc w:val="both"/>
        <w:rPr>
          <w:rFonts w:hint="eastAsia"/>
        </w:rPr>
      </w:pPr>
      <w:bookmarkStart w:id="18" w:name="_Toc4181"/>
      <w:r>
        <w:t>在上述研究基础上，本文面向任务日志审计场景，将Agent自动采集、Server后端处理、SQLite链下存储、LogRegistry合约存证、三方哈希比对和Web前端展示结合起来，重点验证可信日志审计机制在完整工程链路中的可行性。</w:t>
      </w:r>
      <w:bookmarkEnd w:id="18"/>
    </w:p>
    <w:p w14:paraId="22EFCF94">
      <w:pPr>
        <w:pStyle w:val="4"/>
        <w:bidi w:val="0"/>
        <w:rPr>
          <w:rFonts w:hint="eastAsia"/>
        </w:rPr>
      </w:pPr>
      <w:bookmarkStart w:id="19" w:name="_Toc11641"/>
      <w:bookmarkStart w:id="20" w:name="_Toc20561"/>
      <w:r>
        <w:rPr>
          <w:rFonts w:hint="eastAsia"/>
        </w:rPr>
        <w:t>区块链存证技术研究现状</w:t>
      </w:r>
      <w:bookmarkEnd w:id="19"/>
      <w:bookmarkEnd w:id="20"/>
    </w:p>
    <w:p w14:paraId="121D3F52">
      <w:pPr>
        <w:bidi w:val="0"/>
        <w:ind w:firstLine="480" w:firstLineChars="200"/>
        <w:jc w:val="both"/>
      </w:pPr>
      <w:r>
        <w:t>区块链存证技术是区块链在数据可信证明领域的重要应用方向。区块链数字取证研究关注证据获取、保全和呈现过程中的可信记录与链下扩展存储</w:t>
      </w:r>
      <w:r>
        <w:rPr>
          <w:rFonts w:hint="default"/>
          <w:vertAlign w:val="superscript"/>
          <w:lang w:val="en-US"/>
        </w:rPr>
        <w:fldChar w:fldCharType="begin"/>
      </w:r>
      <w:r>
        <w:rPr>
          <w:rFonts w:hint="default"/>
          <w:vertAlign w:val="superscript"/>
          <w:lang w:val="en-US"/>
        </w:rPr>
        <w:instrText xml:space="preserve"> REF _Ref536 \r \h </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t>。记录可信并不只由区块链技术本身决定，还依赖证据生成、登记、保存和验证流程之间的配合</w:t>
      </w:r>
      <w:r>
        <w:rPr>
          <w:rFonts w:hint="default"/>
          <w:vertAlign w:val="superscript"/>
          <w:lang w:val="en-US"/>
        </w:rPr>
        <w:fldChar w:fldCharType="begin"/>
      </w:r>
      <w:r>
        <w:rPr>
          <w:rFonts w:hint="default"/>
          <w:vertAlign w:val="superscript"/>
          <w:lang w:val="en-US"/>
        </w:rPr>
        <w:instrText xml:space="preserve"> REF _Ref572 \r \h </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t>。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区块链也可通过区块结构、交易记录和共识机制为链下数据提供可追溯的外部参照</w:t>
      </w:r>
      <w:r>
        <w:rPr>
          <w:rFonts w:hint="default"/>
          <w:vertAlign w:val="superscript"/>
          <w:lang w:val="en-US"/>
        </w:rPr>
        <w:fldChar w:fldCharType="begin"/>
      </w:r>
      <w:r>
        <w:rPr>
          <w:rFonts w:hint="default"/>
          <w:vertAlign w:val="superscript"/>
          <w:lang w:val="en-US"/>
        </w:rPr>
        <w:instrText xml:space="preserve"> REF _Ref615 \r \h </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。在数据溯源研究中，区块链被用于保存链下数据的关键状态和追溯依据</w:t>
      </w:r>
      <w:r>
        <w:rPr>
          <w:rFonts w:hint="default"/>
          <w:vertAlign w:val="superscript"/>
          <w:lang w:val="en-US"/>
        </w:rPr>
        <w:fldChar w:fldCharType="begin"/>
      </w:r>
      <w:r>
        <w:rPr>
          <w:rFonts w:hint="default"/>
          <w:vertAlign w:val="superscript"/>
          <w:lang w:val="en-US"/>
        </w:rPr>
        <w:instrText xml:space="preserve"> REF _Ref651 \r \h </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284FAC66">
      <w:pPr>
        <w:bidi w:val="0"/>
        <w:ind w:firstLine="480" w:firstLineChars="200"/>
        <w:jc w:val="both"/>
        <w:rPr>
          <w:rFonts w:hint="eastAsia"/>
        </w:rPr>
      </w:pPr>
      <w:bookmarkStart w:id="21" w:name="_Toc29736"/>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链上链下结合的日志安全存储研究说明，将日志原文与摘要证据分层保存是日志完整性保护中的可行思路</w:t>
      </w:r>
      <w:r>
        <w:rPr>
          <w:rFonts w:hint="default"/>
          <w:vertAlign w:val="superscript"/>
          <w:lang w:val="en-US"/>
        </w:rPr>
        <w:fldChar w:fldCharType="begin"/>
      </w:r>
      <w:r>
        <w:rPr>
          <w:rFonts w:hint="default"/>
          <w:vertAlign w:val="superscript"/>
          <w:lang w:val="en-US"/>
        </w:rPr>
        <w:instrText xml:space="preserve"> REF _Ref726 \r \h </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t>。需要注意的是，摘要上链只能证明某个摘要被登记，不能单独保证采集过程完整，因此还需要结合链下数据库、自动采集和审计比对机制。本文正是在这一思路下，将SQLite链下存储与LogRegistry链上哈希存证结合起来。</w:t>
      </w:r>
      <w:bookmarkEnd w:id="21"/>
    </w:p>
    <w:p w14:paraId="64FB2180">
      <w:pPr>
        <w:pStyle w:val="4"/>
        <w:bidi w:val="0"/>
        <w:rPr>
          <w:rFonts w:hint="eastAsia"/>
        </w:rPr>
      </w:pPr>
      <w:bookmarkStart w:id="22" w:name="_Toc8051"/>
      <w:bookmarkStart w:id="23" w:name="_Toc19714"/>
      <w:r>
        <w:rPr>
          <w:rFonts w:hint="eastAsia"/>
        </w:rPr>
        <w:t>日志审计与完整性校验研究现状</w:t>
      </w:r>
      <w:bookmarkEnd w:id="22"/>
      <w:bookmarkEnd w:id="23"/>
    </w:p>
    <w:p w14:paraId="180A78E4">
      <w:pPr>
        <w:spacing w:line="360" w:lineRule="auto"/>
        <w:ind w:firstLine="420"/>
        <w:jc w:val="both"/>
        <w:rPr>
          <w:rFonts w:hint="eastAsia"/>
        </w:rPr>
      </w:pPr>
      <w:r>
        <w:rPr>
          <w:rFonts w:hint="eastAsia"/>
        </w:rPr>
        <w:t>日志审计是信息系统安全管理和运行维护中的重要内容。已有研究和工程实践通常围绕日志采集、集中存储、查询分析、异常检测和审计追溯展开。防篡改审计日志研究强调日志完整性保护对事后取证和责任追溯的重要性</w:t>
      </w:r>
      <w:r>
        <w:rPr>
          <w:rFonts w:hint="eastAsia"/>
          <w:vertAlign w:val="superscript"/>
          <w:lang w:eastAsia="zh-CN"/>
        </w:rPr>
        <w:fldChar w:fldCharType="begin"/>
      </w:r>
      <w:r>
        <w:rPr>
          <w:rFonts w:hint="eastAsia"/>
          <w:vertAlign w:val="superscript"/>
          <w:lang w:eastAsia="zh-CN"/>
        </w:rPr>
        <w:instrText xml:space="preserve"> REF _Ref788 \r \h </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rPr>
        <w:t>。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安全日志研究通常关注日志生成、存储和验证阶段的完整性保护机制</w:t>
      </w:r>
      <w:r>
        <w:rPr>
          <w:rFonts w:hint="eastAsia"/>
          <w:vertAlign w:val="superscript"/>
          <w:lang w:eastAsia="zh-CN"/>
        </w:rPr>
        <w:fldChar w:fldCharType="begin"/>
      </w:r>
      <w:r>
        <w:rPr>
          <w:rFonts w:hint="eastAsia"/>
          <w:vertAlign w:val="superscript"/>
          <w:lang w:eastAsia="zh-CN"/>
        </w:rPr>
        <w:instrText xml:space="preserve"> REF _Ref833 \r \h </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rPr>
        <w:t>。传统日志审计系统通常采用集中式日志平台或数据库保存日志数据。该方式便于统一检索、聚合分析和可视化展示，但在完整性保护方面仍存在不足。区块链防篡改日志研究表明，链上记录可增强日志事后验证与篡改识别能力</w:t>
      </w:r>
      <w:r>
        <w:rPr>
          <w:rFonts w:hint="eastAsia"/>
          <w:vertAlign w:val="superscript"/>
          <w:lang w:eastAsia="zh-CN"/>
        </w:rPr>
        <w:fldChar w:fldCharType="begin"/>
      </w:r>
      <w:r>
        <w:rPr>
          <w:rFonts w:hint="eastAsia"/>
          <w:vertAlign w:val="superscript"/>
          <w:lang w:eastAsia="zh-CN"/>
        </w:rPr>
        <w:instrText xml:space="preserve"> REF _Ref863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rPr>
        <w:t>。</w:t>
      </w:r>
    </w:p>
    <w:p w14:paraId="544793BB">
      <w:pPr>
        <w:spacing w:line="360" w:lineRule="auto"/>
        <w:ind w:firstLine="420"/>
        <w:jc w:val="both"/>
        <w:rPr>
          <w:rFonts w:hint="eastAsia"/>
        </w:rPr>
      </w:pPr>
      <w:r>
        <w:rPr>
          <w:rFonts w:hint="eastAsia"/>
        </w:rP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自动化日志分析研究覆盖日志解析、异常检测和可靠性分析等方向，但本文实现重点仍是哈希完整性审计</w:t>
      </w:r>
      <w:r>
        <w:rPr>
          <w:rFonts w:hint="eastAsia"/>
          <w:lang w:eastAsia="zh-CN"/>
        </w:rPr>
        <w:fldChar w:fldCharType="begin"/>
      </w:r>
      <w:r>
        <w:rPr>
          <w:rFonts w:hint="eastAsia"/>
          <w:lang w:eastAsia="zh-CN"/>
        </w:rPr>
        <w:instrText xml:space="preserve"> REF _Ref895 \r \h </w:instrText>
      </w:r>
      <w:r>
        <w:rPr>
          <w:rFonts w:hint="eastAsia"/>
          <w:lang w:eastAsia="zh-CN"/>
        </w:rPr>
        <w:fldChar w:fldCharType="separate"/>
      </w:r>
      <w:r>
        <w:rPr>
          <w:rFonts w:hint="eastAsia"/>
          <w:lang w:eastAsia="zh-CN"/>
        </w:rPr>
        <w:t>[14]</w:t>
      </w:r>
      <w:r>
        <w:rPr>
          <w:rFonts w:hint="eastAsia"/>
          <w:lang w:eastAsia="zh-CN"/>
        </w:rPr>
        <w:fldChar w:fldCharType="end"/>
      </w:r>
      <w:r>
        <w:rPr>
          <w:rFonts w:hint="eastAsia"/>
        </w:rPr>
        <w:t>。深度学习日志异常检测属于相关研究方向，本文不实现该类语义检测，而聚焦日志内容是否与存证时一致</w:t>
      </w:r>
      <w:r>
        <w:rPr>
          <w:rFonts w:hint="eastAsia"/>
          <w:vertAlign w:val="superscript"/>
          <w:lang w:eastAsia="zh-CN"/>
        </w:rPr>
        <w:fldChar w:fldCharType="begin"/>
      </w:r>
      <w:r>
        <w:rPr>
          <w:rFonts w:hint="eastAsia"/>
          <w:vertAlign w:val="superscript"/>
          <w:lang w:eastAsia="zh-CN"/>
        </w:rPr>
        <w:instrText xml:space="preserve"> REF _Ref931 \r \h </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rPr>
        <w:t>。本课题面向上述问题，设计Agent自动采集、三方哈希比对和hash_mismatch告警机制，以提高日志审计过程的完整性和可观察性。</w:t>
      </w:r>
    </w:p>
    <w:p w14:paraId="1141294F">
      <w:pPr>
        <w:pStyle w:val="4"/>
        <w:bidi w:val="0"/>
        <w:rPr>
          <w:rFonts w:hint="eastAsia"/>
        </w:rPr>
      </w:pPr>
      <w:bookmarkStart w:id="24" w:name="_Toc11785"/>
      <w:bookmarkStart w:id="25" w:name="_Toc21139"/>
      <w:r>
        <w:rPr>
          <w:rFonts w:hint="eastAsia"/>
        </w:rPr>
        <w:t>智能合约在可信审计中的应用现状</w:t>
      </w:r>
      <w:bookmarkEnd w:id="24"/>
      <w:bookmarkEnd w:id="25"/>
    </w:p>
    <w:p w14:paraId="49DE6CC5">
      <w:pPr>
        <w:spacing w:line="360" w:lineRule="auto"/>
        <w:ind w:firstLine="420"/>
        <w:jc w:val="both"/>
      </w:pPr>
      <w:r>
        <w:t>智能合约能够将预先定义的业务规则部署到区块链网络中，并按照合约逻辑自动执行。智能合约可将链上规则、状态和事件组织为可验证的程序化执行机制</w:t>
      </w:r>
      <w:r>
        <w:rPr>
          <w:rFonts w:hint="default"/>
          <w:vertAlign w:val="superscript"/>
          <w:lang w:val="en-US"/>
        </w:rPr>
        <w:fldChar w:fldCharType="begin"/>
      </w:r>
      <w:r>
        <w:rPr>
          <w:rFonts w:hint="default"/>
          <w:vertAlign w:val="superscript"/>
          <w:lang w:val="en-US"/>
        </w:rPr>
        <w:instrText xml:space="preserve"> REF _Ref1007 \r \h </w:instrText>
      </w:r>
      <w:r>
        <w:rPr>
          <w:rFonts w:hint="default"/>
          <w:vertAlign w:val="superscript"/>
          <w:lang w:val="en-US"/>
        </w:rPr>
        <w:fldChar w:fldCharType="separate"/>
      </w:r>
      <w:r>
        <w:rPr>
          <w:rFonts w:hint="default"/>
          <w:vertAlign w:val="superscript"/>
          <w:lang w:val="en-US"/>
        </w:rPr>
        <w:t>[16]</w:t>
      </w:r>
      <w:r>
        <w:rPr>
          <w:rFonts w:hint="default"/>
          <w:vertAlign w:val="superscript"/>
          <w:lang w:val="en-US"/>
        </w:rPr>
        <w:fldChar w:fldCharType="end"/>
      </w:r>
      <w:r>
        <w:t>。由于合约状态和交易记录可以在链上追溯，智能合约在可信审计场景中常用于固化写入规则、限定操作权限、保存证据摘要、提供查询接口和记录事件信息。智能合约能够把预先定义的规则部署到区块链上，并通过链上调用和状态记录提供可追溯执行依据</w:t>
      </w:r>
      <w:r>
        <w:rPr>
          <w:rFonts w:hint="default"/>
          <w:vertAlign w:val="superscript"/>
          <w:lang w:val="en-US"/>
        </w:rPr>
        <w:fldChar w:fldCharType="begin"/>
      </w:r>
      <w:r>
        <w:rPr>
          <w:rFonts w:hint="default"/>
          <w:vertAlign w:val="superscript"/>
          <w:lang w:val="en-US"/>
        </w:rPr>
        <w:instrText xml:space="preserve"> REF _Ref1042 \r \h </w:instrText>
      </w:r>
      <w:r>
        <w:rPr>
          <w:rFonts w:hint="default"/>
          <w:vertAlign w:val="superscript"/>
          <w:lang w:val="en-US"/>
        </w:rPr>
        <w:fldChar w:fldCharType="separate"/>
      </w:r>
      <w:r>
        <w:rPr>
          <w:rFonts w:hint="default"/>
          <w:vertAlign w:val="superscript"/>
          <w:lang w:val="en-US"/>
        </w:rPr>
        <w:t>[17]</w:t>
      </w:r>
      <w:r>
        <w:rPr>
          <w:rFonts w:hint="default"/>
          <w:vertAlign w:val="superscript"/>
          <w:lang w:val="en-US"/>
        </w:rPr>
        <w:fldChar w:fldCharType="end"/>
      </w:r>
      <w:r>
        <w:t>。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582FE311">
      <w:pPr>
        <w:spacing w:line="360" w:lineRule="auto"/>
        <w:ind w:firstLine="420"/>
        <w:jc w:val="both"/>
        <w:rPr>
          <w:rFonts w:hint="eastAsia"/>
          <w:lang w:eastAsia="zh-CN"/>
        </w:rPr>
      </w:pPr>
      <w:r>
        <w:t>后续审计时，链下系统可以根据业务标识查询链上记录，再与本地数据库记录和重新计算得到的哈希进行比对。通过这种方式，智能合约成为链下业务数据与链上可信证据之间的连接层。本系统中的LogRegistry合约采用</w:t>
      </w:r>
      <w:r>
        <w:rPr>
          <w:rFonts w:hint="eastAsia"/>
          <w:lang w:eastAsia="zh-CN"/>
        </w:rPr>
        <w:t>。</w:t>
      </w:r>
    </w:p>
    <w:p w14:paraId="3305710A">
      <w:pPr>
        <w:spacing w:line="360" w:lineRule="auto"/>
        <w:ind w:firstLine="420"/>
        <w:jc w:val="both"/>
        <w:rPr>
          <w:rFonts w:hint="eastAsia" w:ascii="黑体" w:hAnsi="黑体" w:eastAsia="黑体"/>
          <w:color w:val="000000" w:themeColor="text1"/>
          <w:sz w:val="28"/>
          <w:szCs w:val="28"/>
          <w14:textFill>
            <w14:solidFill>
              <w14:schemeClr w14:val="tx1"/>
            </w14:solidFill>
          </w14:textFill>
        </w:rPr>
      </w:pPr>
      <w:r>
        <w:t>AccessControl管理LOGGER_ROLE，只有被授权地址才能调用storeLog写入日志哈希。与此同时，智能合约在固化规则的同时也存在攻击面和权限配置风险，因此权限边界和输入约束需要在设计阶段明确</w:t>
      </w:r>
      <w:r>
        <w:rPr>
          <w:rFonts w:hint="default"/>
          <w:vertAlign w:val="superscript"/>
          <w:lang w:val="en-US"/>
        </w:rPr>
        <w:fldChar w:fldCharType="begin"/>
      </w:r>
      <w:r>
        <w:rPr>
          <w:rFonts w:hint="default"/>
          <w:vertAlign w:val="superscript"/>
          <w:lang w:val="en-US"/>
        </w:rPr>
        <w:instrText xml:space="preserve"> REF _Ref1091 \r \h </w:instrText>
      </w:r>
      <w:r>
        <w:rPr>
          <w:rFonts w:hint="default"/>
          <w:vertAlign w:val="superscript"/>
          <w:lang w:val="en-US"/>
        </w:rPr>
        <w:fldChar w:fldCharType="separate"/>
      </w:r>
      <w:r>
        <w:rPr>
          <w:rFonts w:hint="default"/>
          <w:vertAlign w:val="superscript"/>
          <w:lang w:val="en-US"/>
        </w:rPr>
        <w:t>[18]</w:t>
      </w:r>
      <w:r>
        <w:rPr>
          <w:rFonts w:hint="default"/>
          <w:vertAlign w:val="superscript"/>
          <w:lang w:val="en-US"/>
        </w:rPr>
        <w:fldChar w:fldCharType="end"/>
      </w:r>
      <w:r>
        <w:t>。合约部署后修改成本较高，链上存储开销也较大，因此本文仅将日志哈希和必要元数据写入链上。</w:t>
      </w:r>
    </w:p>
    <w:p w14:paraId="0BDA6E34">
      <w:pPr>
        <w:pStyle w:val="3"/>
        <w:bidi w:val="0"/>
        <w:rPr>
          <w:rFonts w:hint="eastAsia"/>
        </w:rPr>
      </w:pPr>
      <w:bookmarkStart w:id="26" w:name="_Toc28127"/>
      <w:bookmarkStart w:id="27" w:name="_Toc7428"/>
      <w:r>
        <w:rPr>
          <w:rFonts w:hint="eastAsia"/>
        </w:rPr>
        <w:t>本文主要研究内容</w:t>
      </w:r>
      <w:bookmarkEnd w:id="26"/>
      <w:bookmarkEnd w:id="27"/>
    </w:p>
    <w:p w14:paraId="14D48586">
      <w:pPr>
        <w:bidi w:val="0"/>
        <w:ind w:firstLine="480" w:firstLineChars="200"/>
        <w:jc w:val="both"/>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8881744">
      <w:pPr>
        <w:numPr>
          <w:ilvl w:val="0"/>
          <w:numId w:val="2"/>
        </w:numPr>
        <w:bidi w:val="0"/>
        <w:ind w:firstLine="480" w:firstLineChars="200"/>
        <w:jc w:val="both"/>
      </w:pPr>
      <w:r>
        <w:t>设计链上链下混合存储模型。系统将日志原文保存在SQLite中，将SHA-256哈希摘要和任务标识写入LogRegistry合约，以兼顾隐私保护、存储成本和审计可信性。</w:t>
      </w:r>
    </w:p>
    <w:p w14:paraId="6F8E7EA6">
      <w:pPr>
        <w:numPr>
          <w:ilvl w:val="0"/>
          <w:numId w:val="2"/>
        </w:numPr>
        <w:bidi w:val="0"/>
        <w:ind w:firstLine="480" w:firstLineChars="200"/>
        <w:jc w:val="both"/>
      </w:pPr>
      <w:r>
        <w:t>设计LogRegistry智能合约，保存taskId、logHash、createdAt和submitter，并通过LOGGER_ROLE控制写入权限，提供任务维度查询能力。</w:t>
      </w:r>
    </w:p>
    <w:p w14:paraId="6935F907">
      <w:pPr>
        <w:numPr>
          <w:ilvl w:val="0"/>
          <w:numId w:val="2"/>
        </w:numPr>
        <w:bidi w:val="0"/>
        <w:ind w:left="0" w:leftChars="0" w:firstLine="480" w:firstLineChars="200"/>
        <w:jc w:val="both"/>
      </w:pPr>
      <w:bookmarkStart w:id="28" w:name="_Toc17124"/>
      <w:r>
        <w:t>设计三方哈希比对审计机制。系统在审计阶段重新计算actualHash，并与数据库expectedHash、链上onChainHash进行比对，形成passed、failed和pending状态。</w:t>
      </w:r>
    </w:p>
    <w:p w14:paraId="7C59350A">
      <w:pPr>
        <w:numPr>
          <w:ilvl w:val="0"/>
          <w:numId w:val="2"/>
        </w:numPr>
        <w:bidi w:val="0"/>
        <w:ind w:left="0" w:leftChars="0" w:firstLine="480" w:firstLineChars="200"/>
        <w:jc w:val="both"/>
        <w:rPr>
          <w:rFonts w:hint="eastAsia"/>
        </w:rPr>
      </w:pPr>
      <w:r>
        <w:t>实现Agent自动采集、后端服务、前端展示和告警联动，并通过合约测试、批量提交、批量审计和篡改检测实验验证系统闭环可运行。</w:t>
      </w:r>
      <w:bookmarkEnd w:id="28"/>
    </w:p>
    <w:p w14:paraId="55C284B3">
      <w:pPr>
        <w:pStyle w:val="3"/>
        <w:bidi w:val="0"/>
        <w:rPr>
          <w:rFonts w:hint="eastAsia"/>
        </w:rPr>
      </w:pPr>
      <w:bookmarkStart w:id="29" w:name="_Toc16455"/>
      <w:bookmarkStart w:id="30" w:name="_Toc26381"/>
      <w:r>
        <w:rPr>
          <w:rFonts w:hint="eastAsia"/>
        </w:rPr>
        <w:t>论文组织结构</w:t>
      </w:r>
      <w:bookmarkEnd w:id="29"/>
      <w:bookmarkEnd w:id="30"/>
    </w:p>
    <w:p w14:paraId="79D2CB67">
      <w:pPr>
        <w:spacing w:line="360" w:lineRule="auto"/>
        <w:ind w:firstLine="420"/>
        <w:jc w:val="both"/>
        <w:rPr>
          <w:rFonts w:hint="eastAsia" w:ascii="黑体" w:eastAsia="黑体"/>
          <w:bCs/>
          <w:color w:val="000000" w:themeColor="text1"/>
          <w:sz w:val="28"/>
          <w:szCs w:val="28"/>
          <w14:textFill>
            <w14:solidFill>
              <w14:schemeClr w14:val="tx1"/>
            </w14:solidFill>
          </w14:textFill>
        </w:rPr>
      </w:pPr>
      <w:r>
        <w:t>本文共分为六章。第1章阐述研究背景及意义、国内外研究现状、主要研究内容和论文组织结构；第2章介绍区块链存证、智能合约访问控制、哈希完整性校验及系统开发相关技术；第3章重点说明链上链下混合存储、LogRegistry合约、三方哈希比对、历史合约地址回溯、合约代码存在性校验和异常告警机制；第4章进行系统需求分析与总体设计；第5章介绍系统实现、功能测试、性能实验和篡改检测实验；第6章总结全文工作，并分析系统不足与后续优化方向。</w:t>
      </w:r>
    </w:p>
    <w:p w14:paraId="2269AFA1">
      <w:pPr>
        <w:pStyle w:val="3"/>
        <w:bidi w:val="0"/>
        <w:rPr>
          <w:rFonts w:hint="eastAsia"/>
        </w:rPr>
      </w:pPr>
      <w:bookmarkStart w:id="31" w:name="_Toc16188"/>
      <w:bookmarkStart w:id="32" w:name="_Toc7280"/>
      <w:r>
        <w:rPr>
          <w:rFonts w:hint="eastAsia"/>
        </w:rPr>
        <w:t>本章小结</w:t>
      </w:r>
      <w:bookmarkEnd w:id="31"/>
      <w:bookmarkEnd w:id="32"/>
    </w:p>
    <w:p w14:paraId="24684669">
      <w:pPr>
        <w:spacing w:line="360" w:lineRule="auto"/>
        <w:ind w:firstLine="420"/>
        <w:jc w:val="both"/>
        <w:rPr>
          <w:rFonts w:hint="eastAsia" w:ascii="黑体" w:hAnsi="黑体" w:eastAsia="黑体"/>
          <w:color w:val="000000" w:themeColor="text1"/>
          <w:sz w:val="28"/>
          <w:szCs w:val="28"/>
          <w14:textFill>
            <w14:solidFill>
              <w14:schemeClr w14:val="tx1"/>
            </w14:solidFill>
          </w14:textFill>
        </w:rPr>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0E593DA4">
      <w:pPr>
        <w:rPr>
          <w:rFonts w:hint="eastAsia" w:ascii="黑体" w:eastAsia="黑体"/>
          <w:color w:val="000000" w:themeColor="text1"/>
          <w:sz w:val="32"/>
          <w:szCs w:val="32"/>
          <w14:textFill>
            <w14:solidFill>
              <w14:schemeClr w14:val="tx1"/>
            </w14:solidFill>
          </w14:textFill>
        </w:rPr>
      </w:pPr>
      <w:bookmarkStart w:id="33" w:name="_Toc105491694"/>
      <w:r>
        <w:rPr>
          <w:rFonts w:hint="eastAsia" w:ascii="黑体" w:eastAsia="黑体"/>
          <w:color w:val="000000" w:themeColor="text1"/>
          <w:sz w:val="32"/>
          <w:szCs w:val="32"/>
          <w14:textFill>
            <w14:solidFill>
              <w14:schemeClr w14:val="tx1"/>
            </w14:solidFill>
          </w14:textFill>
        </w:rPr>
        <w:br w:type="page"/>
      </w:r>
    </w:p>
    <w:p w14:paraId="0F78921D">
      <w:pPr>
        <w:spacing w:line="360" w:lineRule="auto"/>
        <w:ind w:right="29" w:rightChars="12"/>
        <w:rPr>
          <w:rFonts w:hint="eastAsia" w:ascii="黑体" w:eastAsia="黑体"/>
          <w:color w:val="000000" w:themeColor="text1"/>
          <w:sz w:val="32"/>
          <w:szCs w:val="32"/>
          <w14:textFill>
            <w14:solidFill>
              <w14:schemeClr w14:val="tx1"/>
            </w14:solidFill>
          </w14:textFill>
        </w:rPr>
      </w:pPr>
    </w:p>
    <w:bookmarkEnd w:id="33"/>
    <w:p w14:paraId="0CF3F060">
      <w:pPr>
        <w:pStyle w:val="2"/>
        <w:bidi w:val="0"/>
      </w:pPr>
      <w:bookmarkStart w:id="34" w:name="_Toc30846"/>
      <w:r>
        <w:t>相关理论与关键技术</w:t>
      </w:r>
      <w:bookmarkEnd w:id="34"/>
    </w:p>
    <w:p w14:paraId="7EB04BF2"/>
    <w:p w14:paraId="502C4EFC">
      <w:pPr>
        <w:pStyle w:val="3"/>
        <w:bidi w:val="0"/>
      </w:pPr>
      <w:bookmarkStart w:id="35" w:name="_Toc2977"/>
      <w:r>
        <w:t>区块链与链上存证技术</w:t>
      </w:r>
      <w:bookmarkEnd w:id="35"/>
    </w:p>
    <w:p w14:paraId="46143E63">
      <w:pPr>
        <w:spacing w:line="360" w:lineRule="auto"/>
        <w:ind w:firstLine="420"/>
        <w:jc w:val="both"/>
      </w:pPr>
      <w:r>
        <w:t>区块链是一种以区块为基本组织单位、通过密码学机制和共识机制维护数据一致性的分布式账本技术</w:t>
      </w:r>
      <w:r>
        <w:rPr>
          <w:vertAlign w:val="superscript"/>
        </w:rPr>
        <w:t>[8]</w:t>
      </w:r>
      <w:r>
        <w:t>。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jc w:val="both"/>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LogRegistry，并在审计阶段重新计算actualHash，与数据库expectedHash和链上onChainHash进行比对。</w:t>
      </w:r>
    </w:p>
    <w:p w14:paraId="5C28941D">
      <w:pPr>
        <w:spacing w:line="360" w:lineRule="auto"/>
        <w:ind w:firstLine="420"/>
        <w:jc w:val="both"/>
      </w:pPr>
      <w:r>
        <w:t>为进一步说明链上存证与链下数据之间的关系，图2-1对区块链存证的基本结构进行概括。该图用于说明业务数据并不必然完整上链，而是可以通过摘要、交易和区块记录形成可追溯证据。</w:t>
      </w:r>
    </w:p>
    <w:p w14:paraId="32762D8F">
      <w:pPr>
        <w:jc w:val="center"/>
      </w:pPr>
      <w:r>
        <w:drawing>
          <wp:inline distT="0" distB="0" distL="114300" distR="114300">
            <wp:extent cx="4091940" cy="2137410"/>
            <wp:effectExtent l="0" t="0" r="10160" b="8890"/>
            <wp:docPr id="13" name="图片 1" descr="fig-2-1-blockchain-evidence-structure.png"/>
            <wp:cNvGraphicFramePr/>
            <a:graphic xmlns:a="http://schemas.openxmlformats.org/drawingml/2006/main">
              <a:graphicData uri="http://schemas.openxmlformats.org/drawingml/2006/picture">
                <pic:pic xmlns:pic="http://schemas.openxmlformats.org/drawingml/2006/picture">
                  <pic:nvPicPr>
                    <pic:cNvPr id="13" name="图片 1" descr="fig-2-1-blockchain-evidence-structure.png"/>
                    <pic:cNvPicPr/>
                  </pic:nvPicPr>
                  <pic:blipFill>
                    <a:blip r:embed="rId11"/>
                    <a:stretch>
                      <a:fillRect/>
                    </a:stretch>
                  </pic:blipFill>
                  <pic:spPr>
                    <a:xfrm>
                      <a:off x="0" y="0"/>
                      <a:ext cx="4091940" cy="2137410"/>
                    </a:xfrm>
                    <a:prstGeom prst="rect">
                      <a:avLst/>
                    </a:prstGeom>
                    <a:noFill/>
                    <a:ln>
                      <a:noFill/>
                    </a:ln>
                  </pic:spPr>
                </pic:pic>
              </a:graphicData>
            </a:graphic>
          </wp:inline>
        </w:drawing>
      </w:r>
    </w:p>
    <w:p w14:paraId="52BC7BCA">
      <w:pPr>
        <w:jc w:val="center"/>
        <w:rPr>
          <w:rFonts w:hint="default" w:ascii="Times New Roman" w:hAnsi="Times New Roman" w:cs="Times New Roman"/>
          <w:b/>
          <w:bCs/>
        </w:rPr>
      </w:pPr>
      <w:r>
        <w:rPr>
          <w:rFonts w:hint="default" w:ascii="Times New Roman" w:hAnsi="Times New Roman" w:cs="Times New Roman"/>
          <w:b/>
          <w:bCs/>
          <w:sz w:val="21"/>
        </w:rPr>
        <w:t>图 2-1 区块链存证基本结构示意图</w:t>
      </w:r>
    </w:p>
    <w:p w14:paraId="7854A8D3">
      <w:pPr>
        <w:pStyle w:val="3"/>
        <w:bidi w:val="0"/>
      </w:pPr>
      <w:bookmarkStart w:id="36" w:name="_Toc18560"/>
      <w:r>
        <w:t>智能合约与访问控制技术</w:t>
      </w:r>
      <w:bookmarkEnd w:id="36"/>
    </w:p>
    <w:p w14:paraId="6784E5E2">
      <w:pPr>
        <w:spacing w:line="360" w:lineRule="auto"/>
        <w:ind w:firstLine="420"/>
        <w:jc w:val="both"/>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1804E9B8">
      <w:pPr>
        <w:spacing w:line="360" w:lineRule="auto"/>
        <w:ind w:firstLine="420"/>
        <w:jc w:val="both"/>
      </w:pPr>
      <w:r>
        <w:t>访问控制是智能合约安全设计中的关键环节。在日志存证场景中，若任意地址都能写入日志哈希，攻击者可能提交伪造摘要，进而削弱链上证据的可信性。基于角色的访问控制通过角色约束操作主体，适合解释日志哈希写入权限的边界</w:t>
      </w:r>
      <w:r>
        <w:rPr>
          <w:rFonts w:hint="default"/>
          <w:vertAlign w:val="superscript"/>
          <w:lang w:val="en-US"/>
        </w:rPr>
        <w:fldChar w:fldCharType="begin"/>
      </w:r>
      <w:r>
        <w:rPr>
          <w:rFonts w:hint="default"/>
          <w:vertAlign w:val="superscript"/>
          <w:lang w:val="en-US"/>
        </w:rPr>
        <w:instrText xml:space="preserve"> REF _Ref1265732230 \r \h </w:instrText>
      </w:r>
      <w:r>
        <w:rPr>
          <w:rFonts w:hint="default"/>
          <w:vertAlign w:val="superscript"/>
          <w:lang w:val="en-US"/>
        </w:rPr>
        <w:fldChar w:fldCharType="separate"/>
      </w:r>
      <w:r>
        <w:rPr>
          <w:rFonts w:hint="default"/>
          <w:vertAlign w:val="superscript"/>
          <w:lang w:val="en-US"/>
        </w:rPr>
        <w:t>[19]</w:t>
      </w:r>
      <w:r>
        <w:rPr>
          <w:rFonts w:hint="default"/>
          <w:vertAlign w:val="superscript"/>
          <w:lang w:val="en-US"/>
        </w:rPr>
        <w:fldChar w:fldCharType="end"/>
      </w:r>
      <w:r>
        <w:t>。OpenZeppelin</w:t>
      </w:r>
      <w:r>
        <w:rPr>
          <w:rFonts w:hint="eastAsia"/>
          <w:lang w:val="en-US" w:eastAsia="zh-CN"/>
        </w:rPr>
        <w:t xml:space="preserve"> </w:t>
      </w:r>
      <w:r>
        <w:t>`AccessControl` 提供角色授权机制，可用于实现 `DEFAULT_ADMIN_ROLE` 和 `LOGGER_ROLE` 等合约角色</w:t>
      </w:r>
      <w:r>
        <w:rPr>
          <w:rFonts w:hint="default"/>
          <w:vertAlign w:val="superscript"/>
          <w:lang w:val="en-US"/>
        </w:rPr>
        <w:fldChar w:fldCharType="begin"/>
      </w:r>
      <w:r>
        <w:rPr>
          <w:rFonts w:hint="default"/>
          <w:vertAlign w:val="superscript"/>
          <w:lang w:val="en-US"/>
        </w:rPr>
        <w:instrText xml:space="preserve"> REF _Ref1294 \r \h </w:instrText>
      </w:r>
      <w:r>
        <w:rPr>
          <w:rFonts w:hint="default"/>
          <w:vertAlign w:val="superscript"/>
          <w:lang w:val="en-US"/>
        </w:rPr>
        <w:fldChar w:fldCharType="separate"/>
      </w:r>
      <w:r>
        <w:rPr>
          <w:rFonts w:hint="default"/>
          <w:vertAlign w:val="superscript"/>
          <w:lang w:val="en-US"/>
        </w:rPr>
        <w:t>[20]</w:t>
      </w:r>
      <w:r>
        <w:rPr>
          <w:rFonts w:hint="default"/>
          <w:vertAlign w:val="superscript"/>
          <w:lang w:val="en-US"/>
        </w:rPr>
        <w:fldChar w:fldCharType="end"/>
      </w:r>
      <w:r>
        <w:t>。与简单自定义权限字段相比，该机制接口清晰、可复用性较好，适合LogRegistry合约的写入权限控制。</w:t>
      </w:r>
    </w:p>
    <w:p w14:paraId="3B7CAD4D">
      <w:pPr>
        <w:pStyle w:val="3"/>
        <w:bidi w:val="0"/>
      </w:pPr>
      <w:bookmarkStart w:id="37" w:name="_Toc10877"/>
      <w:r>
        <w:t>哈希摘要与日志完整性校验技术</w:t>
      </w:r>
      <w:bookmarkEnd w:id="37"/>
    </w:p>
    <w:p w14:paraId="6DDED8F1">
      <w:pPr>
        <w:spacing w:line="360" w:lineRule="auto"/>
        <w:ind w:firstLine="420"/>
        <w:jc w:val="both"/>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属于安全哈希标准中的常用算法，其输出长度为256位，可用于生成固定长度摘要</w:t>
      </w:r>
      <w:r>
        <w:rPr>
          <w:rFonts w:hint="default"/>
          <w:vertAlign w:val="superscript"/>
          <w:lang w:val="en-US"/>
        </w:rPr>
        <w:fldChar w:fldCharType="begin"/>
      </w:r>
      <w:r>
        <w:rPr>
          <w:rFonts w:hint="default"/>
          <w:vertAlign w:val="superscript"/>
          <w:lang w:val="en-US"/>
        </w:rPr>
        <w:instrText xml:space="preserve"> REF _Ref1438 \r \h </w:instrText>
      </w:r>
      <w:r>
        <w:rPr>
          <w:rFonts w:hint="default"/>
          <w:vertAlign w:val="superscript"/>
          <w:lang w:val="en-US"/>
        </w:rPr>
        <w:fldChar w:fldCharType="separate"/>
      </w:r>
      <w:r>
        <w:rPr>
          <w:rFonts w:hint="default"/>
          <w:vertAlign w:val="superscript"/>
          <w:lang w:val="en-US"/>
        </w:rPr>
        <w:t>[21]</w:t>
      </w:r>
      <w:r>
        <w:rPr>
          <w:rFonts w:hint="default"/>
          <w:vertAlign w:val="superscript"/>
          <w:lang w:val="en-US"/>
        </w:rPr>
        <w:fldChar w:fldCharType="end"/>
      </w:r>
      <w:r>
        <w:t>。系统在日志首次提交时对日志正文计算哈希，并将该哈希作为提交时的expectedHash；后续审计时，再对当前保存的日志正文重新计算actualHash。</w:t>
      </w:r>
    </w:p>
    <w:p w14:paraId="57EF413F">
      <w:pPr>
        <w:spacing w:line="360" w:lineRule="auto"/>
        <w:ind w:firstLine="420"/>
        <w:jc w:val="both"/>
      </w:pPr>
      <w:r>
        <w:t>如果日志内容被修改，审计阶段重新计算得到的actualHash通常会与提交阶段保存的expectedHash不同。日志进入Server后，后端对log_content字段计算SHA-256哈希，并生成以0x开头的十六进制哈希值。需要说明的是，哈希摘要技术本身不能判断日志语义是否正确，也不能证明日志最初是否真实产生，它主要解决的是“当前数据是否与存证时保持一致”的问。</w:t>
      </w:r>
    </w:p>
    <w:p w14:paraId="669D51AB">
      <w:pPr>
        <w:ind w:firstLine="480" w:firstLineChars="200"/>
        <w:jc w:val="both"/>
      </w:pPr>
      <w:r>
        <w:t>哈希摘要用于完整性校验时，重点并不在于还原日志原文，而在于比较同一输入在不同时刻得到的摘要是否一致。哈希树思想体现了利用哈希结构组织数据完整性证明的经典方法</w:t>
      </w:r>
      <w:r>
        <w:rPr>
          <w:rFonts w:hint="default"/>
          <w:vertAlign w:val="superscript"/>
          <w:lang w:val="en-US"/>
        </w:rPr>
        <w:fldChar w:fldCharType="begin"/>
      </w:r>
      <w:r>
        <w:rPr>
          <w:rFonts w:hint="default"/>
          <w:vertAlign w:val="superscript"/>
          <w:lang w:val="en-US"/>
        </w:rPr>
        <w:instrText xml:space="preserve"> REF _Ref1473 \r \h </w:instrText>
      </w:r>
      <w:r>
        <w:rPr>
          <w:rFonts w:hint="default"/>
          <w:vertAlign w:val="superscript"/>
          <w:lang w:val="en-US"/>
        </w:rPr>
        <w:fldChar w:fldCharType="separate"/>
      </w:r>
      <w:r>
        <w:rPr>
          <w:rFonts w:hint="default"/>
          <w:vertAlign w:val="superscript"/>
          <w:lang w:val="en-US"/>
        </w:rPr>
        <w:t>[22]</w:t>
      </w:r>
      <w:r>
        <w:rPr>
          <w:rFonts w:hint="default"/>
          <w:vertAlign w:val="superscript"/>
          <w:lang w:val="en-US"/>
        </w:rPr>
        <w:fldChar w:fldCharType="end"/>
      </w:r>
      <w:r>
        <w:t>。图2-2展示了日志内容变化导致哈希摘要变化的基本原理。</w:t>
      </w:r>
    </w:p>
    <w:p w14:paraId="21A91E12">
      <w:pPr>
        <w:jc w:val="center"/>
      </w:pPr>
      <w:r>
        <w:drawing>
          <wp:inline distT="0" distB="0" distL="114300" distR="114300">
            <wp:extent cx="5303520" cy="2983230"/>
            <wp:effectExtent l="0" t="0" r="5080" b="1270"/>
            <wp:docPr id="5" name="图片 2" descr="fig-2-2-hash-integrity-verification.png"/>
            <wp:cNvGraphicFramePr/>
            <a:graphic xmlns:a="http://schemas.openxmlformats.org/drawingml/2006/main">
              <a:graphicData uri="http://schemas.openxmlformats.org/drawingml/2006/picture">
                <pic:pic xmlns:pic="http://schemas.openxmlformats.org/drawingml/2006/picture">
                  <pic:nvPicPr>
                    <pic:cNvPr id="5" name="图片 2" descr="fig-2-2-hash-integrity-verification.png"/>
                    <pic:cNvPicPr/>
                  </pic:nvPicPr>
                  <pic:blipFill>
                    <a:blip r:embed="rId12"/>
                    <a:stretch>
                      <a:fillRect/>
                    </a:stretch>
                  </pic:blipFill>
                  <pic:spPr>
                    <a:xfrm>
                      <a:off x="0" y="0"/>
                      <a:ext cx="5303520" cy="2983230"/>
                    </a:xfrm>
                    <a:prstGeom prst="rect">
                      <a:avLst/>
                    </a:prstGeom>
                    <a:noFill/>
                    <a:ln>
                      <a:noFill/>
                    </a:ln>
                  </pic:spPr>
                </pic:pic>
              </a:graphicData>
            </a:graphic>
          </wp:inline>
        </w:drawing>
      </w:r>
    </w:p>
    <w:p w14:paraId="1FF0CD3D">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 2-2 哈希完整性校验原理图</w:t>
      </w:r>
    </w:p>
    <w:p w14:paraId="2EAEEBEC">
      <w:pPr>
        <w:pStyle w:val="3"/>
        <w:bidi w:val="0"/>
      </w:pPr>
      <w:bookmarkStart w:id="38" w:name="_Toc2157"/>
      <w:r>
        <w:t>系统开发相关技术</w:t>
      </w:r>
      <w:bookmarkEnd w:id="38"/>
    </w:p>
    <w:p w14:paraId="0284AF9F">
      <w:pPr>
        <w:spacing w:line="360" w:lineRule="auto"/>
        <w:ind w:firstLine="420"/>
        <w:jc w:val="both"/>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pStyle w:val="4"/>
        <w:bidi w:val="0"/>
      </w:pPr>
      <w:bookmarkStart w:id="39" w:name="_Toc14801"/>
      <w:r>
        <w:t>React前端框架</w:t>
      </w:r>
      <w:bookmarkEnd w:id="39"/>
    </w:p>
    <w:p w14:paraId="2C1D33EE">
      <w:pPr>
        <w:spacing w:line="360" w:lineRule="auto"/>
        <w:ind w:firstLine="420"/>
        <w:jc w:val="both"/>
      </w:pPr>
      <w:r>
        <w:t>React是一种组件化前端开发框架，适合构建状态变化较多、页面结构可复用的Web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React有助于提高页面组织的清晰度。本系统前端结合TypeScript和Ant Design使用。</w:t>
      </w:r>
    </w:p>
    <w:p w14:paraId="69FFDBA0">
      <w:pPr>
        <w:pStyle w:val="4"/>
        <w:bidi w:val="0"/>
      </w:pPr>
      <w:bookmarkStart w:id="40" w:name="_Toc32566"/>
      <w:r>
        <w:t>Express后端服务框架</w:t>
      </w:r>
      <w:bookmarkEnd w:id="40"/>
    </w:p>
    <w:p w14:paraId="2567B007">
      <w:pPr>
        <w:spacing w:line="360" w:lineRule="auto"/>
        <w:ind w:firstLine="420"/>
        <w:jc w:val="both"/>
      </w:pPr>
      <w:r>
        <w:t>Express是基于Node.js的轻量级Web服务框架，常用于构建REST API。它提供路由、中间件和请求响应处理能力，适合实现前后端分离系统中的后端接口层。本系统需要向Agent、Web前端和实验脚本提供统一接口，例如日志提交、日志查询、审计触发、审计记录查询和告警查询等，因此采用Express作为后端服务框架。Express后端并不只是转发请求，而是承担日志入库、哈希计算、链上写入、审计比对和告警生成等业务编排职责。</w:t>
      </w:r>
    </w:p>
    <w:p w14:paraId="4AE0EF34">
      <w:pPr>
        <w:pStyle w:val="4"/>
        <w:bidi w:val="0"/>
      </w:pPr>
      <w:bookmarkStart w:id="41" w:name="_Toc12486"/>
      <w:r>
        <w:rPr>
          <w:rFonts w:hint="eastAsia" w:ascii="黑体" w:hAnsi="黑体" w:eastAsia="黑体" w:cs="黑体"/>
        </w:rPr>
        <w:t>SQLite</w:t>
      </w:r>
      <w:r>
        <w:t>数据存储技术</w:t>
      </w:r>
      <w:bookmarkEnd w:id="41"/>
    </w:p>
    <w:p w14:paraId="04BC5675">
      <w:pPr>
        <w:spacing w:line="360" w:lineRule="auto"/>
        <w:ind w:firstLine="420"/>
        <w:jc w:val="both"/>
      </w:pPr>
      <w:r>
        <w:t>SQLite是一种轻量级关系型数据库，具有部署简单、无需独立数据库服务、适合本地原型系统和实验验证等特点。对于本科毕业设计系统而言，SQLite能够在较低配置复杂度下提供结构化数据保存能力，便于保存日志、存证记录、审计记录、告警记录和Agent状态等信息。本系统使用SQLite作为链下存储层。链下数据库提供业务数据管理能力，LogRegistry合约提供可信哈希依据，二者共同构成链上链下协同机制。SQLite的作用是支撑系统查询、展示和审计重算，而不是替代链上存证。</w:t>
      </w:r>
    </w:p>
    <w:p w14:paraId="6A8E1A0D">
      <w:pPr>
        <w:pStyle w:val="4"/>
        <w:bidi w:val="0"/>
      </w:pPr>
      <w:bookmarkStart w:id="42" w:name="_Toc11151"/>
      <w:r>
        <w:rPr>
          <w:rFonts w:hint="eastAsia" w:ascii="黑体" w:hAnsi="黑体" w:eastAsia="黑体" w:cs="黑体"/>
        </w:rPr>
        <w:t>Hardhat</w:t>
      </w:r>
      <w:r>
        <w:t>智能合约开发环境</w:t>
      </w:r>
      <w:bookmarkEnd w:id="42"/>
    </w:p>
    <w:p w14:paraId="189AB687">
      <w:pPr>
        <w:spacing w:line="360" w:lineRule="auto"/>
        <w:ind w:firstLine="420"/>
        <w:jc w:val="both"/>
      </w:pPr>
      <w:r>
        <w:t>Hardhat是以太坊智能合约开发和测试环境，支持Solidity编译、合约部署、本地链运行和自动化测试。对于需要开发LogRegistry合约的系统而言，Hardhat能够提供较完整的本地开发工具，使合约编写、调试、测试和部署过程更加方便。本系统使用Hardhat管理LogRegistry合约工程，并结合Solidity、OpenZeppelin AccessControl和Ethers完成链上存证功能。</w:t>
      </w:r>
    </w:p>
    <w:p w14:paraId="5AB8CBBD">
      <w:pPr>
        <w:pStyle w:val="3"/>
        <w:bidi w:val="0"/>
      </w:pPr>
      <w:bookmarkStart w:id="43" w:name="_Toc3773"/>
      <w:r>
        <w:t>本章小结</w:t>
      </w:r>
      <w:bookmarkEnd w:id="43"/>
    </w:p>
    <w:p w14:paraId="1F1237BB">
      <w:pPr>
        <w:spacing w:line="360" w:lineRule="auto"/>
        <w:ind w:firstLine="420"/>
        <w:jc w:val="both"/>
      </w:pPr>
      <w:r>
        <w:t>本章围绕系统涉及的关键技术进行了说明，主要包括区块链存证、智能合约与访问控制、哈希完整性校验，以及React、Express、SQLite、Hardhat等开发技术。上述技术分别支撑链上存证、链下数据管理、审计比对和前端展示，为后续可信日志存证与审计机制设计提供了基础。</w:t>
      </w:r>
    </w:p>
    <w:p w14:paraId="7B97FAAC">
      <w:r>
        <w:br w:type="page"/>
      </w:r>
    </w:p>
    <w:p w14:paraId="28879D5C">
      <w:pPr>
        <w:pStyle w:val="2"/>
        <w:numPr>
          <w:ilvl w:val="0"/>
          <w:numId w:val="0"/>
        </w:numPr>
        <w:bidi w:val="0"/>
        <w:ind w:leftChars="0"/>
        <w:jc w:val="both"/>
      </w:pPr>
    </w:p>
    <w:p w14:paraId="151A4D22">
      <w:pPr>
        <w:pStyle w:val="2"/>
        <w:bidi w:val="0"/>
      </w:pPr>
      <w:bookmarkStart w:id="44" w:name="_Toc9416"/>
      <w:r>
        <w:t>基于区块链的可信日志存证与审计机制设计</w:t>
      </w:r>
      <w:bookmarkEnd w:id="44"/>
    </w:p>
    <w:p w14:paraId="66A36646"/>
    <w:p w14:paraId="3625BDA7">
      <w:pPr>
        <w:pStyle w:val="3"/>
        <w:bidi w:val="0"/>
      </w:pPr>
      <w:bookmarkStart w:id="45" w:name="_Toc2077"/>
      <w:bookmarkStart w:id="46" w:name="_Toc589"/>
      <w:bookmarkStart w:id="47" w:name="_Toc13655"/>
      <w:r>
        <w:rPr>
          <w:rFonts w:hint="eastAsia"/>
        </w:rPr>
        <w:t>可信日志审计总体机制</w:t>
      </w:r>
      <w:bookmarkEnd w:id="45"/>
      <w:bookmarkEnd w:id="46"/>
      <w:r>
        <w:rPr>
          <w:rFonts w:hint="eastAsia"/>
          <w:lang w:val="en-US" w:eastAsia="zh-CN"/>
        </w:rPr>
        <w:t>设计</w:t>
      </w:r>
      <w:bookmarkEnd w:id="47"/>
    </w:p>
    <w:p w14:paraId="35646F69">
      <w:pPr>
        <w:pStyle w:val="4"/>
        <w:bidi w:val="0"/>
      </w:pPr>
      <w:bookmarkStart w:id="48" w:name="_Toc5964"/>
      <w:r>
        <w:t>链下日志存储与链上哈希存证模型</w:t>
      </w:r>
      <w:r>
        <w:rPr>
          <w:rFonts w:hint="eastAsia"/>
          <w:lang w:val="en-US" w:eastAsia="zh-CN"/>
        </w:rPr>
        <w:t>设计</w:t>
      </w:r>
      <w:bookmarkEnd w:id="48"/>
    </w:p>
    <w:p w14:paraId="74B16661">
      <w:pPr>
        <w:spacing w:line="360" w:lineRule="auto"/>
        <w:ind w:firstLine="420"/>
        <w:jc w:val="both"/>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SHA-256哈希值，再将哈希摘要及任务标识等必要元数据写入LogRegistry智能合约。数据溯源研究表明，链上记录可作为链下数据状态和追溯路径的可信参照</w:t>
      </w:r>
      <w:r>
        <w:rPr>
          <w:vertAlign w:val="superscript"/>
        </w:rPr>
        <w:t>[9]</w:t>
      </w:r>
      <w:r>
        <w:t>。</w:t>
      </w:r>
    </w:p>
    <w:p w14:paraId="0281B1F8">
      <w:pPr>
        <w:spacing w:line="360" w:lineRule="auto"/>
        <w:ind w:firstLine="420"/>
        <w:jc w:val="both"/>
      </w:pPr>
      <w:r>
        <w:t>日志原文通常数量多、长度不固定且变化频繁，直接上链会增加存储开销，也可能暴露路径、错误信息等敏感内容。采用摘要上链后，SQLite 保存可查询的日志原文和业务记录，LogRegistry保存可验证的哈希证据，两者分别承担业务存储和可信校验职责。链上链下结合的存储方式能够在保留链下数据查询能力的同时，将关键摘要写入链上作为完整性校验依据</w:t>
      </w:r>
      <w:r>
        <w:rPr>
          <w:vertAlign w:val="superscript"/>
        </w:rPr>
        <w:t>[10]</w:t>
      </w:r>
      <w:r>
        <w:t>。图 3-1 展示了链下数据表与链上LogRegistry之间的对应关系。</w:t>
      </w:r>
    </w:p>
    <w:p w14:paraId="62E144DD">
      <w:pPr>
        <w:jc w:val="center"/>
      </w:pPr>
      <w:r>
        <w:drawing>
          <wp:inline distT="0" distB="0" distL="114300" distR="114300">
            <wp:extent cx="5303520" cy="2983230"/>
            <wp:effectExtent l="0" t="0" r="5080" b="127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3"/>
                    <a:stretch>
                      <a:fillRect/>
                    </a:stretch>
                  </pic:blipFill>
                  <pic:spPr>
                    <a:xfrm>
                      <a:off x="0" y="0"/>
                      <a:ext cx="5303520" cy="2983230"/>
                    </a:xfrm>
                    <a:prstGeom prst="rect">
                      <a:avLst/>
                    </a:prstGeom>
                    <a:noFill/>
                    <a:ln>
                      <a:noFill/>
                    </a:ln>
                  </pic:spPr>
                </pic:pic>
              </a:graphicData>
            </a:graphic>
          </wp:inline>
        </w:drawing>
      </w:r>
    </w:p>
    <w:p w14:paraId="545CFD2B">
      <w:pPr>
        <w:jc w:val="center"/>
        <w:rPr>
          <w:rFonts w:hint="default" w:ascii="Times New Roman" w:hAnsi="Times New Roman" w:cs="Times New Roman"/>
          <w:b/>
          <w:bCs/>
        </w:rPr>
      </w:pPr>
      <w:r>
        <w:rPr>
          <w:rFonts w:hint="default" w:ascii="Times New Roman" w:hAnsi="Times New Roman" w:cs="Times New Roman"/>
          <w:b/>
          <w:bCs/>
          <w:sz w:val="21"/>
        </w:rPr>
        <w:t>图 3-1 链上链下混合存储模型</w:t>
      </w:r>
    </w:p>
    <w:p w14:paraId="0542242A">
      <w:pPr>
        <w:pStyle w:val="4"/>
        <w:bidi w:val="0"/>
      </w:pPr>
      <w:bookmarkStart w:id="49" w:name="_Toc21365"/>
      <w:r>
        <w:t>日志采集、存证、审计、告警闭环流程</w:t>
      </w:r>
      <w:r>
        <w:rPr>
          <w:rFonts w:hint="eastAsia"/>
          <w:lang w:val="en-US" w:eastAsia="zh-CN"/>
        </w:rPr>
        <w:t>设计</w:t>
      </w:r>
      <w:bookmarkEnd w:id="49"/>
    </w:p>
    <w:p w14:paraId="316275E8">
      <w:pPr>
        <w:spacing w:line="360" w:lineRule="auto"/>
        <w:ind w:firstLine="420"/>
        <w:jc w:val="both"/>
      </w:pPr>
      <w:r>
        <w:t>可信日志审计不仅需要确定日志如何存储，还需要形成从日志产生到异常反馈的闭环流程。系统流程从日志文件开始，Agent基于偏移量读取新增日志并提交Server；Server接收后将日志原文及元数据写入SQLite的logs表，并计算 SHA-256哈希；随后，后端调用LogRegistry合约完成链上存证，并在log_hash_records中记录交易哈希、区块号、合约地址和上链状态。</w:t>
      </w:r>
    </w:p>
    <w:p w14:paraId="6F65B3D8">
      <w:pPr>
        <w:spacing w:line="360" w:lineRule="auto"/>
        <w:ind w:firstLine="420"/>
        <w:jc w:val="both"/>
      </w:pPr>
      <w:r>
        <w:t>在审计阶段，用户或脚本触发单条审计或批量审计任务。Server根据log_id读取logs表中的日志原文，重新计算actualHash，并与数据库expectedHash、链上onChainHash进行比对。当结果为failed时，系统向alerts表写入hash_mismatch告警，并关联对应日志和审计记录。该流程构成了“采集—存储—存证—审计—告警—展示”的可信日志审计闭环。</w:t>
      </w:r>
    </w:p>
    <w:p w14:paraId="77B16796">
      <w:pPr>
        <w:spacing w:line="360" w:lineRule="auto"/>
        <w:ind w:firstLine="420"/>
        <w:jc w:val="both"/>
      </w:pPr>
      <w:r>
        <w:t>如图 3-2 所示，Agent解决日志自动进入系统的问题，Server负责链下持久化、哈希计算和业务编排，LogRegistry提供链上存证依据，审计模块负责完整性核验，告警模块负责异常反馈，Web前端负责结果呈现。</w:t>
      </w:r>
    </w:p>
    <w:p w14:paraId="542A3435">
      <w:pPr>
        <w:jc w:val="center"/>
      </w:pPr>
      <w:r>
        <w:drawing>
          <wp:inline distT="0" distB="0" distL="114300" distR="114300">
            <wp:extent cx="5303520" cy="2983230"/>
            <wp:effectExtent l="0" t="0" r="5080" b="127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4"/>
                    <a:stretch>
                      <a:fillRect/>
                    </a:stretch>
                  </pic:blipFill>
                  <pic:spPr>
                    <a:xfrm>
                      <a:off x="0" y="0"/>
                      <a:ext cx="5303520" cy="2983230"/>
                    </a:xfrm>
                    <a:prstGeom prst="rect">
                      <a:avLst/>
                    </a:prstGeom>
                    <a:noFill/>
                    <a:ln>
                      <a:noFill/>
                    </a:ln>
                  </pic:spPr>
                </pic:pic>
              </a:graphicData>
            </a:graphic>
          </wp:inline>
        </w:drawing>
      </w:r>
    </w:p>
    <w:p w14:paraId="1B897026">
      <w:pPr>
        <w:jc w:val="center"/>
        <w:rPr>
          <w:rFonts w:hint="default" w:ascii="Times New Roman" w:hAnsi="Times New Roman" w:cs="Times New Roman"/>
          <w:b/>
          <w:bCs/>
        </w:rPr>
      </w:pPr>
      <w:r>
        <w:rPr>
          <w:rFonts w:hint="default" w:ascii="Times New Roman" w:hAnsi="Times New Roman" w:cs="Times New Roman"/>
          <w:b/>
          <w:bCs/>
          <w:sz w:val="21"/>
        </w:rPr>
        <w:t>图 3-2 可信日志审计闭环流程</w:t>
      </w:r>
    </w:p>
    <w:p w14:paraId="695A13A5">
      <w:pPr>
        <w:pStyle w:val="3"/>
        <w:bidi w:val="0"/>
      </w:pPr>
      <w:bookmarkStart w:id="50" w:name="_Toc20110"/>
      <w:bookmarkStart w:id="51" w:name="_Toc15909"/>
      <w:bookmarkStart w:id="52" w:name="_Toc25103"/>
      <w:r>
        <w:rPr>
          <w:rFonts w:hint="eastAsia"/>
        </w:rPr>
        <w:t>日志哈希生成与存证数据模型</w:t>
      </w:r>
      <w:bookmarkEnd w:id="50"/>
      <w:bookmarkEnd w:id="51"/>
      <w:r>
        <w:rPr>
          <w:rFonts w:hint="eastAsia"/>
          <w:lang w:val="en-US" w:eastAsia="zh-CN"/>
        </w:rPr>
        <w:t>设计</w:t>
      </w:r>
      <w:bookmarkEnd w:id="52"/>
    </w:p>
    <w:p w14:paraId="374E4CAB">
      <w:pPr>
        <w:pStyle w:val="4"/>
        <w:bidi w:val="0"/>
      </w:pPr>
      <w:bookmarkStart w:id="53" w:name="_Toc29040"/>
      <w:r>
        <w:t>日志标准化封装与任务标识设计</w:t>
      </w:r>
      <w:bookmarkEnd w:id="53"/>
    </w:p>
    <w:p w14:paraId="0BEA70BE">
      <w:pPr>
        <w:spacing w:line="360" w:lineRule="auto"/>
        <w:ind w:firstLine="420"/>
        <w:jc w:val="both"/>
      </w:pPr>
      <w:r>
        <w:t>日志原文可能来自不同任务、路径或运行环境，其格式、级别和时间信息并不完全一致。为便于后续查询、归类、上链和审计比对，系统在日志进入后端前对其进行标准化封装，主要字段包括taskId、sourceType、sourcePath、logContent、logLevel和collectedAt。其中，taskId表示日志所属任务或审计对象，是连接链下日志、数据库记录和链上存证记录的关键字段。</w:t>
      </w:r>
    </w:p>
    <w:p w14:paraId="046F22BE">
      <w:pPr>
        <w:spacing w:line="360" w:lineRule="auto"/>
        <w:ind w:firstLine="420"/>
        <w:jc w:val="both"/>
      </w:pPr>
      <w:r>
        <w:t>在实际任务执行过程中，同一任务可能产生多条日志。taskId能够将这些日志归集到同一审计对象下，并在链上查询、批量审计和历史合约地址回溯时发挥定位作用。对于多次部署场景，taskId与contract_address共同构成审计索引，使系统能够说明某条日志写入了哪个合约、审计时又查询了哪个合约。</w:t>
      </w:r>
    </w:p>
    <w:p w14:paraId="29B5DD51">
      <w:pPr>
        <w:pStyle w:val="4"/>
        <w:bidi w:val="0"/>
      </w:pPr>
      <w:bookmarkStart w:id="54" w:name="_Toc17525"/>
      <w:r>
        <w:t>SHA-256日志摘要生成方法</w:t>
      </w:r>
      <w:bookmarkEnd w:id="54"/>
    </w:p>
    <w:p w14:paraId="78D00D40">
      <w:pPr>
        <w:spacing w:line="360" w:lineRule="auto"/>
        <w:ind w:firstLine="420"/>
        <w:jc w:val="both"/>
      </w:pPr>
      <w:r>
        <w:t>日志完整性校验的核心在于判断日志内容在存储和审计过程中是否发生变化。哈希函数能够将任意长度的数据映射为固定长度的摘要值，当输入内容发生变化时，输出摘要也会随之改变。在日志提交阶段，Server接收到Agent上报的日志数据后，会读取其中的logContent或数据库字段log_content，并以UTF-8编码方式输入SHA-256哈希函数。在审计阶段，系统再次读取logs表中的日志原文，并使用相同的SHA-256计算方式生成actualHash。</w:t>
      </w:r>
    </w:p>
    <w:p w14:paraId="29AB527A">
      <w:pPr>
        <w:spacing w:line="360" w:lineRule="auto"/>
        <w:ind w:firstLine="420"/>
        <w:jc w:val="both"/>
      </w:pPr>
      <w:r>
        <w:t>若日志内容自提交后未发生改变，则审计阶段重新计算得到的actualHash应与提交阶段保存的expectedHash一致，也应与链上查询得到的onChainHash保持一致。需要注意的是，哈希摘要本身并不负责保存日志语义，也不能直接说明日志内容是否真实发生过某个业务事件。</w:t>
      </w:r>
    </w:p>
    <w:p w14:paraId="3FA653A7">
      <w:pPr>
        <w:pStyle w:val="4"/>
        <w:bidi w:val="0"/>
      </w:pPr>
      <w:bookmarkStart w:id="55" w:name="_Toc28634"/>
      <w:r>
        <w:t>链上存证字段与链下记录映射关系</w:t>
      </w:r>
      <w:bookmarkEnd w:id="55"/>
    </w:p>
    <w:p w14:paraId="003234D1">
      <w:pPr>
        <w:spacing w:line="360" w:lineRule="auto"/>
        <w:ind w:firstLine="420"/>
        <w:jc w:val="both"/>
      </w:pPr>
      <w:r>
        <w:t>本系统采用链下业务数据与链上摘要数据相互映射的方式组织日志证据。logs表保存日志原文及采集来源，是审计时重新计算actualHash的基础；log_hash_records 表保存提交阶段生成的log_hash、contract_address、transaction_hash、block_number on_chain_status等信息；LogRegistry合约保存 taskId、logHash、createdAt和submitter，形成链上存证依据。</w:t>
      </w:r>
    </w:p>
    <w:p w14:paraId="5EAF4FA0">
      <w:pPr>
        <w:spacing w:line="360" w:lineRule="auto"/>
        <w:ind w:firstLine="420"/>
        <w:jc w:val="both"/>
      </w:pPr>
      <w:r>
        <w:t>其中，logs.id与log_hash_records.log_id对应，用于将日志原文和哈希记录关联起来；task_id对应链上taskId，用于按任务归集日志；log_hash对应链上logHash，用于后续完整性比对；contract_address记录写入时使用的合约地址，支持历史合约地址回溯；transaction_hash和block_number用于定位链上交易和区块；on_chain_status表示上链结果。</w:t>
      </w:r>
    </w:p>
    <w:p w14:paraId="74DBDB1C">
      <w:pPr>
        <w:spacing w:line="360" w:lineRule="auto"/>
        <w:ind w:firstLine="420"/>
        <w:jc w:val="both"/>
      </w:pPr>
      <w:r>
        <w:t>通过上述映射关系，系统能够在审计阶段同时取得日志原文、数据库哈希和链上哈希。若expectedHash、actualHash和onChainHash 一致，则说明链上链下证据匹配；若不一致，则可进一步结合交易哈希、区块号和合约地址定位异常来源。</w:t>
      </w:r>
    </w:p>
    <w:p w14:paraId="34F8F1BB">
      <w:pPr>
        <w:pStyle w:val="3"/>
        <w:bidi w:val="0"/>
      </w:pPr>
      <w:bookmarkStart w:id="56" w:name="_Toc16162"/>
      <w:bookmarkStart w:id="57" w:name="_Toc26571"/>
      <w:bookmarkStart w:id="58" w:name="_Toc18558"/>
      <w:r>
        <w:rPr>
          <w:rFonts w:hint="eastAsia"/>
        </w:rPr>
        <w:t>LogRegistry智能合约设计</w:t>
      </w:r>
      <w:bookmarkEnd w:id="56"/>
      <w:bookmarkEnd w:id="57"/>
      <w:bookmarkEnd w:id="58"/>
    </w:p>
    <w:p w14:paraId="3BA0FAD9">
      <w:pPr>
        <w:pStyle w:val="4"/>
        <w:bidi w:val="0"/>
      </w:pPr>
      <w:bookmarkStart w:id="59" w:name="_Toc5513"/>
      <w:r>
        <w:t>合约数据结构设计</w:t>
      </w:r>
      <w:bookmarkEnd w:id="59"/>
    </w:p>
    <w:p w14:paraId="1282FF86">
      <w:pPr>
        <w:spacing w:line="360" w:lineRule="auto"/>
        <w:ind w:firstLine="420"/>
        <w:jc w:val="both"/>
      </w:pPr>
      <w:r>
        <w:t>LogRegistry 合约以 LogRecord 结构体保存链上日志存证信息，主要字段包括taskId、logHash、createdAt和submitter。taskId 表示任务标识，用于将同一任务产生的多条日志归集；logHash表示日志内容经SHA-256计算后的摘要，是后续完整性校验的核心字段；createdAt记录链上写入时间；submitter记录提交该日志哈希的账户地址。</w:t>
      </w:r>
    </w:p>
    <w:p w14:paraId="63F224B1">
      <w:pPr>
        <w:spacing w:line="360" w:lineRule="auto"/>
        <w:ind w:firstLine="420"/>
        <w:jc w:val="both"/>
      </w:pPr>
      <w:r>
        <w:t>合约内部通过records数组保存全部LogRecord，并以数组下标或记录编号支持单条记录查询。为提高任务维度查询效率，合约还维护taskIdToRecordIds 映射，将同一taskId对应的记录编号集中保存。审计时，系统既可以通过记录编号查询单条链上存证，也可以根据taskId获取某一任务下的全部链上记录。</w:t>
      </w:r>
    </w:p>
    <w:p w14:paraId="2C9AFBCC">
      <w:pPr>
        <w:bidi w:val="0"/>
        <w:jc w:val="both"/>
      </w:pPr>
      <w:r>
        <w:t>该数据结构没有保存日志原文，只保存必要摘要和元数据，能够降低链上存储压力，也避免敏感日志内容直接暴露。records数组保证全局记录可追溯，taskIdToRecordIds映射支持任务维度审计，两者共同满足日志编号查询和任务回溯查询需求。</w:t>
      </w:r>
    </w:p>
    <w:p w14:paraId="23F157F4">
      <w:pPr>
        <w:bidi w:val="0"/>
        <w:ind w:firstLine="480" w:firstLineChars="200"/>
        <w:jc w:val="both"/>
      </w:pPr>
      <w:r>
        <w:t>为直观展示链上记录的组织方式，图 3-4 给出了LogRecord结构体、records数组和taskIdToRecordIds映射之间的关系。</w:t>
      </w:r>
    </w:p>
    <w:p w14:paraId="28CB60F5">
      <w:pPr>
        <w:jc w:val="center"/>
      </w:pPr>
      <w:r>
        <w:drawing>
          <wp:inline distT="0" distB="0" distL="114300" distR="114300">
            <wp:extent cx="5303520" cy="2983230"/>
            <wp:effectExtent l="0" t="0" r="5080" b="1270"/>
            <wp:docPr id="15" name="图片 5" descr="fig-3-4-logregistry-data-structure.png"/>
            <wp:cNvGraphicFramePr/>
            <a:graphic xmlns:a="http://schemas.openxmlformats.org/drawingml/2006/main">
              <a:graphicData uri="http://schemas.openxmlformats.org/drawingml/2006/picture">
                <pic:pic xmlns:pic="http://schemas.openxmlformats.org/drawingml/2006/picture">
                  <pic:nvPicPr>
                    <pic:cNvPr id="15" name="图片 5" descr="fig-3-4-logregistry-data-structure.png"/>
                    <pic:cNvPicPr/>
                  </pic:nvPicPr>
                  <pic:blipFill>
                    <a:blip r:embed="rId15"/>
                    <a:stretch>
                      <a:fillRect/>
                    </a:stretch>
                  </pic:blipFill>
                  <pic:spPr>
                    <a:xfrm>
                      <a:off x="0" y="0"/>
                      <a:ext cx="5303520" cy="2983230"/>
                    </a:xfrm>
                    <a:prstGeom prst="rect">
                      <a:avLst/>
                    </a:prstGeom>
                    <a:noFill/>
                    <a:ln>
                      <a:noFill/>
                    </a:ln>
                  </pic:spPr>
                </pic:pic>
              </a:graphicData>
            </a:graphic>
          </wp:inline>
        </w:drawing>
      </w:r>
    </w:p>
    <w:p w14:paraId="4B236011">
      <w:pPr>
        <w:jc w:val="center"/>
        <w:rPr>
          <w:rFonts w:hint="default" w:ascii="Times New Roman" w:hAnsi="Times New Roman" w:cs="Times New Roman"/>
          <w:b/>
          <w:bCs/>
        </w:rPr>
      </w:pPr>
      <w:r>
        <w:rPr>
          <w:rFonts w:hint="default" w:ascii="Times New Roman" w:hAnsi="Times New Roman" w:cs="Times New Roman"/>
          <w:b/>
          <w:bCs/>
          <w:sz w:val="21"/>
        </w:rPr>
        <w:t>图 3-4 LogRegistry合约数据结构关系图</w:t>
      </w:r>
    </w:p>
    <w:p w14:paraId="0181A95B">
      <w:pPr>
        <w:pStyle w:val="4"/>
        <w:bidi w:val="0"/>
      </w:pPr>
      <w:bookmarkStart w:id="60" w:name="_Toc13109"/>
      <w:r>
        <w:t>基于AccessControl的写入权限控制</w:t>
      </w:r>
      <w:bookmarkEnd w:id="60"/>
    </w:p>
    <w:p w14:paraId="572BBF66">
      <w:pPr>
        <w:spacing w:line="360" w:lineRule="auto"/>
        <w:ind w:firstLine="420"/>
        <w:jc w:val="both"/>
      </w:pPr>
      <w:r>
        <w:t>日志存证合约不能允许任意地址写入。如果链上写入缺少权限限制，攻击者或无关账户可能提交伪造taskId和logHash，导致链上记录与真实日志无关，从而影响审计依据的可信性。因此，LogRegistry合约需要在写入入口设置安全边界，只允许受信任的日志提交主体调用storeLog。</w:t>
      </w:r>
    </w:p>
    <w:p w14:paraId="0045AA47">
      <w:pPr>
        <w:spacing w:line="360" w:lineRule="auto"/>
        <w:ind w:firstLine="420"/>
        <w:jc w:val="both"/>
      </w:pPr>
      <w:r>
        <w:t>本系统基于OpenZeppelin AccessControl实现角色控制。DEFAULT_ADMIN_ROLE用于管理角色授权，LOGGER_ROLE用于控制日志哈希写入权限。本系统使用`AccessControl`将链上写入行为限定为具备`LOGGER_ROLE`的地址，以降低伪造写入对链上证据可信性的影响</w:t>
      </w:r>
      <w:r>
        <w:rPr>
          <w:vertAlign w:val="superscript"/>
        </w:rPr>
        <w:t>[20]</w:t>
      </w:r>
      <w:r>
        <w:t>。后端服务使用具备LOGGER_ROLE的账户调用storeLog，将日志哈希写入链上；未获得该角色的账户即使知道合约地址和方法，也不能完成有效写入。</w:t>
      </w:r>
    </w:p>
    <w:p w14:paraId="2D5083A1">
      <w:pPr>
        <w:spacing w:line="360" w:lineRule="auto"/>
        <w:ind w:firstLine="420"/>
        <w:jc w:val="both"/>
      </w:pPr>
      <w:r>
        <w:t>与自定义权限字段相比，AccessControl提供成熟的角色管理接口和事件记录，便于授权、撤销和审计。该设计也回应了智能合约权限配置错误可能削弱系统安全边界的问题</w:t>
      </w:r>
      <w:r>
        <w:rPr>
          <w:vertAlign w:val="superscript"/>
        </w:rPr>
        <w:t>[18]</w:t>
      </w:r>
      <w:r>
        <w:t>，将链下业务系统的提交行为与链上权限边界对应起来，使LogRegistry合约不仅保存证据摘要，也能够限制可信写入来源。</w:t>
      </w:r>
    </w:p>
    <w:p w14:paraId="2AFECD13">
      <w:pPr>
        <w:pStyle w:val="4"/>
        <w:bidi w:val="0"/>
      </w:pPr>
      <w:bookmarkStart w:id="61" w:name="_Toc28347"/>
      <w:r>
        <w:t>日志哈希写入与任务维度查询方法</w:t>
      </w:r>
      <w:bookmarkEnd w:id="61"/>
    </w:p>
    <w:p w14:paraId="11967C20">
      <w:pPr>
        <w:spacing w:line="360" w:lineRule="auto"/>
        <w:ind w:firstLine="420"/>
        <w:jc w:val="both"/>
      </w:pPr>
      <w:r>
        <w:t>LogRegistry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onChainHash。日志哈希主要通过storeLog(taskId, logHash)写入，该方法要求调用者具备LOGGER_ROLE，并在写入后触发LogStored事件。</w:t>
      </w:r>
    </w:p>
    <w:p w14:paraId="1FDD3D9F">
      <w:pPr>
        <w:spacing w:line="360" w:lineRule="auto"/>
        <w:ind w:firstLine="420"/>
        <w:jc w:val="both"/>
      </w:pPr>
      <w:r>
        <w:t>除写入方法外，LogRegistry还提供多种查询方法。在审计阶段，任务维度查询方法具有直接作用。后端服务会根据待审计日志的task_id连接对应LogRegistry合约，并调用getLogsByTaskId(taskId)获取该任务下的链上记录。因此，storeLog方法负责将日志哈希写入链上，查询方法负责在审计阶段提供链上证据读取能力，事件机制则增强链上写入过程的可追踪性。三者共同构成LogRegistry合约的核心操作接口，使系统能够围绕任务标识完成日志存证、查询和审计比对。</w:t>
      </w:r>
    </w:p>
    <w:p w14:paraId="1684CD71">
      <w:pPr>
        <w:spacing w:line="360" w:lineRule="auto"/>
        <w:ind w:firstLine="420"/>
        <w:jc w:val="center"/>
        <w:rPr>
          <w:rFonts w:hint="default" w:ascii="Times New Roman" w:hAnsi="Times New Roman" w:cs="Times New Roman"/>
          <w:b/>
          <w:bCs/>
        </w:rPr>
      </w:pPr>
      <w:r>
        <w:rPr>
          <w:rFonts w:hint="default" w:ascii="Times New Roman" w:hAnsi="Times New Roman" w:cs="Times New Roman"/>
          <w:b/>
          <w:bCs/>
        </w:rPr>
        <w:t>表 3-1 LogRegistry合约方法说明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29"/>
        <w:gridCol w:w="2815"/>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single" w:color="000000" w:sz="12" w:space="0"/>
              <w:left w:val="nil"/>
              <w:bottom w:val="single" w:color="000000" w:sz="4" w:space="0"/>
              <w:right w:val="nil"/>
              <w:tl2br w:val="nil"/>
            </w:tcBorders>
            <w:shd w:val="clear" w:color="auto" w:fill="FFFFFF"/>
            <w:vAlign w:val="center"/>
          </w:tcPr>
          <w:p w14:paraId="315F0C79">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合约方法</w:t>
            </w:r>
          </w:p>
        </w:tc>
        <w:tc>
          <w:tcPr>
            <w:tcW w:w="2880" w:type="dxa"/>
            <w:tcBorders>
              <w:top w:val="single" w:color="000000" w:sz="12" w:space="0"/>
              <w:left w:val="nil"/>
              <w:bottom w:val="single" w:color="000000" w:sz="4" w:space="0"/>
              <w:right w:val="nil"/>
            </w:tcBorders>
            <w:shd w:val="clear" w:color="auto" w:fill="FFFFFF"/>
            <w:vAlign w:val="center"/>
          </w:tcPr>
          <w:p w14:paraId="3F526D1A">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主要功能</w:t>
            </w:r>
          </w:p>
        </w:tc>
        <w:tc>
          <w:tcPr>
            <w:tcW w:w="2880" w:type="dxa"/>
            <w:tcBorders>
              <w:top w:val="single" w:color="000000" w:sz="12" w:space="0"/>
              <w:left w:val="nil"/>
              <w:bottom w:val="single" w:color="000000" w:sz="4" w:space="0"/>
              <w:right w:val="nil"/>
            </w:tcBorders>
            <w:shd w:val="clear" w:color="auto" w:fill="FFFFFF"/>
            <w:vAlign w:val="center"/>
          </w:tcPr>
          <w:p w14:paraId="682F14FC">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single" w:color="000000" w:sz="4" w:space="0"/>
              <w:left w:val="nil"/>
              <w:bottom w:val="nil"/>
              <w:right w:val="nil"/>
            </w:tcBorders>
            <w:shd w:val="clear" w:color="auto" w:fill="FFFFFF"/>
            <w:vAlign w:val="center"/>
          </w:tcPr>
          <w:p w14:paraId="1D06FE98">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storeLog(taskId, logHash)</w:t>
            </w:r>
          </w:p>
        </w:tc>
        <w:tc>
          <w:tcPr>
            <w:tcW w:w="2880" w:type="dxa"/>
            <w:tcBorders>
              <w:top w:val="single" w:color="000000" w:sz="4" w:space="0"/>
              <w:left w:val="nil"/>
              <w:bottom w:val="nil"/>
              <w:right w:val="nil"/>
            </w:tcBorders>
            <w:shd w:val="clear" w:color="auto" w:fill="FFFFFF"/>
            <w:vAlign w:val="center"/>
          </w:tcPr>
          <w:p w14:paraId="6213C66B">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写入日志哈希存证记录，并触发LogStored事件。</w:t>
            </w:r>
          </w:p>
        </w:tc>
        <w:tc>
          <w:tcPr>
            <w:tcW w:w="2880" w:type="dxa"/>
            <w:tcBorders>
              <w:top w:val="single" w:color="000000" w:sz="4" w:space="0"/>
              <w:left w:val="nil"/>
              <w:bottom w:val="nil"/>
              <w:right w:val="nil"/>
            </w:tcBorders>
            <w:shd w:val="clear" w:color="auto" w:fill="FFFFFF"/>
            <w:vAlign w:val="center"/>
          </w:tcPr>
          <w:p w14:paraId="276E9B38">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nil"/>
              <w:left w:val="nil"/>
              <w:bottom w:val="nil"/>
              <w:right w:val="nil"/>
            </w:tcBorders>
            <w:shd w:val="clear" w:color="auto" w:fill="FFFFFF"/>
            <w:vAlign w:val="center"/>
          </w:tcPr>
          <w:p w14:paraId="602703B9">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getLog(recordId)</w:t>
            </w:r>
          </w:p>
        </w:tc>
        <w:tc>
          <w:tcPr>
            <w:tcW w:w="2880" w:type="dxa"/>
            <w:tcBorders>
              <w:top w:val="nil"/>
              <w:left w:val="nil"/>
              <w:bottom w:val="nil"/>
              <w:right w:val="nil"/>
            </w:tcBorders>
            <w:shd w:val="clear" w:color="auto" w:fill="FFFFFF"/>
            <w:vAlign w:val="center"/>
          </w:tcPr>
          <w:p w14:paraId="410537E0">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根据记录编号查询单条链上记录。</w:t>
            </w:r>
          </w:p>
        </w:tc>
        <w:tc>
          <w:tcPr>
            <w:tcW w:w="2880" w:type="dxa"/>
            <w:tcBorders>
              <w:top w:val="nil"/>
              <w:left w:val="nil"/>
              <w:bottom w:val="nil"/>
              <w:right w:val="nil"/>
            </w:tcBorders>
            <w:shd w:val="clear" w:color="auto" w:fill="FFFFFF"/>
            <w:vAlign w:val="center"/>
          </w:tcPr>
          <w:p w14:paraId="3E58C2EF">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nil"/>
              <w:left w:val="nil"/>
              <w:bottom w:val="nil"/>
              <w:right w:val="nil"/>
            </w:tcBorders>
            <w:shd w:val="clear" w:color="auto" w:fill="FFFFFF"/>
            <w:vAlign w:val="center"/>
          </w:tcPr>
          <w:p w14:paraId="14324C9A">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getRecordIdsByTaskId(taskId)</w:t>
            </w:r>
          </w:p>
        </w:tc>
        <w:tc>
          <w:tcPr>
            <w:tcW w:w="2880" w:type="dxa"/>
            <w:tcBorders>
              <w:top w:val="nil"/>
              <w:left w:val="nil"/>
              <w:bottom w:val="nil"/>
              <w:right w:val="nil"/>
            </w:tcBorders>
            <w:shd w:val="clear" w:color="auto" w:fill="FFFFFF"/>
            <w:vAlign w:val="center"/>
          </w:tcPr>
          <w:p w14:paraId="0DEDB55C">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查询某一任务下全部链上记录编号。</w:t>
            </w:r>
          </w:p>
        </w:tc>
        <w:tc>
          <w:tcPr>
            <w:tcW w:w="2880" w:type="dxa"/>
            <w:tcBorders>
              <w:top w:val="nil"/>
              <w:left w:val="nil"/>
              <w:bottom w:val="nil"/>
              <w:right w:val="nil"/>
            </w:tcBorders>
            <w:shd w:val="clear" w:color="auto" w:fill="FFFFFF"/>
            <w:vAlign w:val="center"/>
          </w:tcPr>
          <w:p w14:paraId="34DD86C9">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nil"/>
              <w:left w:val="nil"/>
              <w:bottom w:val="nil"/>
              <w:right w:val="nil"/>
            </w:tcBorders>
            <w:shd w:val="clear" w:color="auto" w:fill="FFFFFF"/>
            <w:vAlign w:val="center"/>
          </w:tcPr>
          <w:p w14:paraId="27C506DC">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getLogsByTaskId(taskId)</w:t>
            </w:r>
          </w:p>
        </w:tc>
        <w:tc>
          <w:tcPr>
            <w:tcW w:w="2880" w:type="dxa"/>
            <w:tcBorders>
              <w:top w:val="nil"/>
              <w:left w:val="nil"/>
              <w:bottom w:val="nil"/>
              <w:right w:val="nil"/>
            </w:tcBorders>
            <w:shd w:val="clear" w:color="auto" w:fill="FFFFFF"/>
            <w:vAlign w:val="center"/>
          </w:tcPr>
          <w:p w14:paraId="50C1586C">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查询某一任务下完整链上日志记录。</w:t>
            </w:r>
          </w:p>
        </w:tc>
        <w:tc>
          <w:tcPr>
            <w:tcW w:w="2880" w:type="dxa"/>
            <w:tcBorders>
              <w:top w:val="nil"/>
              <w:left w:val="nil"/>
              <w:bottom w:val="nil"/>
              <w:right w:val="nil"/>
            </w:tcBorders>
            <w:shd w:val="clear" w:color="auto" w:fill="FFFFFF"/>
            <w:vAlign w:val="center"/>
          </w:tcPr>
          <w:p w14:paraId="773A27DF">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nil"/>
              <w:left w:val="nil"/>
              <w:bottom w:val="nil"/>
              <w:right w:val="nil"/>
            </w:tcBorders>
            <w:shd w:val="clear" w:color="auto" w:fill="FFFFFF"/>
            <w:vAlign w:val="center"/>
          </w:tcPr>
          <w:p w14:paraId="2035392C">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getTaskLogCount(taskId)</w:t>
            </w:r>
          </w:p>
        </w:tc>
        <w:tc>
          <w:tcPr>
            <w:tcW w:w="2880" w:type="dxa"/>
            <w:tcBorders>
              <w:top w:val="nil"/>
              <w:left w:val="nil"/>
              <w:bottom w:val="nil"/>
              <w:right w:val="nil"/>
            </w:tcBorders>
            <w:shd w:val="clear" w:color="auto" w:fill="FFFFFF"/>
            <w:vAlign w:val="center"/>
          </w:tcPr>
          <w:p w14:paraId="0F57CB52">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统计指定任务下链上日志数量。</w:t>
            </w:r>
          </w:p>
        </w:tc>
        <w:tc>
          <w:tcPr>
            <w:tcW w:w="2880" w:type="dxa"/>
            <w:tcBorders>
              <w:top w:val="nil"/>
              <w:left w:val="nil"/>
              <w:bottom w:val="nil"/>
              <w:right w:val="nil"/>
            </w:tcBorders>
            <w:shd w:val="clear" w:color="auto" w:fill="FFFFFF"/>
            <w:vAlign w:val="center"/>
          </w:tcPr>
          <w:p w14:paraId="1570E6B6">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nil"/>
              <w:left w:val="nil"/>
              <w:bottom w:val="single" w:color="000000" w:sz="12" w:space="0"/>
              <w:right w:val="nil"/>
            </w:tcBorders>
            <w:shd w:val="clear" w:color="auto" w:fill="FFFFFF"/>
            <w:vAlign w:val="center"/>
          </w:tcPr>
          <w:p w14:paraId="3FD6CC45">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getLogCount()</w:t>
            </w:r>
          </w:p>
        </w:tc>
        <w:tc>
          <w:tcPr>
            <w:tcW w:w="2880" w:type="dxa"/>
            <w:tcBorders>
              <w:top w:val="nil"/>
              <w:left w:val="nil"/>
              <w:bottom w:val="single" w:color="000000" w:sz="12" w:space="0"/>
              <w:right w:val="nil"/>
            </w:tcBorders>
            <w:shd w:val="clear" w:color="auto" w:fill="FFFFFF"/>
            <w:vAlign w:val="center"/>
          </w:tcPr>
          <w:p w14:paraId="529BD71D">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统计合约中全部存证记录数量。</w:t>
            </w:r>
          </w:p>
        </w:tc>
        <w:tc>
          <w:tcPr>
            <w:tcW w:w="2880" w:type="dxa"/>
            <w:tcBorders>
              <w:top w:val="nil"/>
              <w:left w:val="nil"/>
              <w:bottom w:val="single" w:color="000000" w:sz="12" w:space="0"/>
              <w:right w:val="nil"/>
            </w:tcBorders>
            <w:shd w:val="clear" w:color="auto" w:fill="FFFFFF"/>
            <w:vAlign w:val="center"/>
          </w:tcPr>
          <w:p w14:paraId="452758DD">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辅助整体存证统计。</w:t>
            </w:r>
          </w:p>
        </w:tc>
      </w:tr>
    </w:tbl>
    <w:p w14:paraId="2337AA62">
      <w:pPr>
        <w:pStyle w:val="3"/>
        <w:bidi w:val="0"/>
        <w:rPr>
          <w:rFonts w:ascii="宋体" w:hAnsi="宋体" w:eastAsia="宋体"/>
          <w:b/>
          <w:sz w:val="30"/>
        </w:rPr>
      </w:pPr>
      <w:bookmarkStart w:id="62" w:name="_Toc29218"/>
      <w:bookmarkStart w:id="63" w:name="_Toc21941"/>
      <w:bookmarkStart w:id="64" w:name="_Toc30618"/>
      <w:r>
        <w:rPr>
          <w:rFonts w:hint="eastAsia" w:ascii="Times New Roman" w:hAnsi="Times New Roman" w:eastAsia="黑体"/>
          <w:color w:val="000000" w:themeColor="text1"/>
          <w:sz w:val="28"/>
          <w:szCs w:val="28"/>
          <w14:textFill>
            <w14:solidFill>
              <w14:schemeClr w14:val="tx1"/>
            </w14:solidFill>
          </w14:textFill>
        </w:rPr>
        <w:t>链上链下协同审计机制</w:t>
      </w:r>
      <w:bookmarkEnd w:id="62"/>
      <w:bookmarkEnd w:id="63"/>
      <w:bookmarkEnd w:id="64"/>
    </w:p>
    <w:p w14:paraId="395A19A5">
      <w:pPr>
        <w:pStyle w:val="4"/>
        <w:bidi w:val="0"/>
      </w:pPr>
      <w:bookmarkStart w:id="65" w:name="_Toc3731"/>
      <w:r>
        <w:t>数据库哈希、链上哈希与重算哈希三方比对</w:t>
      </w:r>
      <w:bookmarkEnd w:id="65"/>
    </w:p>
    <w:p w14:paraId="2A4A2BAC">
      <w:pPr>
        <w:spacing w:line="360" w:lineRule="auto"/>
        <w:ind w:firstLine="420"/>
        <w:jc w:val="both"/>
      </w:pPr>
      <w:r>
        <w:t>三方哈希比对是本系统审计机制的核心。系统在日志提交阶段计算日志内容的SHA-256摘要，并将该值写入log_hash_records，作为expectedHash</w:t>
      </w:r>
      <w:r>
        <w:rPr>
          <w:vertAlign w:val="superscript"/>
        </w:rPr>
        <w:t>[21]</w:t>
      </w:r>
      <w:r>
        <w:t>；同时将对应哈希写入LogRegistry合约，形成链上onChainHash。审计阶段，系统再次读取logs表中的日志原文并重新计算actualHash。</w:t>
      </w:r>
    </w:p>
    <w:p w14:paraId="027B56EA">
      <w:pPr>
        <w:spacing w:line="360" w:lineRule="auto"/>
        <w:ind w:firstLine="420"/>
        <w:jc w:val="both"/>
      </w:pPr>
      <w:r>
        <w:t>审计逻辑以expectedHash、actualHash和onChainHash 的一致性为判断依据。若三者完全一致，说明当前日志原文、数据库存证记录和链上存证记录相互匹配，审计结果为passed。若actualHash与expectedHash 不一致，说明链下日志原文可能被修改；该判断体现了安全日志研究中通过完整性校验识别事后篡改的基本思想</w:t>
      </w:r>
      <w:r>
        <w:rPr>
          <w:vertAlign w:val="superscript"/>
        </w:rPr>
        <w:t>[11]</w:t>
      </w:r>
      <w:r>
        <w:t>。若expectedHash与onChainHash不一致，则说明数据库记录与链上存证存在差异，审计结果为failed。</w:t>
      </w:r>
    </w:p>
    <w:p w14:paraId="711A4D1F">
      <w:pPr>
        <w:spacing w:line="360" w:lineRule="auto"/>
        <w:ind w:firstLine="420"/>
        <w:jc w:val="both"/>
      </w:pPr>
      <w:r>
        <w:t>当链上记录缺失、合约地址不可用或链上查询结果不完整时，系统不直接判定日志被篡改，而是将结果置为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508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5303520" cy="2983230"/>
                    </a:xfrm>
                    <a:prstGeom prst="rect">
                      <a:avLst/>
                    </a:prstGeom>
                    <a:noFill/>
                    <a:ln>
                      <a:noFill/>
                    </a:ln>
                  </pic:spPr>
                </pic:pic>
              </a:graphicData>
            </a:graphic>
          </wp:inline>
        </w:drawing>
      </w:r>
    </w:p>
    <w:p w14:paraId="67CB45C0">
      <w:pPr>
        <w:jc w:val="center"/>
        <w:rPr>
          <w:rFonts w:hint="default" w:ascii="Times New Roman" w:hAnsi="Times New Roman" w:cs="Times New Roman"/>
          <w:b/>
          <w:bCs/>
        </w:rPr>
      </w:pPr>
      <w:r>
        <w:rPr>
          <w:rFonts w:hint="default" w:ascii="Times New Roman" w:hAnsi="Times New Roman" w:cs="Times New Roman"/>
          <w:b/>
          <w:bCs/>
          <w:sz w:val="21"/>
        </w:rPr>
        <w:t>图 3-3 三方哈希比对流程</w:t>
      </w:r>
    </w:p>
    <w:p w14:paraId="502CB520">
      <w:pPr>
        <w:pStyle w:val="4"/>
        <w:bidi w:val="0"/>
      </w:pPr>
      <w:bookmarkStart w:id="66" w:name="_Toc11077"/>
      <w:r>
        <w:t>历史合约地址回溯审计策略</w:t>
      </w:r>
      <w:bookmarkEnd w:id="66"/>
    </w:p>
    <w:p w14:paraId="46CA2DE7">
      <w:pPr>
        <w:spacing w:line="360" w:lineRule="auto"/>
        <w:ind w:firstLine="420"/>
        <w:jc w:val="both"/>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log_hash和transaction_hash，还会在log_hash_records表中保存本次写入实际使用的contract_address。这种设计能够解决多次部署带来的历史记录审计问题。</w:t>
      </w:r>
    </w:p>
    <w:p w14:paraId="7E7D54A8">
      <w:pPr>
        <w:spacing w:line="360" w:lineRule="auto"/>
        <w:ind w:firstLine="420"/>
        <w:jc w:val="both"/>
      </w:pPr>
      <w:r>
        <w:t>例如，在本地Hardhat环境中，节点重启或合约重新部署都可能使当前环境变量中的合约地址与历史日志实际写入地址不一致。将contract_address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14:paraId="7F0169B9">
      <w:pPr>
        <w:bidi w:val="0"/>
        <w:ind w:firstLine="480" w:firstLineChars="200"/>
        <w:jc w:val="both"/>
      </w:pPr>
      <w:r>
        <w:t>该策略的关键在于审计阶段不只依赖当前环境变量中的合约地址，而是优先回到日志写入时记录的contract_address。图 3-5 展示了历史合约地址回溯的审计路径。</w:t>
      </w:r>
    </w:p>
    <w:p w14:paraId="55510177">
      <w:pPr>
        <w:jc w:val="center"/>
      </w:pPr>
      <w:r>
        <w:drawing>
          <wp:inline distT="0" distB="0" distL="114300" distR="114300">
            <wp:extent cx="5303520" cy="2983230"/>
            <wp:effectExtent l="0" t="0" r="5080" b="1270"/>
            <wp:docPr id="7" name="图片 7" descr="fig-3-5-contract-address-tracing-audit.png"/>
            <wp:cNvGraphicFramePr/>
            <a:graphic xmlns:a="http://schemas.openxmlformats.org/drawingml/2006/main">
              <a:graphicData uri="http://schemas.openxmlformats.org/drawingml/2006/picture">
                <pic:pic xmlns:pic="http://schemas.openxmlformats.org/drawingml/2006/picture">
                  <pic:nvPicPr>
                    <pic:cNvPr id="7" name="图片 7" descr="fig-3-5-contract-address-tracing-audit.png"/>
                    <pic:cNvPicPr/>
                  </pic:nvPicPr>
                  <pic:blipFill>
                    <a:blip r:embed="rId17"/>
                    <a:stretch>
                      <a:fillRect/>
                    </a:stretch>
                  </pic:blipFill>
                  <pic:spPr>
                    <a:xfrm>
                      <a:off x="0" y="0"/>
                      <a:ext cx="5303520" cy="2983230"/>
                    </a:xfrm>
                    <a:prstGeom prst="rect">
                      <a:avLst/>
                    </a:prstGeom>
                    <a:noFill/>
                    <a:ln>
                      <a:noFill/>
                    </a:ln>
                  </pic:spPr>
                </pic:pic>
              </a:graphicData>
            </a:graphic>
          </wp:inline>
        </w:drawing>
      </w:r>
    </w:p>
    <w:p w14:paraId="020C017E">
      <w:pPr>
        <w:jc w:val="center"/>
        <w:rPr>
          <w:rFonts w:hint="default" w:ascii="Times New Roman" w:hAnsi="Times New Roman" w:cs="Times New Roman"/>
          <w:b/>
          <w:bCs/>
        </w:rPr>
      </w:pPr>
      <w:r>
        <w:rPr>
          <w:rFonts w:hint="default" w:ascii="Times New Roman" w:hAnsi="Times New Roman" w:cs="Times New Roman"/>
          <w:b/>
          <w:bCs/>
          <w:sz w:val="21"/>
        </w:rPr>
        <w:t>图 3-5 历史合约地址回溯审计策略图</w:t>
      </w:r>
    </w:p>
    <w:p w14:paraId="61051071">
      <w:pPr>
        <w:pStyle w:val="4"/>
        <w:bidi w:val="0"/>
      </w:pPr>
      <w:bookmarkStart w:id="67" w:name="_Toc3390"/>
      <w:r>
        <w:t>合约代码存在性校验机制</w:t>
      </w:r>
      <w:bookmarkEnd w:id="67"/>
    </w:p>
    <w:p w14:paraId="20C01AE6">
      <w:pPr>
        <w:spacing w:line="360" w:lineRule="auto"/>
        <w:ind w:firstLine="420"/>
        <w:jc w:val="both"/>
      </w:pPr>
      <w:r>
        <w:t>在本地Hardhat链和多次部署场景中，合约地址的有效性会直接影响审计结果。若本地链重启，</w:t>
      </w:r>
      <w:r>
        <w:rPr>
          <w:sz w:val="28"/>
          <w:szCs w:val="28"/>
        </w:rPr>
        <w:t>原合约地址可能不再</w:t>
      </w:r>
      <w:r>
        <w:t>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jc w:val="both"/>
      </w:pPr>
      <w:r>
        <w:t>具体而言，系统通过Ethers的provider.getCode(address)读取目标地址上的合约字节码。若返回结果表明该地址不存在合约代码，系统不继续执行写入或查询，而是将相关链上记录视为不可用状态，并在审计中进入pending或异常说明流程。该机制能够避免本地链重启后仍使用历史地址造成误判，也使合约部署状态与审计结果之间的关系更加清晰。</w:t>
      </w:r>
    </w:p>
    <w:p w14:paraId="6329D9CC">
      <w:pPr>
        <w:spacing w:line="360" w:lineRule="auto"/>
        <w:ind w:firstLine="420"/>
        <w:jc w:val="both"/>
      </w:pPr>
      <w:r>
        <w:t>合约代码存在性校验并不改变LogRegistry的业务逻辑，而是增强链上交互的健壮性。通过在写入和读取前确认目标地址确实部署了合约，系统能够降低错误配置、链重启和地址失效对实验结果的影响，从而提高可信日志审计闭环的可复现性和说明力。</w:t>
      </w:r>
    </w:p>
    <w:p w14:paraId="57C6B5D2">
      <w:pPr>
        <w:jc w:val="both"/>
      </w:pPr>
      <w:r>
        <w:rPr>
          <w:rFonts w:ascii="宋体" w:hAnsi="宋体"/>
          <w:sz w:val="21"/>
        </w:rPr>
        <w:t>除记录历史合约地址外，系统还需要确认目标地址上确实存在合约字节码。图 3-6 展示了基于provider.getCode(address)的前置校验流程。</w:t>
      </w:r>
    </w:p>
    <w:p w14:paraId="082C4C38">
      <w:pPr>
        <w:jc w:val="center"/>
      </w:pPr>
      <w:r>
        <w:drawing>
          <wp:inline distT="0" distB="0" distL="114300" distR="114300">
            <wp:extent cx="5303520" cy="2983230"/>
            <wp:effectExtent l="0" t="0" r="5080" b="1270"/>
            <wp:docPr id="10" name="图片 8" descr="fig-3-6-contract-code-existence-check.png"/>
            <wp:cNvGraphicFramePr/>
            <a:graphic xmlns:a="http://schemas.openxmlformats.org/drawingml/2006/main">
              <a:graphicData uri="http://schemas.openxmlformats.org/drawingml/2006/picture">
                <pic:pic xmlns:pic="http://schemas.openxmlformats.org/drawingml/2006/picture">
                  <pic:nvPicPr>
                    <pic:cNvPr id="10" name="图片 8" descr="fig-3-6-contract-code-existence-check.png"/>
                    <pic:cNvPicPr/>
                  </pic:nvPicPr>
                  <pic:blipFill>
                    <a:blip r:embed="rId18"/>
                    <a:stretch>
                      <a:fillRect/>
                    </a:stretch>
                  </pic:blipFill>
                  <pic:spPr>
                    <a:xfrm>
                      <a:off x="0" y="0"/>
                      <a:ext cx="5303520" cy="2983230"/>
                    </a:xfrm>
                    <a:prstGeom prst="rect">
                      <a:avLst/>
                    </a:prstGeom>
                    <a:noFill/>
                    <a:ln>
                      <a:noFill/>
                    </a:ln>
                  </pic:spPr>
                </pic:pic>
              </a:graphicData>
            </a:graphic>
          </wp:inline>
        </w:drawing>
      </w:r>
    </w:p>
    <w:p w14:paraId="1EE90D9A">
      <w:pPr>
        <w:jc w:val="center"/>
        <w:rPr>
          <w:rFonts w:hint="default" w:ascii="Times New Roman" w:hAnsi="Times New Roman" w:cs="Times New Roman"/>
          <w:b/>
          <w:bCs/>
        </w:rPr>
      </w:pPr>
      <w:r>
        <w:rPr>
          <w:rFonts w:hint="default" w:ascii="Times New Roman" w:hAnsi="Times New Roman" w:cs="Times New Roman"/>
          <w:b/>
          <w:bCs/>
          <w:sz w:val="21"/>
        </w:rPr>
        <w:t>图 3-6 合约代码存在性校验流程图</w:t>
      </w:r>
    </w:p>
    <w:p w14:paraId="465C6B91">
      <w:pPr>
        <w:pStyle w:val="3"/>
        <w:bidi w:val="0"/>
      </w:pPr>
      <w:bookmarkStart w:id="68" w:name="_Toc27266"/>
      <w:bookmarkStart w:id="69" w:name="_Toc30306"/>
      <w:bookmarkStart w:id="70" w:name="_Toc21844"/>
      <w:r>
        <w:rPr>
          <w:rFonts w:hint="eastAsia"/>
        </w:rPr>
        <w:t>篡改检测与异常告警机制</w:t>
      </w:r>
      <w:bookmarkEnd w:id="68"/>
      <w:bookmarkEnd w:id="69"/>
      <w:bookmarkEnd w:id="70"/>
    </w:p>
    <w:p w14:paraId="272B2D88">
      <w:pPr>
        <w:pStyle w:val="4"/>
        <w:bidi w:val="0"/>
      </w:pPr>
      <w:bookmarkStart w:id="71" w:name="_Toc12417"/>
      <w:r>
        <w:t>审计状态判定规则</w:t>
      </w:r>
      <w:bookmarkEnd w:id="71"/>
    </w:p>
    <w:p w14:paraId="78190E0B">
      <w:pPr>
        <w:spacing w:line="360" w:lineRule="auto"/>
        <w:ind w:firstLine="420"/>
        <w:jc w:val="both"/>
      </w:pPr>
      <w:r>
        <w:t>系统将审计结果划分为passed、failed和pending三种状态。passed表示 expectedHash、actualHash与onChainHash 完全一致，说明日志原文、数据库哈希和链上哈希能够相互印证。该状态下，系统将审计记录写入audit_records，并保留审计时间和说明信息。</w:t>
      </w:r>
    </w:p>
    <w:p w14:paraId="06B45BAF">
      <w:pPr>
        <w:spacing w:line="360" w:lineRule="auto"/>
        <w:ind w:firstLine="420"/>
        <w:jc w:val="both"/>
      </w:pPr>
      <w:r>
        <w:t>failed表示审计过程中发现明确不一致。典型情况包括actualHash与expectedHash不一致，说明logs表中的日志内容可能被修改；或者expectedHash与onChainHash不一致，说明链下存证记录与链上记录不匹配。此时系统会生成failed审计记录，并触发hash_mismatch告警。</w:t>
      </w:r>
    </w:p>
    <w:p w14:paraId="224E4A23">
      <w:pPr>
        <w:spacing w:line="360" w:lineRule="auto"/>
        <w:ind w:firstLine="420"/>
        <w:jc w:val="both"/>
      </w:pPr>
      <w:r>
        <w:t>pending表示当前证据不足以得出最终结论，常见于链上记录缺失、合约地址不可用或合约代码不存在等情况。pending 等同于审计通过，而是提示需要补充链上证据或检查部署环境。三类状态的判定关系见表 3-2。</w:t>
      </w:r>
    </w:p>
    <w:p w14:paraId="019D9113">
      <w:pPr>
        <w:jc w:val="center"/>
        <w:rPr>
          <w:rFonts w:hint="default" w:ascii="Times New Roman" w:hAnsi="Times New Roman" w:cs="Times New Roman"/>
          <w:b/>
          <w:bCs/>
        </w:rPr>
      </w:pPr>
      <w:r>
        <w:rPr>
          <w:rFonts w:hint="default" w:ascii="Times New Roman" w:hAnsi="Times New Roman" w:cs="Times New Roman"/>
          <w:b/>
          <w:bCs/>
        </w:rPr>
        <w:t>表 3-2 审计状态判定规则</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7"/>
        <w:gridCol w:w="2853"/>
        <w:gridCol w:w="2832"/>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880" w:type="dxa"/>
            <w:tcBorders>
              <w:top w:val="single" w:color="000000" w:sz="12" w:space="0"/>
              <w:left w:val="nil"/>
              <w:bottom w:val="single" w:color="000000" w:sz="4" w:space="0"/>
              <w:right w:val="nil"/>
              <w:tl2br w:val="nil"/>
            </w:tcBorders>
            <w:shd w:val="clear" w:color="auto" w:fill="FFFFFF"/>
            <w:vAlign w:val="center"/>
          </w:tcPr>
          <w:p w14:paraId="415302F4">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审计状态</w:t>
            </w:r>
          </w:p>
        </w:tc>
        <w:tc>
          <w:tcPr>
            <w:tcW w:w="2880" w:type="dxa"/>
            <w:tcBorders>
              <w:top w:val="single" w:color="000000" w:sz="12" w:space="0"/>
              <w:left w:val="nil"/>
              <w:bottom w:val="single" w:color="000000" w:sz="4" w:space="0"/>
              <w:right w:val="nil"/>
            </w:tcBorders>
            <w:shd w:val="clear" w:color="auto" w:fill="FFFFFF"/>
            <w:vAlign w:val="center"/>
          </w:tcPr>
          <w:p w14:paraId="05E9C46A">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判定条件</w:t>
            </w:r>
          </w:p>
        </w:tc>
        <w:tc>
          <w:tcPr>
            <w:tcW w:w="2880" w:type="dxa"/>
            <w:tcBorders>
              <w:top w:val="single" w:color="000000" w:sz="12" w:space="0"/>
              <w:left w:val="nil"/>
              <w:bottom w:val="single" w:color="000000" w:sz="4" w:space="0"/>
              <w:right w:val="nil"/>
            </w:tcBorders>
            <w:shd w:val="clear" w:color="auto" w:fill="FFFFFF"/>
            <w:vAlign w:val="center"/>
          </w:tcPr>
          <w:p w14:paraId="2D9BB73E">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880" w:type="dxa"/>
            <w:tcBorders>
              <w:top w:val="single" w:color="000000" w:sz="4" w:space="0"/>
              <w:left w:val="nil"/>
              <w:bottom w:val="nil"/>
              <w:right w:val="nil"/>
            </w:tcBorders>
            <w:shd w:val="clear" w:color="auto" w:fill="FFFFFF"/>
            <w:vAlign w:val="center"/>
          </w:tcPr>
          <w:p w14:paraId="4188A456">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passed</w:t>
            </w:r>
          </w:p>
        </w:tc>
        <w:tc>
          <w:tcPr>
            <w:tcW w:w="2880" w:type="dxa"/>
            <w:tcBorders>
              <w:top w:val="single" w:color="000000" w:sz="4" w:space="0"/>
              <w:left w:val="nil"/>
              <w:bottom w:val="nil"/>
              <w:right w:val="nil"/>
            </w:tcBorders>
            <w:shd w:val="clear" w:color="auto" w:fill="FFFFFF"/>
            <w:vAlign w:val="center"/>
          </w:tcPr>
          <w:p w14:paraId="6424083E">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expectedHash、actualHash 与 onChainHash三方一致。</w:t>
            </w:r>
          </w:p>
        </w:tc>
        <w:tc>
          <w:tcPr>
            <w:tcW w:w="2880" w:type="dxa"/>
            <w:tcBorders>
              <w:top w:val="single" w:color="000000" w:sz="4" w:space="0"/>
              <w:left w:val="nil"/>
              <w:bottom w:val="nil"/>
              <w:right w:val="nil"/>
            </w:tcBorders>
            <w:shd w:val="clear" w:color="auto" w:fill="FFFFFF"/>
            <w:vAlign w:val="center"/>
          </w:tcPr>
          <w:p w14:paraId="4E9EE1CD">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880" w:type="dxa"/>
            <w:tcBorders>
              <w:top w:val="nil"/>
              <w:left w:val="nil"/>
              <w:bottom w:val="nil"/>
              <w:right w:val="nil"/>
            </w:tcBorders>
            <w:shd w:val="clear" w:color="auto" w:fill="FFFFFF"/>
            <w:vAlign w:val="center"/>
          </w:tcPr>
          <w:p w14:paraId="30D88B81">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failed</w:t>
            </w:r>
          </w:p>
        </w:tc>
        <w:tc>
          <w:tcPr>
            <w:tcW w:w="2880" w:type="dxa"/>
            <w:tcBorders>
              <w:top w:val="nil"/>
              <w:left w:val="nil"/>
              <w:bottom w:val="nil"/>
              <w:right w:val="nil"/>
            </w:tcBorders>
            <w:shd w:val="clear" w:color="auto" w:fill="FFFFFF"/>
            <w:vAlign w:val="center"/>
          </w:tcPr>
          <w:p w14:paraId="07D5B2F2">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actualHash与expectedHash 不一致，或链上记录与数据库记录不匹配。</w:t>
            </w:r>
          </w:p>
        </w:tc>
        <w:tc>
          <w:tcPr>
            <w:tcW w:w="2880" w:type="dxa"/>
            <w:tcBorders>
              <w:top w:val="nil"/>
              <w:left w:val="nil"/>
              <w:bottom w:val="nil"/>
              <w:right w:val="nil"/>
            </w:tcBorders>
            <w:shd w:val="clear" w:color="auto" w:fill="FFFFFF"/>
            <w:vAlign w:val="center"/>
          </w:tcPr>
          <w:p w14:paraId="78734EB2">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880" w:type="dxa"/>
            <w:tcBorders>
              <w:top w:val="nil"/>
              <w:left w:val="nil"/>
              <w:bottom w:val="single" w:color="000000" w:sz="12" w:space="0"/>
              <w:right w:val="nil"/>
            </w:tcBorders>
            <w:shd w:val="clear" w:color="auto" w:fill="FFFFFF"/>
            <w:vAlign w:val="center"/>
          </w:tcPr>
          <w:p w14:paraId="63C0E26A">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pending</w:t>
            </w:r>
          </w:p>
        </w:tc>
        <w:tc>
          <w:tcPr>
            <w:tcW w:w="2880" w:type="dxa"/>
            <w:tcBorders>
              <w:top w:val="nil"/>
              <w:left w:val="nil"/>
              <w:bottom w:val="single" w:color="000000" w:sz="12" w:space="0"/>
              <w:right w:val="nil"/>
            </w:tcBorders>
            <w:shd w:val="clear" w:color="auto" w:fill="FFFFFF"/>
            <w:vAlign w:val="center"/>
          </w:tcPr>
          <w:p w14:paraId="5D596BFB">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本地哈希与数据库记录一致，但链上记录缺失、不可用或暂未匹配。</w:t>
            </w:r>
          </w:p>
        </w:tc>
        <w:tc>
          <w:tcPr>
            <w:tcW w:w="2880" w:type="dxa"/>
            <w:tcBorders>
              <w:top w:val="nil"/>
              <w:left w:val="nil"/>
              <w:bottom w:val="single" w:color="000000" w:sz="12" w:space="0"/>
              <w:right w:val="nil"/>
            </w:tcBorders>
            <w:shd w:val="clear" w:color="auto" w:fill="FFFFFF"/>
            <w:vAlign w:val="center"/>
          </w:tcPr>
          <w:p w14:paraId="12D37F2D">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当前证据不完整，审计结论待进一步确认。</w:t>
            </w:r>
          </w:p>
        </w:tc>
      </w:tr>
    </w:tbl>
    <w:p w14:paraId="34223243">
      <w:pPr>
        <w:pStyle w:val="4"/>
        <w:bidi w:val="0"/>
      </w:pPr>
      <w:bookmarkStart w:id="72" w:name="_Toc19552"/>
      <w:r>
        <w:t>哈希不一致告警生成流程</w:t>
      </w:r>
      <w:bookmarkEnd w:id="72"/>
    </w:p>
    <w:p w14:paraId="4E47BFF3">
      <w:pPr>
        <w:spacing w:line="360" w:lineRule="auto"/>
        <w:ind w:firstLine="420"/>
        <w:jc w:val="both"/>
      </w:pPr>
      <w:r>
        <w:t>审计状态判定完成后，系统需要将发现的异常转化为可追踪、可展示的告警记录。为提高异常发现效率，本系统在审计结果为failed时自动生成hash_mismatch类型告警，将日志完整性异常从审计结果转化为告警事件，形成从检测到提示的闭环流程。哈希不一致告警的生成入口位于审计执行流程。</w:t>
      </w:r>
    </w:p>
    <w:p w14:paraId="3765A005">
      <w:pPr>
        <w:spacing w:line="360" w:lineRule="auto"/>
        <w:ind w:firstLine="420"/>
        <w:jc w:val="both"/>
      </w:pPr>
      <w:r>
        <w:t>当系统完成expectedHash、actualHash和onChainHash 的比对后，如果判定结果为failed，后端服务会先创建一条审计记录，将audit_status、expected_hash、actual_hash和audit_message 等信息写入audit_records表。在alerts表中，alert_type用于标识告警类型。本系统当前使用hash_mismatch表示哈希不一致告警，说明该告警由日志哈希校验失败触发。告警标题和描述用于提高前端展示的可读性。</w:t>
      </w:r>
    </w:p>
    <w:p w14:paraId="6094F2D5">
      <w:pPr>
        <w:spacing w:line="360" w:lineRule="auto"/>
        <w:ind w:firstLine="420"/>
        <w:jc w:val="both"/>
      </w:pPr>
      <w:r>
        <w:t>告警标题用于概括风险对象，描述字段用于说明expectedHash、actualHash或onChainHash 之间的不一致情况，严重程度和处理状态则便于后续筛选与跟踪。通过related_log_id和related_audit_id，用户可以从告警回溯到具体日志和审计记录。由此，哈希不一致告警将底层比对结果转化为可追踪的风险提示。</w:t>
      </w:r>
    </w:p>
    <w:p w14:paraId="56B0F96F">
      <w:pPr>
        <w:pStyle w:val="3"/>
        <w:bidi w:val="0"/>
      </w:pPr>
      <w:bookmarkStart w:id="73" w:name="_Toc22914"/>
      <w:r>
        <w:t>本章小结</w:t>
      </w:r>
      <w:bookmarkEnd w:id="73"/>
    </w:p>
    <w:p w14:paraId="3DCBCEA2">
      <w:pPr>
        <w:spacing w:line="360" w:lineRule="auto"/>
        <w:ind w:firstLine="420"/>
        <w:jc w:val="both"/>
      </w:pPr>
      <w:r>
        <w:t>本章围绕可信日志存证与审计机制展开设计，说明了链下日志原文与链上哈希摘要结合的混合存储模型，设计了日志标准化封装、SHA-256摘要生成和链上链下字段映射关系，并围绕LogRegistry合约阐述了数据结构、LOGGER_ROLE权限控制和任务维度查询方法。</w:t>
      </w:r>
    </w:p>
    <w:p w14:paraId="60BD99D8">
      <w:pPr>
        <w:spacing w:line="360" w:lineRule="auto"/>
        <w:ind w:firstLine="420"/>
        <w:jc w:val="both"/>
      </w:pPr>
      <w:r>
        <w:t>在审计机制方面，本章重点说明了expectedHash、actualHash与onChainHash 的三方哈希比对，给出了历史合约地址回溯、provider.getCode(address)合约代码存在性校验、审计状态判定和hash_mismatch告警流程，为后续系统总体设计与工程实现奠定基础。</w:t>
      </w:r>
    </w:p>
    <w:p w14:paraId="6234D2EF">
      <w:pPr>
        <w:pStyle w:val="2"/>
        <w:numPr>
          <w:ilvl w:val="0"/>
          <w:numId w:val="0"/>
        </w:numPr>
        <w:bidi w:val="0"/>
        <w:ind w:leftChars="0"/>
        <w:jc w:val="both"/>
      </w:pPr>
    </w:p>
    <w:p w14:paraId="6A84E157">
      <w:pPr>
        <w:pStyle w:val="2"/>
        <w:bidi w:val="0"/>
      </w:pPr>
      <w:bookmarkStart w:id="74" w:name="_Toc5389"/>
      <w:r>
        <w:t>系统需求分析与总体设计</w:t>
      </w:r>
      <w:bookmarkEnd w:id="74"/>
    </w:p>
    <w:p w14:paraId="05F952B9"/>
    <w:p w14:paraId="4110B6FA">
      <w:pPr>
        <w:pStyle w:val="3"/>
        <w:bidi w:val="0"/>
      </w:pPr>
      <w:bookmarkStart w:id="75" w:name="_Toc27143"/>
      <w:r>
        <w:t>业务场景分析</w:t>
      </w:r>
      <w:bookmarkEnd w:id="75"/>
    </w:p>
    <w:p w14:paraId="5F414C8F">
      <w:pPr>
        <w:spacing w:line="360" w:lineRule="auto"/>
        <w:ind w:firstLine="420"/>
        <w:jc w:val="both"/>
      </w:pPr>
      <w:r>
        <w:t>本系统面向任务执行、接口调用和自动化运维过程中产生的任务日志审计场景。在该场景下，日志记录通常用于说明任务是否按预期执行、异常是否及时出现、接口调用是否成功以及后续责任追溯是否具备依据。传统做法多将日志原文、状态记录和审计结果保存在同一服务器或同一数据库中，虽然便于查询和管理，但在日志被修改、删除或伪造后，系统缺少独立可信的校验依据，难以证明当前日志是否仍与产生或提交时保持一致。</w:t>
      </w:r>
    </w:p>
    <w:p w14:paraId="02803F47">
      <w:pPr>
        <w:spacing w:line="360" w:lineRule="auto"/>
        <w:ind w:firstLine="420"/>
        <w:jc w:val="both"/>
      </w:pPr>
      <w:r>
        <w:t>从业务流程看，日志首先由任务脚本、业务服务或运维程序持续写入本地日志文件。日志采集Agent负责读取指定sourcePath下的新增内容，并将任务标识、日志级别、来源路径、采集时间和日志正文封装为统一数据结构后提交给后端服务。后端服务接收日志后，一方面将日志原文保存到SQLite中，另一方面对日志正文计算SHA-256哈希，再调用LogRegistry合约写入链上存证记录。通过该流程，日志原文保留在链下，关键摘要保留在链上，后续审计能够同时利用链下数据和链上证据进行比对。</w:t>
      </w:r>
    </w:p>
    <w:p w14:paraId="55D29760">
      <w:pPr>
        <w:spacing w:line="360" w:lineRule="auto"/>
        <w:ind w:firstLine="420"/>
        <w:jc w:val="both"/>
      </w:pPr>
      <w:r>
        <w:t>该业务场景中的主要参与对象包括日志产生端、日志采集端、后端审计服务、链上合约和前端使用者。日志产生端负责输出任务运行记录；采集端负责将新增日志稳定提交到系统；后端服务负责日志入库、哈希计算、链上写入、审计比对和告警生成；LogRegistry合约负责保存日志哈希和任务标识等关键存证信息；前端使用者通过Web页面查看日志列表、审计状态、告警信息和系统总览。各参与对象围绕同一条日志证据链协作，使日志从产生到审计结果展示形成连续闭环。</w:t>
      </w:r>
    </w:p>
    <w:p w14:paraId="126C6A72">
      <w:pPr>
        <w:spacing w:line="360" w:lineRule="auto"/>
        <w:ind w:firstLine="420"/>
        <w:jc w:val="both"/>
      </w:pPr>
      <w:r>
        <w:t>从异常场景看，系统需要重点处理日志内容被事后修改、数据库哈希记录与链上记录不一致、链上合约地址失效、日志采集失败以及异常结果未被及时发现等问题。对于日志内容被修改的情况，系统应通过重新计算actualHash并与expectedHash、onChainHash比对来识别风险；对于链上记录缺失或合约不可用的情况，系统应给出pending状态和审计说明，而不是简单将其等同于日志篡改；对于哈希不一致的情况，系统应生成hash_mismatch告警并在前端展示。因此，本章后续需求分析和总体设计均围绕日志采集、链上存证、审计校验、异常告警和可视化展示这一业务场景展开。</w:t>
      </w:r>
    </w:p>
    <w:p w14:paraId="098A201E">
      <w:pPr>
        <w:pStyle w:val="3"/>
        <w:bidi w:val="0"/>
      </w:pPr>
      <w:bookmarkStart w:id="76" w:name="_Toc759"/>
      <w:r>
        <w:t>系统需求分析</w:t>
      </w:r>
      <w:bookmarkEnd w:id="76"/>
    </w:p>
    <w:p w14:paraId="5E8C8208">
      <w:pPr>
        <w:spacing w:line="360" w:lineRule="auto"/>
        <w:ind w:firstLine="420"/>
        <w:jc w:val="both"/>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pStyle w:val="4"/>
        <w:bidi w:val="0"/>
      </w:pPr>
      <w:bookmarkStart w:id="77" w:name="_Toc9346"/>
      <w:r>
        <w:t>日志自动采集需求</w:t>
      </w:r>
      <w:bookmarkEnd w:id="77"/>
    </w:p>
    <w:p w14:paraId="608FF4F8">
      <w:pPr>
        <w:spacing w:line="360" w:lineRule="auto"/>
        <w:ind w:firstLine="420"/>
        <w:jc w:val="both"/>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Agent识别并提交至后端服务。从功能角度看，Agent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pStyle w:val="4"/>
        <w:bidi w:val="0"/>
      </w:pPr>
      <w:bookmarkStart w:id="78" w:name="_Toc7934"/>
      <w:r>
        <w:t>链上可信存证需求</w:t>
      </w:r>
      <w:bookmarkEnd w:id="78"/>
    </w:p>
    <w:p w14:paraId="298BAFCD">
      <w:pPr>
        <w:spacing w:line="360" w:lineRule="auto"/>
        <w:ind w:firstLine="420"/>
        <w:jc w:val="both"/>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SHA-256哈希后，应调用LogRegistry智能合约完成上链写入，并记录交易哈希、区块号、合约地址和链上状态。链上可信存证需求为后续审计比对提供了外部证据来源。</w:t>
      </w:r>
    </w:p>
    <w:p w14:paraId="2D2CD6E6">
      <w:pPr>
        <w:pStyle w:val="4"/>
        <w:bidi w:val="0"/>
      </w:pPr>
      <w:bookmarkStart w:id="79" w:name="_Toc26017"/>
      <w:r>
        <w:t>审计校验需求</w:t>
      </w:r>
      <w:bookmarkEnd w:id="79"/>
    </w:p>
    <w:p w14:paraId="08E7FD51">
      <w:pPr>
        <w:spacing w:line="360" w:lineRule="auto"/>
        <w:ind w:firstLine="420"/>
        <w:jc w:val="both"/>
      </w:pPr>
      <w:r>
        <w:t>审计校验是系统判断日志是否可信的核心功能。日志完成采集和存证后，系统需要在用户触发或系统执行审计任务时，对日志内容进行重新核验。从系统流程看，审计校验需要读取待审计日志原文，重新计算actualHash；读取log_hash_records表中的expectedHash；再根据任务标识和合约地址查询LogRegistry合约中的onChainHash。审计校验需求要求系统不仅返回即时结果，还要将审计状态、期望哈希、实际哈希和审计说明写入audit_records表。</w:t>
      </w:r>
    </w:p>
    <w:p w14:paraId="7F296A05">
      <w:pPr>
        <w:pStyle w:val="4"/>
        <w:bidi w:val="0"/>
      </w:pPr>
      <w:bookmarkStart w:id="80" w:name="_Toc13605"/>
      <w:r>
        <w:t>异常告警需求</w:t>
      </w:r>
      <w:bookmarkEnd w:id="80"/>
    </w:p>
    <w:p w14:paraId="3294DCF0">
      <w:pPr>
        <w:spacing w:line="360" w:lineRule="auto"/>
        <w:ind w:firstLine="420"/>
        <w:jc w:val="both"/>
      </w:pPr>
      <w:r>
        <w:t>日志审计系统不仅需要发现异常，还需要将异常以明确方式提示给用户。如果系统只在审计接口中返回failed状态，用户可能需要主动查看审计列表才能发现问题，异常响应不够直观。因此，本系统需要具备异常告警能力，在审计发现哈希不一致时自动生成告警记录，并通过前端页面进行展示。异常告警需求主要针对审计状态为failed的情况。当系统判断日志重算哈希与数据库或链上存证不一致时，应生成hash_mismatch类型告警，并将该告警与对应日志记录和审计记录关联。告警需求能够将底层哈希比对结果转化为面向用户的风险提示。</w:t>
      </w:r>
    </w:p>
    <w:p w14:paraId="670CA1E7">
      <w:pPr>
        <w:pStyle w:val="4"/>
        <w:bidi w:val="0"/>
      </w:pPr>
      <w:bookmarkStart w:id="81" w:name="_Toc19261"/>
      <w:r>
        <w:t>可视化展示需求</w:t>
      </w:r>
      <w:bookmarkEnd w:id="81"/>
    </w:p>
    <w:p w14:paraId="68EF7D89">
      <w:pPr>
        <w:spacing w:line="360" w:lineRule="auto"/>
        <w:ind w:firstLine="420"/>
        <w:jc w:val="both"/>
      </w:pPr>
      <w:r>
        <w:t>可信日志审计结果需要以清晰方式呈现，才能支撑日常查看、问题定位和系统演示。后端完成日志存储、链上写入和审计比对后，仍需通过Web前端将日志规模、审计状态、异常告警和趋势变化转化为可理解的界面信息。从功能需求看，前端应提供系统总览、日志中心、审计管理和告警管理等页面，展示日志数量、审计通过情况、failed与pending状态、hash_mismatch告警及其处理状态。可视化展示不仅服务于用户交互，也用于说明采集、存证、审计和告警闭环是否真正贯通。</w:t>
      </w:r>
    </w:p>
    <w:p w14:paraId="5B4846A2">
      <w:pPr>
        <w:pStyle w:val="3"/>
        <w:bidi w:val="0"/>
      </w:pPr>
      <w:bookmarkStart w:id="82" w:name="_Toc28221"/>
      <w:r>
        <w:t>非功能需求分析</w:t>
      </w:r>
      <w:bookmarkEnd w:id="82"/>
    </w:p>
    <w:p w14:paraId="3946A222">
      <w:pPr>
        <w:spacing w:line="360" w:lineRule="auto"/>
        <w:ind w:firstLine="420"/>
        <w:jc w:val="both"/>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pStyle w:val="4"/>
        <w:bidi w:val="0"/>
      </w:pPr>
      <w:bookmarkStart w:id="83" w:name="_Toc15320"/>
      <w:r>
        <w:t>数据可信性需求</w:t>
      </w:r>
      <w:bookmarkEnd w:id="83"/>
    </w:p>
    <w:p w14:paraId="030DD7B0">
      <w:pPr>
        <w:spacing w:line="360" w:lineRule="auto"/>
        <w:ind w:firstLine="420"/>
        <w:jc w:val="both"/>
      </w:pPr>
      <w:r>
        <w:t>数据可信性是本系统最核心的非功能需求。在链下部分，SQLite保存日志原文、存证记录、审计记录和告警记录，使系统能够查询和展示完整业务数据。在链上部分，LogRegistry保存日志哈希和任务标识，为审计提供独立校验依据。审计阶段，系统通过expectedHash、actualHash和onChainHash的三方比对判断日志是否一致。因此，数据可信性需求不仅体现在区块链不可篡改特性上，也体现在链上链下字段映射、哈希生成规则、审计状态判定和异常告警记录等多个环节的协同设计中。</w:t>
      </w:r>
    </w:p>
    <w:p w14:paraId="6CE47BCB">
      <w:pPr>
        <w:pStyle w:val="4"/>
        <w:bidi w:val="0"/>
      </w:pPr>
      <w:bookmarkStart w:id="84" w:name="_Toc15333"/>
      <w:r>
        <w:t>系统可用性需求</w:t>
      </w:r>
      <w:bookmarkEnd w:id="84"/>
    </w:p>
    <w:p w14:paraId="1D02CCBB">
      <w:pPr>
        <w:spacing w:line="360" w:lineRule="auto"/>
        <w:ind w:firstLine="420"/>
        <w:jc w:val="both"/>
      </w:pPr>
      <w:r>
        <w:t>系统可用性要求日志提交、审计执行、告警查看和结果展示等操作能够稳定完成。对本系统而言，可用性并不只表现为前端页面可访问，还取决于Agent采集、后端接口、SQLite读写和LogRegistry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pStyle w:val="4"/>
        <w:bidi w:val="0"/>
      </w:pPr>
      <w:bookmarkStart w:id="85" w:name="_Toc6932"/>
      <w:r>
        <w:t>可维护性与可扩展性需求</w:t>
      </w:r>
      <w:bookmarkEnd w:id="85"/>
    </w:p>
    <w:p w14:paraId="50025B5D">
      <w:pPr>
        <w:spacing w:line="360" w:lineRule="auto"/>
        <w:ind w:firstLine="420"/>
        <w:jc w:val="both"/>
      </w:pPr>
      <w:r>
        <w:t>可维护性要求系统结构清晰、模块职责明确，便于后续修改、调试和论文说明。本系统采用模块化Monorepo结构，将前端Web、后端Server、采集Agent、智能合约和共享类型库放在同一仓库下统一管理。不同模块在目录和职责上相对独立，能够降低代码耦合度，也便于说明系统分层设计。后端服务进一步划分routes、controllers、services、repositories、db和blockchain 等层次，使接口处理、业务编排、数据库访问和链上交互保持清晰边界。</w:t>
      </w:r>
    </w:p>
    <w:p w14:paraId="49080550">
      <w:pPr>
        <w:spacing w:line="360" w:lineRule="auto"/>
        <w:ind w:firstLine="420"/>
        <w:jc w:val="both"/>
      </w:pPr>
      <w:r>
        <w:t>在可扩展性方面，当前系统虽然基于SQLite和本地Hardhat链实现，但整体结构为后续替换数据库、接入联盟链或测试网、扩展用户角色和引入异步审计队列预留了空间。</w:t>
      </w:r>
    </w:p>
    <w:p w14:paraId="1D41B681">
      <w:pPr>
        <w:pStyle w:val="3"/>
        <w:bidi w:val="0"/>
      </w:pPr>
      <w:bookmarkStart w:id="86" w:name="_Toc20916"/>
      <w:r>
        <w:t>系统总体架构设计</w:t>
      </w:r>
      <w:bookmarkEnd w:id="86"/>
    </w:p>
    <w:p w14:paraId="6D9F2C50">
      <w:pPr>
        <w:spacing w:line="360" w:lineRule="auto"/>
        <w:ind w:firstLine="420"/>
        <w:jc w:val="both"/>
      </w:pPr>
      <w:r>
        <w:t>本系统采用分层和模块化架构，由Agent、Server、SQLite、LogRegistry和Web 五类核心部分组成，分别承担日志采集、业务处理、链下存储、链上存证和前端展示职责。Agent位于数据流入口，负责从本地日志文件读取新增内容，并将任务标识、来源路径、日志级别和采集时间等字段封装后提交至Server，为后续哈希计算和审计回溯提供统一输入。</w:t>
      </w:r>
    </w:p>
    <w:p w14:paraId="5845C7C1">
      <w:pPr>
        <w:spacing w:line="360" w:lineRule="auto"/>
        <w:ind w:firstLine="420"/>
        <w:jc w:val="both"/>
      </w:pPr>
      <w:r>
        <w:t>Server是系统业务处理中心，负责接收日志、写入SQLite、计算SHA-256哈希、调用LogRegistry合约以及执行审计任务。SQLite保存logs、log_hash_records、audit_records、alerts和agent_states等数据，为查询、展示和审计重算提供链下数据基础。LogRegistry仅保存日志哈希和必要元数据，并通过LOGGER_ROLE控制写入权限，使链上记录成为独立于数据库的校验依据。</w:t>
      </w:r>
    </w:p>
    <w:p w14:paraId="371E462F">
      <w:pPr>
        <w:spacing w:line="360" w:lineRule="auto"/>
        <w:ind w:firstLine="420"/>
        <w:jc w:val="both"/>
      </w:pPr>
      <w:r>
        <w:t>Web前端面向用户展示系统总览、日志列表、审计结果和告警信息。从数据流看，日志先由Agent提交至Server，再写入SQLite并完成链上存证；审计时，Server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5080" b="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9"/>
                    <a:stretch>
                      <a:fillRect/>
                    </a:stretch>
                  </pic:blipFill>
                  <pic:spPr>
                    <a:xfrm>
                      <a:off x="0" y="0"/>
                      <a:ext cx="5303520" cy="2984500"/>
                    </a:xfrm>
                    <a:prstGeom prst="rect">
                      <a:avLst/>
                    </a:prstGeom>
                    <a:noFill/>
                    <a:ln>
                      <a:noFill/>
                    </a:ln>
                  </pic:spPr>
                </pic:pic>
              </a:graphicData>
            </a:graphic>
          </wp:inline>
        </w:drawing>
      </w:r>
    </w:p>
    <w:p w14:paraId="36883E02">
      <w:pPr>
        <w:jc w:val="center"/>
        <w:rPr>
          <w:rFonts w:hint="default" w:ascii="Times New Roman" w:hAnsi="Times New Roman" w:cs="Times New Roman"/>
          <w:b/>
          <w:bCs/>
        </w:rPr>
      </w:pPr>
      <w:r>
        <w:rPr>
          <w:rFonts w:hint="default" w:ascii="Times New Roman" w:hAnsi="Times New Roman" w:cs="Times New Roman"/>
          <w:b/>
          <w:bCs/>
          <w:sz w:val="21"/>
        </w:rPr>
        <w:t>图 4-1 系统总体架构图</w:t>
      </w:r>
    </w:p>
    <w:p w14:paraId="0A124291">
      <w:pPr>
        <w:pStyle w:val="3"/>
        <w:bidi w:val="0"/>
      </w:pPr>
      <w:bookmarkStart w:id="87" w:name="_Toc6849"/>
      <w:r>
        <w:t>系统功能模块设计</w:t>
      </w:r>
      <w:bookmarkEnd w:id="87"/>
    </w:p>
    <w:p w14:paraId="74CE7CA2">
      <w:pPr>
        <w:spacing w:line="360" w:lineRule="auto"/>
        <w:ind w:firstLine="420"/>
        <w:jc w:val="both"/>
      </w:pPr>
      <w:r>
        <w:t>本系统按照日志可信审计的业务流程划分功能模块，主要包括日志采集Agent模块、后端服务模块、区块链存证模块、审计告警模块和前端可视化模块。各模块围绕同一条数据链路协作，既保持职责边界，又保证日志能够从采集入口进入存证、审计和展示环节。</w:t>
      </w:r>
    </w:p>
    <w:p w14:paraId="137707DB">
      <w:pPr>
        <w:pStyle w:val="4"/>
        <w:bidi w:val="0"/>
      </w:pPr>
      <w:bookmarkStart w:id="88" w:name="_Toc31875"/>
      <w:r>
        <w:t>日志采集Agent模块</w:t>
      </w:r>
      <w:bookmarkEnd w:id="88"/>
    </w:p>
    <w:p w14:paraId="75A803E7">
      <w:pPr>
        <w:spacing w:line="360" w:lineRule="auto"/>
        <w:ind w:firstLine="420"/>
        <w:jc w:val="both"/>
      </w:pPr>
      <w:r>
        <w:t>日志采集Agent模块负责从本地日志文件中获取新增日志内容，是系统数据进入可信审计流程的入口。该模块的输入主要是指定路径下的日志文件和本地保存的读取偏移量，输出为封装后的日志提交数据和Agent运行状态。Agent与后端服务之间通过接口交互，提交成功后再更新偏移量，从而降低重复采集和遗漏采集的风险。</w:t>
      </w:r>
    </w:p>
    <w:p w14:paraId="51F6BE01">
      <w:pPr>
        <w:pStyle w:val="4"/>
        <w:bidi w:val="0"/>
      </w:pPr>
      <w:bookmarkStart w:id="89" w:name="_Toc21875"/>
      <w:r>
        <w:t>后端服务模块</w:t>
      </w:r>
      <w:bookmarkEnd w:id="89"/>
    </w:p>
    <w:p w14:paraId="6582AC68">
      <w:pPr>
        <w:spacing w:line="360" w:lineRule="auto"/>
        <w:ind w:firstLine="420"/>
        <w:jc w:val="both"/>
      </w:pPr>
      <w:r>
        <w:t>后端服务模块是系统业务处理中心，负责连接日志采集、链下存储、链上存证、审计告警和前端展示等功能。该模块的输入包括Agent提交的日志数据、前端发起的查询请求和审计触发请求；从模块关系看，后端服务一方面接收Agent采集的日志，将日志原文保存到SQLite，并调用哈希服务生成日志摘要；另一方面调用LogRegistry合约完成链上存证，并将交易哈希、区块号、合约地址等信息保存到log_hash_records表中。</w:t>
      </w:r>
    </w:p>
    <w:p w14:paraId="7CCD81A1">
      <w:pPr>
        <w:pStyle w:val="4"/>
        <w:bidi w:val="0"/>
      </w:pPr>
      <w:bookmarkStart w:id="90" w:name="_Toc28975"/>
      <w:r>
        <w:t>区块链存证模块</w:t>
      </w:r>
      <w:bookmarkEnd w:id="90"/>
    </w:p>
    <w:p w14:paraId="6CCB445C">
      <w:pPr>
        <w:spacing w:line="360" w:lineRule="auto"/>
        <w:ind w:firstLine="420"/>
        <w:jc w:val="both"/>
      </w:pPr>
      <w:r>
        <w:t>区块链存证模块负责将日志哈希写入链上，并在审计阶段提供链上记录查询能力。该模块的核心是LogRegistry智能合约，其输入包括任务标识taskId和日志哈希logHash，输出为链上存证记录、交易哈希、区块号和查询结果。模块通过LOGGER_ROLE限定可信写入主体，并通过getLogsByTaskId等方法支持任务维度审计。</w:t>
      </w:r>
    </w:p>
    <w:p w14:paraId="103742C6">
      <w:pPr>
        <w:pStyle w:val="4"/>
        <w:bidi w:val="0"/>
      </w:pPr>
      <w:bookmarkStart w:id="91" w:name="_Toc1734"/>
      <w:r>
        <w:t>审计告警模块</w:t>
      </w:r>
      <w:bookmarkEnd w:id="91"/>
    </w:p>
    <w:p w14:paraId="08313ECC">
      <w:pPr>
        <w:spacing w:line="360" w:lineRule="auto"/>
        <w:ind w:firstLine="420"/>
        <w:jc w:val="both"/>
      </w:pPr>
      <w:r>
        <w:t>审计告警模块负责执行日志完整性校验，并在发现异常时生成告警记录。其核心逻辑是重新计算日志原文的actualHash，并与expectedHash和onChainHash进行三方比对。三方一致时，模块生成passed状态的审计记录；哈希不一致时，生成failed状态的审计记录，并写入hash_mismatch类型告警；链上记录不可用或证据不完整时，则记录为pending。</w:t>
      </w:r>
    </w:p>
    <w:p w14:paraId="3AC9F32C">
      <w:pPr>
        <w:pStyle w:val="4"/>
        <w:bidi w:val="0"/>
      </w:pPr>
      <w:bookmarkStart w:id="92" w:name="_Toc13904"/>
      <w:r>
        <w:t>前端可视化模块</w:t>
      </w:r>
      <w:bookmarkEnd w:id="92"/>
    </w:p>
    <w:p w14:paraId="1489EB42">
      <w:pPr>
        <w:spacing w:line="360" w:lineRule="auto"/>
        <w:ind w:firstLine="420"/>
        <w:jc w:val="both"/>
      </w:pPr>
      <w:r>
        <w:t>前端可视化模块负责展示系统运行状态、日志数据、审计结果和告警信息。该模块的输入来自后端API返回的数据，输出为面向用户的页面视图。前端不直接访问SQLite或LogRegistry，而是通过后端接口获取日志、审计、告警和统计结果，从而保持前后端职责分离。</w:t>
      </w:r>
    </w:p>
    <w:p w14:paraId="64238A7D">
      <w:pPr>
        <w:pStyle w:val="3"/>
        <w:bidi w:val="0"/>
      </w:pPr>
      <w:bookmarkStart w:id="93" w:name="_Toc5811"/>
      <w:r>
        <w:t>系统数据流与业务流程设计</w:t>
      </w:r>
      <w:bookmarkEnd w:id="93"/>
    </w:p>
    <w:p w14:paraId="67BBF575">
      <w:pPr>
        <w:spacing w:line="360" w:lineRule="auto"/>
        <w:ind w:firstLine="420"/>
        <w:jc w:val="both"/>
      </w:pPr>
      <w:r>
        <w:t>系统数据流主要包括日志采集与存证流程、审计与告警流程。日志采集与存证流程从Agent读取日志文件开始，Agent根据本地偏移量只采集新增内容，并将 taskId、sourcePath、logContent、logLevel和collectedAt等字段提交给Server。Server接收后将日志写入logs表，随后对log_content计算SHA-256 哈希。</w:t>
      </w:r>
    </w:p>
    <w:p w14:paraId="474D41CD">
      <w:pPr>
        <w:spacing w:line="360" w:lineRule="auto"/>
        <w:ind w:firstLine="420"/>
        <w:jc w:val="both"/>
      </w:pPr>
      <w:r>
        <w:t>哈希生成后，Server调用LogRegistry的storeLog(taskId, logHash)方法完成链上写入，并将log_id、task_id、log_hash、contract_address、transaction_hash、block_number和on_chain_status 写入log_hash_records。至此，日志原文保存在链下，哈希摘要保存在链上，形成可审计的存证记录。</w:t>
      </w:r>
    </w:p>
    <w:p w14:paraId="0BAD6ED3">
      <w:pPr>
        <w:spacing w:line="360" w:lineRule="auto"/>
        <w:ind w:firstLine="420"/>
        <w:jc w:val="both"/>
      </w:pPr>
      <w:r>
        <w:t>审计与告警流程由审计任务触发。Server读取logs表中的日志原文并重新计算actualHash，读取log_hash_records中的 expectedHash，再根据合约地址和任务标识查询链上onChainHash。若三者一致，结果为passed；若哈希不一致，结果为 failed，并生成hash_mismatch告警；若链上记录不可用，则进入pending。最终，Web前端展示日志、审计和告警结果。</w:t>
      </w:r>
    </w:p>
    <w:p w14:paraId="767A291E">
      <w:pPr>
        <w:jc w:val="center"/>
      </w:pPr>
      <w:r>
        <w:drawing>
          <wp:inline distT="0" distB="0" distL="114300" distR="114300">
            <wp:extent cx="5303520" cy="2984500"/>
            <wp:effectExtent l="0" t="0" r="508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0"/>
                    <a:stretch>
                      <a:fillRect/>
                    </a:stretch>
                  </pic:blipFill>
                  <pic:spPr>
                    <a:xfrm>
                      <a:off x="0" y="0"/>
                      <a:ext cx="5303520" cy="2984500"/>
                    </a:xfrm>
                    <a:prstGeom prst="rect">
                      <a:avLst/>
                    </a:prstGeom>
                    <a:noFill/>
                    <a:ln>
                      <a:noFill/>
                    </a:ln>
                  </pic:spPr>
                </pic:pic>
              </a:graphicData>
            </a:graphic>
          </wp:inline>
        </w:drawing>
      </w:r>
    </w:p>
    <w:p w14:paraId="7512EDA3">
      <w:pPr>
        <w:jc w:val="center"/>
        <w:rPr>
          <w:rFonts w:hint="default" w:ascii="Times New Roman" w:hAnsi="Times New Roman" w:cs="Times New Roman"/>
          <w:b/>
          <w:bCs/>
        </w:rPr>
      </w:pPr>
      <w:r>
        <w:rPr>
          <w:rFonts w:hint="default" w:ascii="Times New Roman" w:hAnsi="Times New Roman" w:cs="Times New Roman"/>
          <w:b/>
          <w:bCs/>
          <w:sz w:val="21"/>
        </w:rPr>
        <w:t>图 4-2 系统数据流图</w:t>
      </w:r>
    </w:p>
    <w:p w14:paraId="20FE3371">
      <w:pPr>
        <w:pStyle w:val="3"/>
        <w:bidi w:val="0"/>
      </w:pPr>
      <w:bookmarkStart w:id="94" w:name="_Toc10419"/>
      <w:r>
        <w:t>数据库设计</w:t>
      </w:r>
      <w:bookmarkEnd w:id="94"/>
    </w:p>
    <w:p w14:paraId="4DD1237B">
      <w:pPr>
        <w:spacing w:line="360" w:lineRule="auto"/>
        <w:ind w:firstLine="420"/>
        <w:jc w:val="both"/>
      </w:pPr>
      <w:r>
        <w:t>数据库设计是系统链下数据管理的基础。与链上LogRegistry合约相比SQLite更适合保存结构化业务数据和日志原文，便于后端查询和前端展示。本系统采用SQLite作为原型系统的数据存储方案，主要用于保存日志原文、链上存证记录、审计结果、异常告警和Agent运行状态。</w:t>
      </w:r>
    </w:p>
    <w:p w14:paraId="7935059C">
      <w:pPr>
        <w:pStyle w:val="4"/>
        <w:bidi w:val="0"/>
      </w:pPr>
      <w:bookmarkStart w:id="95" w:name="_Toc6312"/>
      <w:r>
        <w:t>日志数据表设计</w:t>
      </w:r>
      <w:bookmarkEnd w:id="95"/>
    </w:p>
    <w:p w14:paraId="77FD3917">
      <w:pPr>
        <w:spacing w:line="360" w:lineRule="auto"/>
        <w:ind w:firstLine="420"/>
        <w:jc w:val="both"/>
      </w:pPr>
      <w:r>
        <w:t>logs表用于保存日志原文及采集来源信息，是系统最基础的数据表。该表的核心字段包括id、task_id、source_type、source_path、log_content、log_level、collected_at、created_at、updated_at 和 status。其中，id用于唯一标识一条链下日志；task_id表示日志所属任务，是连接链上存证记录和审计记录的重要业务字段；source_path和log_level分别用于记录来源路径和日志级别，便于前端筛选和展示。</w:t>
      </w:r>
    </w:p>
    <w:p w14:paraId="6F7E2733">
      <w:pPr>
        <w:pStyle w:val="4"/>
        <w:bidi w:val="0"/>
      </w:pPr>
      <w:bookmarkStart w:id="96" w:name="_Toc22682"/>
      <w:r>
        <w:t>存证记录表设计</w:t>
      </w:r>
      <w:bookmarkEnd w:id="96"/>
    </w:p>
    <w:p w14:paraId="4F789CCC">
      <w:pPr>
        <w:spacing w:line="360" w:lineRule="auto"/>
        <w:ind w:firstLine="420"/>
        <w:jc w:val="both"/>
      </w:pPr>
      <w:r>
        <w:t>log_hash_records表用于保存日志哈希及其链上写入信息，是连接链下日志与链上存证的关键表。该表的核心字段包括id、log_id、task_id、log_hash、chain_name、contract_address、transaction_hash、block_number、on_chain_status、created_at和updated_at。log_hash字段保存日志提交阶段计算得到的SHA-256哈希，是审计阶段expectedHash的来源。</w:t>
      </w:r>
    </w:p>
    <w:p w14:paraId="7DE6EE97">
      <w:pPr>
        <w:spacing w:line="360" w:lineRule="auto"/>
        <w:ind w:firstLine="420"/>
        <w:jc w:val="both"/>
      </w:pPr>
      <w:r>
        <w:t>contract_address保存本次日志哈希实际写入的LogRegistry合约地址，是历史合约地址回溯审计的重要依据。</w:t>
      </w:r>
    </w:p>
    <w:p w14:paraId="738704F7">
      <w:pPr>
        <w:pStyle w:val="4"/>
        <w:bidi w:val="0"/>
      </w:pPr>
      <w:bookmarkStart w:id="97" w:name="_Toc9279"/>
      <w:r>
        <w:t>审计记录与告警表设计</w:t>
      </w:r>
      <w:bookmarkEnd w:id="97"/>
    </w:p>
    <w:p w14:paraId="790EA03A">
      <w:pPr>
        <w:spacing w:line="360" w:lineRule="auto"/>
        <w:ind w:firstLine="420"/>
        <w:jc w:val="both"/>
      </w:pPr>
      <w:r>
        <w:t>audit_records表用于保存系统每次审计执行结果。其核心字段包括 id、log_id、log_hash_record_id、audit_status、expected_hash、actual_hash、audit_message、audited_at 和 created_at。alerts表用于保存异常告警记录，主要服务于哈希不一致等审计失败场景。</w:t>
      </w:r>
    </w:p>
    <w:p w14:paraId="0AF60502">
      <w:pPr>
        <w:pStyle w:val="4"/>
        <w:bidi w:val="0"/>
      </w:pPr>
      <w:bookmarkStart w:id="98" w:name="_Toc11794"/>
      <w:r>
        <w:t>Agent状态表设计</w:t>
      </w:r>
      <w:bookmarkEnd w:id="98"/>
    </w:p>
    <w:p w14:paraId="3076700A">
      <w:pPr>
        <w:spacing w:line="360" w:lineRule="auto"/>
        <w:ind w:firstLine="420"/>
        <w:jc w:val="both"/>
      </w:pPr>
      <w:r>
        <w:t>agent_states表用于保存日志采集Agent的运行状态，帮助系统了解采集端是否正常工作。last_heartbeat_at用于记录Agent最近一次心跳时间，last_sync_at用于记录状态同步时间，status表示Agent 当前运行状态，error_message用于保存异常说明。</w:t>
      </w:r>
    </w:p>
    <w:p w14:paraId="3CFA223A">
      <w:pPr>
        <w:spacing w:line="360" w:lineRule="auto"/>
        <w:ind w:firstLine="420"/>
        <w:jc w:val="both"/>
      </w:pPr>
      <w:r>
        <w:t>总体来看，五张核心表之间形成了清晰关系：logs 保存日志原文，log_hash_records保存对应哈希和链上写入信息，audit_records保存审计结果，alerts保存异常告警，agent_states保存采集端状态。</w:t>
      </w:r>
    </w:p>
    <w:p w14:paraId="420C3826">
      <w:pPr>
        <w:spacing w:line="360" w:lineRule="auto"/>
        <w:jc w:val="center"/>
        <w:rPr>
          <w:rFonts w:hint="default" w:ascii="Times New Roman" w:hAnsi="Times New Roman" w:cs="Times New Roman"/>
          <w:b/>
          <w:bCs/>
        </w:rPr>
      </w:pPr>
      <w:r>
        <w:rPr>
          <w:rFonts w:hint="default" w:ascii="Times New Roman" w:hAnsi="Times New Roman" w:cs="Times New Roman"/>
          <w:b/>
          <w:bCs/>
        </w:rPr>
        <w:t>表 4-1 数据库核心表结构说明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6"/>
        <w:gridCol w:w="2818"/>
        <w:gridCol w:w="2858"/>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000000" w:sz="12" w:space="0"/>
              <w:left w:val="nil"/>
              <w:bottom w:val="single" w:color="000000" w:sz="4" w:space="0"/>
              <w:right w:val="nil"/>
              <w:tl2br w:val="nil"/>
            </w:tcBorders>
            <w:shd w:val="clear" w:color="auto" w:fill="FFFFFF"/>
            <w:vAlign w:val="center"/>
          </w:tcPr>
          <w:p w14:paraId="7E889B8A">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表名</w:t>
            </w:r>
          </w:p>
        </w:tc>
        <w:tc>
          <w:tcPr>
            <w:tcW w:w="2880" w:type="dxa"/>
            <w:tcBorders>
              <w:top w:val="single" w:color="000000" w:sz="12" w:space="0"/>
              <w:left w:val="nil"/>
              <w:bottom w:val="single" w:color="000000" w:sz="4" w:space="0"/>
              <w:right w:val="nil"/>
            </w:tcBorders>
            <w:shd w:val="clear" w:color="auto" w:fill="FFFFFF"/>
            <w:vAlign w:val="center"/>
          </w:tcPr>
          <w:p w14:paraId="162B1204">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主要用途</w:t>
            </w:r>
          </w:p>
        </w:tc>
        <w:tc>
          <w:tcPr>
            <w:tcW w:w="2880" w:type="dxa"/>
            <w:tcBorders>
              <w:top w:val="single" w:color="000000" w:sz="12" w:space="0"/>
              <w:left w:val="nil"/>
              <w:bottom w:val="single" w:color="000000" w:sz="4" w:space="0"/>
              <w:right w:val="nil"/>
            </w:tcBorders>
            <w:shd w:val="clear" w:color="auto" w:fill="FFFFFF"/>
            <w:vAlign w:val="center"/>
          </w:tcPr>
          <w:p w14:paraId="1DDEB364">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000000" w:sz="4" w:space="0"/>
              <w:left w:val="nil"/>
              <w:bottom w:val="nil"/>
              <w:right w:val="nil"/>
            </w:tcBorders>
            <w:shd w:val="clear" w:color="auto" w:fill="FFFFFF"/>
            <w:vAlign w:val="center"/>
          </w:tcPr>
          <w:p w14:paraId="0F517B57">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logs</w:t>
            </w:r>
          </w:p>
        </w:tc>
        <w:tc>
          <w:tcPr>
            <w:tcW w:w="2880" w:type="dxa"/>
            <w:tcBorders>
              <w:top w:val="single" w:color="000000" w:sz="4" w:space="0"/>
              <w:left w:val="nil"/>
              <w:bottom w:val="nil"/>
              <w:right w:val="nil"/>
            </w:tcBorders>
            <w:shd w:val="clear" w:color="auto" w:fill="FFFFFF"/>
            <w:vAlign w:val="center"/>
          </w:tcPr>
          <w:p w14:paraId="72B630D8">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保存日志原文与采集来源信息。</w:t>
            </w:r>
          </w:p>
        </w:tc>
        <w:tc>
          <w:tcPr>
            <w:tcW w:w="2880" w:type="dxa"/>
            <w:tcBorders>
              <w:top w:val="single" w:color="000000" w:sz="4" w:space="0"/>
              <w:left w:val="nil"/>
              <w:bottom w:val="nil"/>
              <w:right w:val="nil"/>
            </w:tcBorders>
            <w:shd w:val="clear" w:color="auto" w:fill="FFFFFF"/>
            <w:vAlign w:val="center"/>
          </w:tcPr>
          <w:p w14:paraId="2CC924DB">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nil"/>
              <w:right w:val="nil"/>
            </w:tcBorders>
            <w:shd w:val="clear" w:color="auto" w:fill="FFFFFF"/>
            <w:vAlign w:val="center"/>
          </w:tcPr>
          <w:p w14:paraId="582170D5">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log_hash_records</w:t>
            </w:r>
          </w:p>
        </w:tc>
        <w:tc>
          <w:tcPr>
            <w:tcW w:w="2880" w:type="dxa"/>
            <w:tcBorders>
              <w:top w:val="nil"/>
              <w:left w:val="nil"/>
              <w:bottom w:val="nil"/>
              <w:right w:val="nil"/>
            </w:tcBorders>
            <w:shd w:val="clear" w:color="auto" w:fill="FFFFFF"/>
            <w:vAlign w:val="center"/>
          </w:tcPr>
          <w:p w14:paraId="32AEB0F4">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保存日志哈希及链上写入信息。</w:t>
            </w:r>
          </w:p>
        </w:tc>
        <w:tc>
          <w:tcPr>
            <w:tcW w:w="2880" w:type="dxa"/>
            <w:tcBorders>
              <w:top w:val="nil"/>
              <w:left w:val="nil"/>
              <w:bottom w:val="nil"/>
              <w:right w:val="nil"/>
            </w:tcBorders>
            <w:shd w:val="clear" w:color="auto" w:fill="FFFFFF"/>
            <w:vAlign w:val="center"/>
          </w:tcPr>
          <w:p w14:paraId="064B8EC7">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nil"/>
              <w:right w:val="nil"/>
            </w:tcBorders>
            <w:shd w:val="clear" w:color="auto" w:fill="FFFFFF"/>
            <w:vAlign w:val="center"/>
          </w:tcPr>
          <w:p w14:paraId="6948A161">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audit_records</w:t>
            </w:r>
          </w:p>
        </w:tc>
        <w:tc>
          <w:tcPr>
            <w:tcW w:w="2880" w:type="dxa"/>
            <w:tcBorders>
              <w:top w:val="nil"/>
              <w:left w:val="nil"/>
              <w:bottom w:val="nil"/>
              <w:right w:val="nil"/>
            </w:tcBorders>
            <w:shd w:val="clear" w:color="auto" w:fill="FFFFFF"/>
            <w:vAlign w:val="center"/>
          </w:tcPr>
          <w:p w14:paraId="2459CDED">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保存审计执行结果。</w:t>
            </w:r>
          </w:p>
        </w:tc>
        <w:tc>
          <w:tcPr>
            <w:tcW w:w="2880" w:type="dxa"/>
            <w:tcBorders>
              <w:top w:val="nil"/>
              <w:left w:val="nil"/>
              <w:bottom w:val="nil"/>
              <w:right w:val="nil"/>
            </w:tcBorders>
            <w:shd w:val="clear" w:color="auto" w:fill="FFFFFF"/>
            <w:vAlign w:val="center"/>
          </w:tcPr>
          <w:p w14:paraId="4D4073A9">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nil"/>
              <w:right w:val="nil"/>
            </w:tcBorders>
            <w:shd w:val="clear" w:color="auto" w:fill="FFFFFF"/>
            <w:vAlign w:val="center"/>
          </w:tcPr>
          <w:p w14:paraId="7B392150">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alerts</w:t>
            </w:r>
          </w:p>
        </w:tc>
        <w:tc>
          <w:tcPr>
            <w:tcW w:w="2880" w:type="dxa"/>
            <w:tcBorders>
              <w:top w:val="nil"/>
              <w:left w:val="nil"/>
              <w:bottom w:val="nil"/>
              <w:right w:val="nil"/>
            </w:tcBorders>
            <w:shd w:val="clear" w:color="auto" w:fill="FFFFFF"/>
            <w:vAlign w:val="center"/>
          </w:tcPr>
          <w:p w14:paraId="4B1D183B">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保存异常告警记录。</w:t>
            </w:r>
          </w:p>
        </w:tc>
        <w:tc>
          <w:tcPr>
            <w:tcW w:w="2880" w:type="dxa"/>
            <w:tcBorders>
              <w:top w:val="nil"/>
              <w:left w:val="nil"/>
              <w:bottom w:val="nil"/>
              <w:right w:val="nil"/>
            </w:tcBorders>
            <w:shd w:val="clear" w:color="auto" w:fill="FFFFFF"/>
            <w:vAlign w:val="center"/>
          </w:tcPr>
          <w:p w14:paraId="5E6FB962">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single" w:color="000000" w:sz="12" w:space="0"/>
              <w:right w:val="nil"/>
            </w:tcBorders>
            <w:shd w:val="clear" w:color="auto" w:fill="FFFFFF"/>
            <w:vAlign w:val="center"/>
          </w:tcPr>
          <w:p w14:paraId="4ABA97A3">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agent_states</w:t>
            </w:r>
          </w:p>
        </w:tc>
        <w:tc>
          <w:tcPr>
            <w:tcW w:w="2880" w:type="dxa"/>
            <w:tcBorders>
              <w:top w:val="nil"/>
              <w:left w:val="nil"/>
              <w:bottom w:val="single" w:color="000000" w:sz="12" w:space="0"/>
              <w:right w:val="nil"/>
            </w:tcBorders>
            <w:shd w:val="clear" w:color="auto" w:fill="FFFFFF"/>
            <w:vAlign w:val="center"/>
          </w:tcPr>
          <w:p w14:paraId="52B5D805">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保存Agent运行状态。</w:t>
            </w:r>
          </w:p>
        </w:tc>
        <w:tc>
          <w:tcPr>
            <w:tcW w:w="2880" w:type="dxa"/>
            <w:tcBorders>
              <w:top w:val="nil"/>
              <w:left w:val="nil"/>
              <w:bottom w:val="single" w:color="000000" w:sz="12" w:space="0"/>
              <w:right w:val="nil"/>
            </w:tcBorders>
            <w:shd w:val="clear" w:color="auto" w:fill="FFFFFF"/>
            <w:vAlign w:val="center"/>
          </w:tcPr>
          <w:p w14:paraId="4BC6E8A2">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agent_name、source_path、last_offset、last_heartbeat_at、last_sync_at、status、error_message</w:t>
            </w:r>
          </w:p>
        </w:tc>
      </w:tr>
    </w:tbl>
    <w:p w14:paraId="6A5A6AB8">
      <w:pPr>
        <w:bidi w:val="0"/>
        <w:jc w:val="both"/>
      </w:pPr>
      <w:r>
        <w:t>表 4-1 从字段角度概括了核心数据表。为进一步说明表之间的关联关系，图 4-3 展示了 logs、log_hash_records、audit_records、alerts和agent_states的主要联系。</w:t>
      </w:r>
    </w:p>
    <w:p w14:paraId="76AD8C75">
      <w:pPr>
        <w:jc w:val="center"/>
      </w:pPr>
      <w:r>
        <w:drawing>
          <wp:inline distT="0" distB="0" distL="114300" distR="114300">
            <wp:extent cx="5303520" cy="2983230"/>
            <wp:effectExtent l="0" t="0" r="5080" b="1270"/>
            <wp:docPr id="8" name="图片 11" descr="fig-4-3-database-er-relationship.png"/>
            <wp:cNvGraphicFramePr/>
            <a:graphic xmlns:a="http://schemas.openxmlformats.org/drawingml/2006/main">
              <a:graphicData uri="http://schemas.openxmlformats.org/drawingml/2006/picture">
                <pic:pic xmlns:pic="http://schemas.openxmlformats.org/drawingml/2006/picture">
                  <pic:nvPicPr>
                    <pic:cNvPr id="8" name="图片 11" descr="fig-4-3-database-er-relationship.png"/>
                    <pic:cNvPicPr/>
                  </pic:nvPicPr>
                  <pic:blipFill>
                    <a:blip r:embed="rId21"/>
                    <a:stretch>
                      <a:fillRect/>
                    </a:stretch>
                  </pic:blipFill>
                  <pic:spPr>
                    <a:xfrm>
                      <a:off x="0" y="0"/>
                      <a:ext cx="5303520" cy="2983230"/>
                    </a:xfrm>
                    <a:prstGeom prst="rect">
                      <a:avLst/>
                    </a:prstGeom>
                    <a:noFill/>
                    <a:ln>
                      <a:noFill/>
                    </a:ln>
                  </pic:spPr>
                </pic:pic>
              </a:graphicData>
            </a:graphic>
          </wp:inline>
        </w:drawing>
      </w:r>
    </w:p>
    <w:p w14:paraId="278F7A15">
      <w:pPr>
        <w:jc w:val="center"/>
        <w:rPr>
          <w:rFonts w:hint="default" w:ascii="Times New Roman" w:hAnsi="Times New Roman" w:cs="Times New Roman"/>
          <w:b/>
          <w:bCs/>
        </w:rPr>
      </w:pPr>
      <w:r>
        <w:rPr>
          <w:rFonts w:hint="default" w:ascii="Times New Roman" w:hAnsi="Times New Roman" w:cs="Times New Roman"/>
          <w:b/>
          <w:bCs/>
          <w:sz w:val="21"/>
        </w:rPr>
        <w:t>图 4-3 核心数据库ER关系图</w:t>
      </w:r>
    </w:p>
    <w:p w14:paraId="674F421B">
      <w:pPr>
        <w:pStyle w:val="3"/>
        <w:bidi w:val="0"/>
      </w:pPr>
      <w:bookmarkStart w:id="99" w:name="_Toc23749"/>
      <w:r>
        <w:t>本章小结</w:t>
      </w:r>
      <w:bookmarkEnd w:id="99"/>
    </w:p>
    <w:p w14:paraId="4EF53440">
      <w:pPr>
        <w:spacing w:line="360" w:lineRule="auto"/>
        <w:ind w:firstLine="420"/>
        <w:jc w:val="both"/>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Agent、Server、SQLite、LogRegistry和Web的协作关系，并进一步说明功能模块划分、系统数据流、业务流程和数据库表结构。</w:t>
      </w:r>
    </w:p>
    <w:p w14:paraId="6BD54080">
      <w:pPr>
        <w:spacing w:line="360" w:lineRule="auto"/>
        <w:ind w:firstLine="420"/>
        <w:jc w:val="both"/>
      </w:pPr>
      <w:r>
        <w:t>上述设计为第5章的系统实现、功能测试和实验验证提供了结构基础，也使第3章提出的可信日志审计机制具备可落地的工程载体。</w:t>
      </w:r>
    </w:p>
    <w:p w14:paraId="179DFD2A">
      <w:r>
        <w:br w:type="page"/>
      </w:r>
    </w:p>
    <w:p w14:paraId="4C5D7D25">
      <w:pPr>
        <w:pStyle w:val="2"/>
        <w:numPr>
          <w:ilvl w:val="0"/>
          <w:numId w:val="0"/>
        </w:numPr>
        <w:bidi w:val="0"/>
        <w:ind w:leftChars="0"/>
        <w:jc w:val="both"/>
      </w:pPr>
    </w:p>
    <w:p w14:paraId="64566AB2">
      <w:pPr>
        <w:pStyle w:val="2"/>
        <w:bidi w:val="0"/>
      </w:pPr>
      <w:bookmarkStart w:id="100" w:name="_Toc29915"/>
      <w:r>
        <w:t>系统实现与实验验证</w:t>
      </w:r>
      <w:bookmarkEnd w:id="100"/>
    </w:p>
    <w:p w14:paraId="12E4E11E"/>
    <w:p w14:paraId="4197237B">
      <w:pPr>
        <w:pStyle w:val="3"/>
        <w:bidi w:val="0"/>
      </w:pPr>
      <w:bookmarkStart w:id="101" w:name="_Toc26102"/>
      <w:r>
        <w:t>系统开发环境与工程结构</w:t>
      </w:r>
      <w:bookmarkEnd w:id="101"/>
    </w:p>
    <w:p w14:paraId="129C7467">
      <w:pPr>
        <w:spacing w:line="360" w:lineRule="auto"/>
        <w:ind w:firstLine="420"/>
        <w:jc w:val="both"/>
      </w:pPr>
      <w:r>
        <w:t>系统采用Monorepo工程结构组织代码，将前端、后端、Agent、智能合约、共享类型和测试脚本统一放在同一仓库下管理。主要目录包括apps/web、apps/server、apps/agent、packages/contracts、packages/shared和tests/performance 等。该结构便于统一依赖、复用类型定义和维护跨模块接口。</w:t>
      </w:r>
    </w:p>
    <w:p w14:paraId="708B8A88">
      <w:pPr>
        <w:spacing w:line="360" w:lineRule="auto"/>
        <w:ind w:firstLine="420"/>
        <w:jc w:val="both"/>
      </w:pPr>
      <w:r>
        <w:t>apps/web基于React、TypeScript和Ant Design实现前端页面；apps/server基于 Node.js和Express 实现日志接收、数据库访问、哈希计算、合约调用、审计和告警逻辑；apps/agent负责日志文件增量采集、偏移量保存和失败重试；packages/contracts使用 Hardhat、Solidity、OpenZeppelin AccessControl和Ethers 实现LogRegistry合约。</w:t>
      </w:r>
    </w:p>
    <w:p w14:paraId="7FBCED48">
      <w:pPr>
        <w:spacing w:line="360" w:lineRule="auto"/>
        <w:ind w:firstLine="420"/>
        <w:jc w:val="both"/>
      </w:pPr>
      <w:r>
        <w:t>packages/shared用于存放共享类型和协议，tests/performance用于支撑日志批量提交和批量审计实验。Monorepo结构使系统模块边界清晰，有利于毕业设计中的工程说明、功能验证和后续扩展。工程目录关系见表 5-1。</w:t>
      </w:r>
    </w:p>
    <w:p w14:paraId="7F06FF79">
      <w:pPr>
        <w:jc w:val="center"/>
        <w:rPr>
          <w:rFonts w:hint="default" w:ascii="Times New Roman" w:hAnsi="Times New Roman" w:cs="Times New Roman"/>
          <w:b/>
          <w:bCs/>
        </w:rPr>
      </w:pPr>
      <w:r>
        <w:rPr>
          <w:rFonts w:hint="default" w:ascii="Times New Roman" w:hAnsi="Times New Roman" w:cs="Times New Roman"/>
          <w:b/>
          <w:bCs/>
        </w:rPr>
        <w:t>表 5-1 工程目录说明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2842"/>
        <w:gridCol w:w="2827"/>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000000" w:sz="12" w:space="0"/>
              <w:left w:val="nil"/>
              <w:bottom w:val="single" w:color="000000" w:sz="4" w:space="0"/>
              <w:right w:val="nil"/>
              <w:tl2br w:val="nil"/>
            </w:tcBorders>
            <w:shd w:val="clear" w:color="auto" w:fill="FFFFFF"/>
            <w:vAlign w:val="center"/>
          </w:tcPr>
          <w:p w14:paraId="5E5653C4">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目录</w:t>
            </w:r>
          </w:p>
        </w:tc>
        <w:tc>
          <w:tcPr>
            <w:tcW w:w="2880" w:type="dxa"/>
            <w:tcBorders>
              <w:top w:val="single" w:color="000000" w:sz="12" w:space="0"/>
              <w:left w:val="nil"/>
              <w:bottom w:val="single" w:color="000000" w:sz="4" w:space="0"/>
              <w:right w:val="nil"/>
            </w:tcBorders>
            <w:shd w:val="clear" w:color="auto" w:fill="FFFFFF"/>
            <w:vAlign w:val="center"/>
          </w:tcPr>
          <w:p w14:paraId="2FFD12A5">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主要内容</w:t>
            </w:r>
          </w:p>
        </w:tc>
        <w:tc>
          <w:tcPr>
            <w:tcW w:w="2880" w:type="dxa"/>
            <w:tcBorders>
              <w:top w:val="single" w:color="000000" w:sz="12" w:space="0"/>
              <w:left w:val="nil"/>
              <w:bottom w:val="single" w:color="000000" w:sz="4" w:space="0"/>
              <w:right w:val="nil"/>
            </w:tcBorders>
            <w:shd w:val="clear" w:color="auto" w:fill="FFFFFF"/>
            <w:vAlign w:val="center"/>
          </w:tcPr>
          <w:p w14:paraId="18A9ACA3">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000000" w:sz="4" w:space="0"/>
              <w:left w:val="nil"/>
              <w:bottom w:val="nil"/>
              <w:right w:val="nil"/>
            </w:tcBorders>
            <w:shd w:val="clear" w:color="auto" w:fill="FFFFFF"/>
            <w:vAlign w:val="center"/>
          </w:tcPr>
          <w:p w14:paraId="4D9A4C0B">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apps/web</w:t>
            </w:r>
          </w:p>
        </w:tc>
        <w:tc>
          <w:tcPr>
            <w:tcW w:w="2880" w:type="dxa"/>
            <w:tcBorders>
              <w:top w:val="single" w:color="000000" w:sz="4" w:space="0"/>
              <w:left w:val="nil"/>
              <w:bottom w:val="nil"/>
              <w:right w:val="nil"/>
            </w:tcBorders>
            <w:shd w:val="clear" w:color="auto" w:fill="FFFFFF"/>
            <w:vAlign w:val="center"/>
          </w:tcPr>
          <w:p w14:paraId="44B244B6">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React、TypeScript、Ant Design前端页面。</w:t>
            </w:r>
          </w:p>
        </w:tc>
        <w:tc>
          <w:tcPr>
            <w:tcW w:w="2880" w:type="dxa"/>
            <w:tcBorders>
              <w:top w:val="single" w:color="000000" w:sz="4" w:space="0"/>
              <w:left w:val="nil"/>
              <w:bottom w:val="nil"/>
              <w:right w:val="nil"/>
            </w:tcBorders>
            <w:shd w:val="clear" w:color="auto" w:fill="FFFFFF"/>
            <w:vAlign w:val="center"/>
          </w:tcPr>
          <w:p w14:paraId="05A87351">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nil"/>
              <w:right w:val="nil"/>
            </w:tcBorders>
            <w:shd w:val="clear" w:color="auto" w:fill="FFFFFF"/>
            <w:vAlign w:val="center"/>
          </w:tcPr>
          <w:p w14:paraId="138ED5AF">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apps/server</w:t>
            </w:r>
          </w:p>
        </w:tc>
        <w:tc>
          <w:tcPr>
            <w:tcW w:w="2880" w:type="dxa"/>
            <w:tcBorders>
              <w:top w:val="nil"/>
              <w:left w:val="nil"/>
              <w:bottom w:val="nil"/>
              <w:right w:val="nil"/>
            </w:tcBorders>
            <w:shd w:val="clear" w:color="auto" w:fill="FFFFFF"/>
            <w:vAlign w:val="center"/>
          </w:tcPr>
          <w:p w14:paraId="3C461CAB">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Express 后端服务、业务逻辑、数据库访问和链上交互。</w:t>
            </w:r>
          </w:p>
        </w:tc>
        <w:tc>
          <w:tcPr>
            <w:tcW w:w="2880" w:type="dxa"/>
            <w:tcBorders>
              <w:top w:val="nil"/>
              <w:left w:val="nil"/>
              <w:bottom w:val="nil"/>
              <w:right w:val="nil"/>
            </w:tcBorders>
            <w:shd w:val="clear" w:color="auto" w:fill="FFFFFF"/>
            <w:vAlign w:val="center"/>
          </w:tcPr>
          <w:p w14:paraId="762F563F">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nil"/>
              <w:right w:val="nil"/>
            </w:tcBorders>
            <w:shd w:val="clear" w:color="auto" w:fill="FFFFFF"/>
            <w:vAlign w:val="center"/>
          </w:tcPr>
          <w:p w14:paraId="54D7962F">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apps/agent</w:t>
            </w:r>
          </w:p>
        </w:tc>
        <w:tc>
          <w:tcPr>
            <w:tcW w:w="2880" w:type="dxa"/>
            <w:tcBorders>
              <w:top w:val="nil"/>
              <w:left w:val="nil"/>
              <w:bottom w:val="nil"/>
              <w:right w:val="nil"/>
            </w:tcBorders>
            <w:shd w:val="clear" w:color="auto" w:fill="FFFFFF"/>
            <w:vAlign w:val="center"/>
          </w:tcPr>
          <w:p w14:paraId="3A1BA346">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日志采集 Agent、文件读取、重试队列和状态同步。</w:t>
            </w:r>
          </w:p>
        </w:tc>
        <w:tc>
          <w:tcPr>
            <w:tcW w:w="2880" w:type="dxa"/>
            <w:tcBorders>
              <w:top w:val="nil"/>
              <w:left w:val="nil"/>
              <w:bottom w:val="nil"/>
              <w:right w:val="nil"/>
            </w:tcBorders>
            <w:shd w:val="clear" w:color="auto" w:fill="FFFFFF"/>
            <w:vAlign w:val="center"/>
          </w:tcPr>
          <w:p w14:paraId="14B40444">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nil"/>
              <w:right w:val="nil"/>
            </w:tcBorders>
            <w:shd w:val="clear" w:color="auto" w:fill="FFFFFF"/>
            <w:vAlign w:val="center"/>
          </w:tcPr>
          <w:p w14:paraId="1F25F958">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packages/contracts</w:t>
            </w:r>
          </w:p>
        </w:tc>
        <w:tc>
          <w:tcPr>
            <w:tcW w:w="2880" w:type="dxa"/>
            <w:tcBorders>
              <w:top w:val="nil"/>
              <w:left w:val="nil"/>
              <w:bottom w:val="nil"/>
              <w:right w:val="nil"/>
            </w:tcBorders>
            <w:shd w:val="clear" w:color="auto" w:fill="FFFFFF"/>
            <w:vAlign w:val="center"/>
          </w:tcPr>
          <w:p w14:paraId="6129EE0C">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Hardhat工程和LogRegistry Solidity合约。</w:t>
            </w:r>
          </w:p>
        </w:tc>
        <w:tc>
          <w:tcPr>
            <w:tcW w:w="2880" w:type="dxa"/>
            <w:tcBorders>
              <w:top w:val="nil"/>
              <w:left w:val="nil"/>
              <w:bottom w:val="nil"/>
              <w:right w:val="nil"/>
            </w:tcBorders>
            <w:shd w:val="clear" w:color="auto" w:fill="FFFFFF"/>
            <w:vAlign w:val="center"/>
          </w:tcPr>
          <w:p w14:paraId="3004A09D">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nil"/>
              <w:right w:val="nil"/>
            </w:tcBorders>
            <w:shd w:val="clear" w:color="auto" w:fill="FFFFFF"/>
            <w:vAlign w:val="center"/>
          </w:tcPr>
          <w:p w14:paraId="7D6D0A57">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packages/shared</w:t>
            </w:r>
          </w:p>
        </w:tc>
        <w:tc>
          <w:tcPr>
            <w:tcW w:w="2880" w:type="dxa"/>
            <w:tcBorders>
              <w:top w:val="nil"/>
              <w:left w:val="nil"/>
              <w:bottom w:val="nil"/>
              <w:right w:val="nil"/>
            </w:tcBorders>
            <w:shd w:val="clear" w:color="auto" w:fill="FFFFFF"/>
            <w:vAlign w:val="center"/>
          </w:tcPr>
          <w:p w14:paraId="7401EA94">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共享类型和公共协议。</w:t>
            </w:r>
          </w:p>
        </w:tc>
        <w:tc>
          <w:tcPr>
            <w:tcW w:w="2880" w:type="dxa"/>
            <w:tcBorders>
              <w:top w:val="nil"/>
              <w:left w:val="nil"/>
              <w:bottom w:val="nil"/>
              <w:right w:val="nil"/>
            </w:tcBorders>
            <w:shd w:val="clear" w:color="auto" w:fill="FFFFFF"/>
            <w:vAlign w:val="center"/>
          </w:tcPr>
          <w:p w14:paraId="17B01E45">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统一前后端及 Agent的数据结构。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nil"/>
              <w:right w:val="nil"/>
            </w:tcBorders>
            <w:shd w:val="clear" w:color="auto" w:fill="FFFFFF"/>
            <w:vAlign w:val="center"/>
          </w:tcPr>
          <w:p w14:paraId="39AF6DC6">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tests/performance</w:t>
            </w:r>
          </w:p>
        </w:tc>
        <w:tc>
          <w:tcPr>
            <w:tcW w:w="2880" w:type="dxa"/>
            <w:tcBorders>
              <w:top w:val="nil"/>
              <w:left w:val="nil"/>
              <w:bottom w:val="nil"/>
              <w:right w:val="nil"/>
            </w:tcBorders>
            <w:shd w:val="clear" w:color="auto" w:fill="FFFFFF"/>
            <w:vAlign w:val="center"/>
          </w:tcPr>
          <w:p w14:paraId="31998300">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性能测试脚本。</w:t>
            </w:r>
          </w:p>
        </w:tc>
        <w:tc>
          <w:tcPr>
            <w:tcW w:w="2880" w:type="dxa"/>
            <w:tcBorders>
              <w:top w:val="nil"/>
              <w:left w:val="nil"/>
              <w:bottom w:val="nil"/>
              <w:right w:val="nil"/>
            </w:tcBorders>
            <w:shd w:val="clear" w:color="auto" w:fill="FFFFFF"/>
            <w:vAlign w:val="center"/>
          </w:tcPr>
          <w:p w14:paraId="4FEC4258">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single" w:color="000000" w:sz="12" w:space="0"/>
              <w:right w:val="nil"/>
            </w:tcBorders>
            <w:shd w:val="clear" w:color="auto" w:fill="FFFFFF"/>
            <w:vAlign w:val="center"/>
          </w:tcPr>
          <w:p w14:paraId="6311E464">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scripts</w:t>
            </w:r>
          </w:p>
        </w:tc>
        <w:tc>
          <w:tcPr>
            <w:tcW w:w="2880" w:type="dxa"/>
            <w:tcBorders>
              <w:top w:val="nil"/>
              <w:left w:val="nil"/>
              <w:bottom w:val="single" w:color="000000" w:sz="12" w:space="0"/>
              <w:right w:val="nil"/>
            </w:tcBorders>
            <w:shd w:val="clear" w:color="auto" w:fill="FFFFFF"/>
            <w:vAlign w:val="center"/>
          </w:tcPr>
          <w:p w14:paraId="0704A157">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仓库级验证脚本。</w:t>
            </w:r>
          </w:p>
        </w:tc>
        <w:tc>
          <w:tcPr>
            <w:tcW w:w="2880" w:type="dxa"/>
            <w:tcBorders>
              <w:top w:val="nil"/>
              <w:left w:val="nil"/>
              <w:bottom w:val="single" w:color="000000" w:sz="12" w:space="0"/>
              <w:right w:val="nil"/>
            </w:tcBorders>
            <w:shd w:val="clear" w:color="auto" w:fill="FFFFFF"/>
            <w:vAlign w:val="center"/>
          </w:tcPr>
          <w:p w14:paraId="68DFC7B8">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支撑合约、后端、Agent和前端的脚本化验证。</w:t>
            </w:r>
          </w:p>
        </w:tc>
      </w:tr>
    </w:tbl>
    <w:p w14:paraId="7A3789D6">
      <w:pPr>
        <w:pStyle w:val="3"/>
        <w:bidi w:val="0"/>
      </w:pPr>
      <w:bookmarkStart w:id="102" w:name="_Toc13500"/>
      <w:r>
        <w:t>日志采集Agent实现</w:t>
      </w:r>
      <w:bookmarkEnd w:id="102"/>
    </w:p>
    <w:p w14:paraId="734A296F">
      <w:pPr>
        <w:spacing w:line="360" w:lineRule="auto"/>
        <w:ind w:firstLine="420"/>
        <w:jc w:val="both"/>
      </w:pPr>
      <w:r>
        <w:t>日志采集Agent是系统实现自动化日志接入的关键模块。传统日志审计若依赖人工导入日志，容易出现遗漏、重复和时效性不足等问题。为使任务日志能够持续进入可信审计流程，本系统设计了独立的Agent模块，用于读取本地日志文件新增内容，并将标准化日志数据提交给后端服务。</w:t>
      </w:r>
    </w:p>
    <w:p w14:paraId="018027AF">
      <w:pPr>
        <w:pStyle w:val="4"/>
        <w:bidi w:val="0"/>
      </w:pPr>
      <w:bookmarkStart w:id="103" w:name="_Toc14231"/>
      <w:r>
        <w:t>增量读取与偏移量持久化实现</w:t>
      </w:r>
      <w:bookmarkEnd w:id="103"/>
    </w:p>
    <w:p w14:paraId="2A2FC322">
      <w:pPr>
        <w:spacing w:line="360" w:lineRule="auto"/>
        <w:ind w:firstLine="420"/>
        <w:jc w:val="both"/>
      </w:pPr>
      <w:r>
        <w:t>日志采集Agent的核心任务是从指定日志文件中持续读取新增内容，并避免重复提交。系统通过fileReader读取文件内容，通过offsetStore保存每个sourcePath的last_offset。当Agent再次启动或继续采集时，能够从上次记录的偏移量之后读取新增日志，从而实现增量采集。</w:t>
      </w:r>
    </w:p>
    <w:p w14:paraId="4C595B12">
      <w:pPr>
        <w:spacing w:line="360" w:lineRule="auto"/>
        <w:ind w:firstLine="420"/>
        <w:jc w:val="both"/>
      </w:pPr>
      <w:r>
        <w:t>logCollector负责将原始日志行封装为统一数据结构，包括taskId、sourceType、sourcePath、logContent、logLevel和collectedAt等字段。封装后的日志提交给后端接口，由后端完成入库、哈希计算和上链。偏移量只有在日志提交成功后更新，避免网络异常导致未提交内容被跳过。</w:t>
      </w:r>
    </w:p>
    <w:p w14:paraId="0235B2BC">
      <w:pPr>
        <w:spacing w:line="360" w:lineRule="auto"/>
        <w:ind w:firstLine="420"/>
        <w:jc w:val="both"/>
      </w:pPr>
      <w:r>
        <w:t>该实现使Agent能够适应日志文件持续增长的场景，也为审计系统提供稳定的数据入口。通过偏移量持久化，系统在重启后仍能继续采集新增日志，降低重复采集和遗漏采集风险。</w:t>
      </w:r>
    </w:p>
    <w:p w14:paraId="61C2C405">
      <w:pPr>
        <w:ind w:firstLine="480" w:firstLineChars="200"/>
        <w:jc w:val="both"/>
        <w:rPr>
          <w:sz w:val="24"/>
          <w:szCs w:val="24"/>
        </w:rPr>
      </w:pPr>
      <w:r>
        <w:rPr>
          <w:rFonts w:ascii="宋体" w:hAnsi="宋体"/>
          <w:sz w:val="24"/>
          <w:szCs w:val="24"/>
        </w:rPr>
        <w:t>Agent增量采集的核心在于读取新增内容后再更新偏移量，避免提交失败时丢失日志。图5-1展示了增量读取、提交确认与偏移量持久化之间的关系。</w:t>
      </w:r>
    </w:p>
    <w:p w14:paraId="421E1453">
      <w:pPr>
        <w:jc w:val="center"/>
      </w:pPr>
      <w:r>
        <w:drawing>
          <wp:inline distT="0" distB="0" distL="114300" distR="114300">
            <wp:extent cx="5303520" cy="2983230"/>
            <wp:effectExtent l="0" t="0" r="5080" b="1270"/>
            <wp:docPr id="17" name="图片 12" descr="fig-5-1-agent-incremental-offset-flow.png"/>
            <wp:cNvGraphicFramePr/>
            <a:graphic xmlns:a="http://schemas.openxmlformats.org/drawingml/2006/main">
              <a:graphicData uri="http://schemas.openxmlformats.org/drawingml/2006/picture">
                <pic:pic xmlns:pic="http://schemas.openxmlformats.org/drawingml/2006/picture">
                  <pic:nvPicPr>
                    <pic:cNvPr id="17" name="图片 12" descr="fig-5-1-agent-incremental-offset-flow.png"/>
                    <pic:cNvPicPr/>
                  </pic:nvPicPr>
                  <pic:blipFill>
                    <a:blip r:embed="rId22"/>
                    <a:stretch>
                      <a:fillRect/>
                    </a:stretch>
                  </pic:blipFill>
                  <pic:spPr>
                    <a:xfrm>
                      <a:off x="0" y="0"/>
                      <a:ext cx="5303520" cy="2983230"/>
                    </a:xfrm>
                    <a:prstGeom prst="rect">
                      <a:avLst/>
                    </a:prstGeom>
                    <a:noFill/>
                    <a:ln>
                      <a:noFill/>
                    </a:ln>
                  </pic:spPr>
                </pic:pic>
              </a:graphicData>
            </a:graphic>
          </wp:inline>
        </w:drawing>
      </w:r>
    </w:p>
    <w:p w14:paraId="2E3DE4A7">
      <w:pPr>
        <w:jc w:val="center"/>
        <w:rPr>
          <w:rFonts w:hint="default" w:ascii="Times New Roman" w:hAnsi="Times New Roman" w:cs="Times New Roman"/>
          <w:b/>
          <w:bCs/>
        </w:rPr>
      </w:pPr>
      <w:r>
        <w:rPr>
          <w:rFonts w:hint="default" w:ascii="Times New Roman" w:hAnsi="Times New Roman" w:cs="Times New Roman"/>
          <w:b/>
          <w:bCs/>
          <w:sz w:val="21"/>
        </w:rPr>
        <w:t>图 5-1 Agent增量采集与偏移量持久化流程图</w:t>
      </w:r>
    </w:p>
    <w:p w14:paraId="5FDE1DCC">
      <w:pPr>
        <w:pStyle w:val="4"/>
        <w:bidi w:val="0"/>
      </w:pPr>
      <w:bookmarkStart w:id="104" w:name="_Toc8497"/>
      <w:r>
        <w:t>失败重试与状态同步实现</w:t>
      </w:r>
      <w:bookmarkEnd w:id="104"/>
    </w:p>
    <w:p w14:paraId="4FCEE120">
      <w:pPr>
        <w:spacing w:line="360" w:lineRule="auto"/>
        <w:ind w:firstLine="420"/>
        <w:jc w:val="both"/>
      </w:pPr>
      <w:r>
        <w:t>日志采集过程中可能出现后端暂时不可用、网络连接失败或接口返回异常等情况。为降低临时错误对采集链路的影响，Agent使用retryQueue保存提交失败的日志数据，并在后续周期中重新尝试发送。只有当后端确认接收成功后，相关日志才会从重试队列中移除。</w:t>
      </w:r>
    </w:p>
    <w:p w14:paraId="20E02961">
      <w:pPr>
        <w:spacing w:line="360" w:lineRule="auto"/>
        <w:ind w:firstLine="420"/>
        <w:jc w:val="both"/>
      </w:pPr>
      <w:r>
        <w:t>logAgent还会同步Agent运行状态，包括采集来源、当前偏移量、最后心跳时间、同步时间、运行状态和错误信息等。这些状态写入agent_states表后，前端或后端可以查看Agent是否正常工作，也便于定位采集异常。</w:t>
      </w:r>
    </w:p>
    <w:p w14:paraId="709F7E86">
      <w:pPr>
        <w:spacing w:line="360" w:lineRule="auto"/>
        <w:ind w:firstLine="420"/>
        <w:jc w:val="both"/>
      </w:pPr>
      <w:r>
        <w:t>失败重试与状态同步增强了采集模块的可用性。即使短时间内后端不可访问，系统也能保留待提交日志，并在服务恢复后继续提交，从而保证采集、存证和审计闭环的连续性。</w:t>
      </w:r>
    </w:p>
    <w:p w14:paraId="6B84F264">
      <w:pPr>
        <w:pStyle w:val="3"/>
        <w:bidi w:val="0"/>
      </w:pPr>
      <w:bookmarkStart w:id="105" w:name="_Toc3793"/>
      <w:r>
        <w:t>后端服务与数据持久化实现</w:t>
      </w:r>
      <w:bookmarkEnd w:id="105"/>
    </w:p>
    <w:p w14:paraId="3E384838">
      <w:pPr>
        <w:spacing w:line="360" w:lineRule="auto"/>
        <w:ind w:firstLine="420"/>
        <w:jc w:val="both"/>
      </w:pPr>
      <w:r>
        <w:t>后端服务是连接日志采集端、链下数据库、智能合约与前端页面的核心层Agent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Node.js和Express实现。</w:t>
      </w:r>
    </w:p>
    <w:p w14:paraId="2D977D88">
      <w:pPr>
        <w:pStyle w:val="4"/>
        <w:bidi w:val="0"/>
      </w:pPr>
      <w:bookmarkStart w:id="106" w:name="_Toc984"/>
      <w:r>
        <w:t>后端分层架构与核心接口实现</w:t>
      </w:r>
      <w:bookmarkEnd w:id="106"/>
    </w:p>
    <w:p w14:paraId="6E877E28">
      <w:pPr>
        <w:spacing w:line="360" w:lineRule="auto"/>
        <w:ind w:firstLine="420"/>
        <w:jc w:val="both"/>
      </w:pPr>
      <w:r>
        <w:t>后端接口以REST API形式向Agent、前端页面和实验脚本提供服务。routes层负责将不同访问路径分发到对应控制器，例如日志路由、审计路由、告警路由和总览路由。controllers层位于路由与业务服务之间，主要完成请求体读取、基础参数校验、异常捕获和统一响应封装。以POST /api/logs为例，控制器接收taskId、sourceType、sourcePath、logContent、logLevel、collectedAt等字段后，将日志提交请求交由服务层处理。</w:t>
      </w:r>
    </w:p>
    <w:p w14:paraId="269B4B50">
      <w:pPr>
        <w:spacing w:line="360" w:lineRule="auto"/>
        <w:ind w:firstLine="420"/>
        <w:jc w:val="both"/>
      </w:pPr>
      <w:r>
        <w:t>services层是后端业务逻辑的主要承载位置。日志服务负责日志查询和Agent状态同步，区块链服务负责组织日志入库、SHA-256 哈希计算和LogRegistry 写入，审计执行服务负责批量审计、单条审计和三方哈希比对，告警服务负责异常告警查询，总览服务负责聚合日志数量、审计数量和告警数量等指标。核心接口围绕系统主流程展开：POST /api/logs用于接收Agent或测试脚本提交的日志；GET /api/logs用于日志中心列表展示；POST /api/audits/run用于触发审计任务；GET /api/alerts用于告警管理页面查询异常记录。通过上述接口，后端将采集、存证、审计和展示连接为连续服务。</w:t>
      </w:r>
    </w:p>
    <w:p w14:paraId="573606A4">
      <w:pPr>
        <w:jc w:val="both"/>
        <w:rPr>
          <w:sz w:val="24"/>
          <w:szCs w:val="24"/>
        </w:rPr>
      </w:pPr>
      <w:r>
        <w:rPr>
          <w:rFonts w:ascii="宋体" w:hAnsi="宋体"/>
          <w:sz w:val="24"/>
          <w:szCs w:val="24"/>
        </w:rPr>
        <w:t>后端分层结构使接口处理、业务编排、数据库访问和链上交互保持边界清晰。图 5-2 展示了</w:t>
      </w:r>
      <w:r>
        <w:rPr>
          <w:rFonts w:hint="default" w:ascii="Times New Roman" w:hAnsi="Times New Roman" w:cs="Times New Roman"/>
          <w:sz w:val="24"/>
          <w:szCs w:val="24"/>
        </w:rPr>
        <w:t>Express</w:t>
      </w:r>
      <w:r>
        <w:rPr>
          <w:rFonts w:ascii="宋体" w:hAnsi="宋体"/>
          <w:sz w:val="24"/>
          <w:szCs w:val="24"/>
        </w:rPr>
        <w:t>后端各层与外部模块之间的关系。</w:t>
      </w:r>
    </w:p>
    <w:p w14:paraId="4AFFEF86">
      <w:pPr>
        <w:jc w:val="center"/>
      </w:pPr>
      <w:r>
        <w:drawing>
          <wp:inline distT="0" distB="0" distL="114300" distR="114300">
            <wp:extent cx="5303520" cy="2983230"/>
            <wp:effectExtent l="0" t="0" r="11430" b="7620"/>
            <wp:docPr id="9" name="图片 13" descr="fig-5-2-backend-layered-architecture.png"/>
            <wp:cNvGraphicFramePr/>
            <a:graphic xmlns:a="http://schemas.openxmlformats.org/drawingml/2006/main">
              <a:graphicData uri="http://schemas.openxmlformats.org/drawingml/2006/picture">
                <pic:pic xmlns:pic="http://schemas.openxmlformats.org/drawingml/2006/picture">
                  <pic:nvPicPr>
                    <pic:cNvPr id="9" name="图片 13" descr="fig-5-2-backend-layered-architecture.png"/>
                    <pic:cNvPicPr/>
                  </pic:nvPicPr>
                  <pic:blipFill>
                    <a:blip r:embed="rId23"/>
                    <a:stretch>
                      <a:fillRect/>
                    </a:stretch>
                  </pic:blipFill>
                  <pic:spPr>
                    <a:xfrm>
                      <a:off x="0" y="0"/>
                      <a:ext cx="5303520" cy="2983230"/>
                    </a:xfrm>
                    <a:prstGeom prst="rect">
                      <a:avLst/>
                    </a:prstGeom>
                    <a:noFill/>
                    <a:ln>
                      <a:noFill/>
                    </a:ln>
                  </pic:spPr>
                </pic:pic>
              </a:graphicData>
            </a:graphic>
          </wp:inline>
        </w:drawing>
      </w:r>
    </w:p>
    <w:p w14:paraId="3E1CB956">
      <w:pPr>
        <w:jc w:val="center"/>
        <w:rPr>
          <w:rFonts w:hint="default" w:ascii="Times New Roman" w:hAnsi="Times New Roman" w:cs="Times New Roman"/>
          <w:b/>
          <w:bCs/>
        </w:rPr>
      </w:pPr>
      <w:r>
        <w:rPr>
          <w:rFonts w:hint="default" w:ascii="Times New Roman" w:hAnsi="Times New Roman" w:cs="Times New Roman"/>
          <w:b/>
          <w:bCs/>
          <w:sz w:val="21"/>
        </w:rPr>
        <w:t>图 5-2 后端分层架构图</w:t>
      </w:r>
    </w:p>
    <w:p w14:paraId="1845D11D">
      <w:pPr>
        <w:pStyle w:val="4"/>
        <w:bidi w:val="0"/>
      </w:pPr>
      <w:bookmarkStart w:id="107" w:name="_Toc29566"/>
      <w:r>
        <w:t>日志入库、哈希计算与上链流程实现</w:t>
      </w:r>
      <w:bookmarkEnd w:id="107"/>
    </w:p>
    <w:p w14:paraId="6FD82687">
      <w:pPr>
        <w:spacing w:line="360" w:lineRule="auto"/>
        <w:ind w:firstLine="420"/>
        <w:jc w:val="both"/>
      </w:pPr>
      <w:r>
        <w:t>日志入库、哈希计算与上链流程是后端实现可信存证的关键路径。logs表中的log_content是后续审计阶段重新计算actualHash的基础，因此系统需要保持日志正文与 task_id、source_path、collected_at等元数据之间的稳定关联。日志保存完成后，后端对log_content计算SHA-256摘要，生成以0x开头的十六进制哈希值。</w:t>
      </w:r>
    </w:p>
    <w:p w14:paraId="12433F7E">
      <w:pPr>
        <w:spacing w:line="360" w:lineRule="auto"/>
        <w:ind w:firstLine="420"/>
        <w:jc w:val="both"/>
      </w:pPr>
      <w:r>
        <w:t>随后，后端通过blockchain层连接LogRegistry合约，调用storeLog(taskId, logHash) 将taskId与logHash写入链上。链上写入成功后，系统将log_id、task_id、log_hash、contract_address、transaction_hash、block_number和on_chain_status等信息保存到log_hash_records表。</w:t>
      </w:r>
    </w:p>
    <w:p w14:paraId="5AD80C2A">
      <w:pPr>
        <w:spacing w:line="360" w:lineRule="auto"/>
        <w:ind w:firstLine="420"/>
        <w:jc w:val="both"/>
      </w:pPr>
      <w:r>
        <w:t>考虑到本系统使用Hardhat本地链进行实验，链重启或合约多次部署可能导致当前配置地址与历史记录不一致。因此，审计阶段优先使用log_hash_records.contract_address回溯当时写入的合约地址，并在链上读写前通过 provider.getCode(address) 校验目标地址是否存在合约代码。</w:t>
      </w:r>
    </w:p>
    <w:p w14:paraId="12BCBC89">
      <w:pPr>
        <w:pStyle w:val="4"/>
        <w:bidi w:val="0"/>
      </w:pPr>
      <w:bookmarkStart w:id="108" w:name="_Toc24334"/>
      <w:r>
        <w:t>审计记录与告警数据表实现</w:t>
      </w:r>
      <w:bookmarkEnd w:id="108"/>
    </w:p>
    <w:p w14:paraId="46023C40">
      <w:pPr>
        <w:spacing w:line="360" w:lineRule="auto"/>
        <w:ind w:firstLine="420"/>
        <w:jc w:val="both"/>
      </w:pPr>
      <w:r>
        <w:t>审计执行结果主要写入audit_records表。该表记录log_id、log_hash_record_id、audit_status、expected_hash、actual_hash、audit_message和audited_at等字段，用于保存每次审计的状态和依据。通过保留expectedHash与actualHash，系统能够说明审计判断来源，而不是只保存最终结果。</w:t>
      </w:r>
    </w:p>
    <w:p w14:paraId="01A3B0E3">
      <w:pPr>
        <w:spacing w:line="360" w:lineRule="auto"/>
        <w:ind w:firstLine="420"/>
        <w:jc w:val="both"/>
      </w:pPr>
      <w:r>
        <w:t>当审计状态为failed时，后端服务会生成hash_mismatch类型告警并写入alerts 表。告警记录包含related_log_id、related_audit_id、标题、描述、严重程度和处理状态等字段，用于将异常日志与审计记录关联起来。这样，用户在前端查看告警时，可以追溯到具体日志和审计过程。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jc w:val="both"/>
      </w:pPr>
      <w:r>
        <w:t>audit_records与alerts的组合使系统形成从检测到提示的闭环。审计记录保存技术判断，告警记录面向用户提示风险，两者共同支撑日志篡改检测后的追踪和展示。</w:t>
      </w:r>
    </w:p>
    <w:p w14:paraId="268F02E8">
      <w:pPr>
        <w:pStyle w:val="3"/>
        <w:bidi w:val="0"/>
      </w:pPr>
      <w:bookmarkStart w:id="109" w:name="_Toc14534"/>
      <w:r>
        <w:t>前端可视化模块实现</w:t>
      </w:r>
      <w:bookmarkEnd w:id="109"/>
    </w:p>
    <w:p w14:paraId="541EFAA2">
      <w:pPr>
        <w:spacing w:line="360" w:lineRule="auto"/>
        <w:ind w:firstLine="420"/>
        <w:jc w:val="both"/>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React、TypeScript和Ant Design实现Web 前端，通过系统总览、日志中心、审计管理和告警管理等页面，将后端数据转换为可浏览、可检索和可对比的界面信息。前端不直接访问数据库或区块链，而是通过API客户端调用后端REST接口。</w:t>
      </w:r>
    </w:p>
    <w:p w14:paraId="6457A275">
      <w:pPr>
        <w:pStyle w:val="4"/>
        <w:bidi w:val="0"/>
      </w:pPr>
      <w:bookmarkStart w:id="110" w:name="_Toc12947"/>
      <w:r>
        <w:t>系统总览与日志中心实现</w:t>
      </w:r>
      <w:bookmarkEnd w:id="110"/>
    </w:p>
    <w:p w14:paraId="3081D44F">
      <w:pPr>
        <w:spacing w:line="360" w:lineRule="auto"/>
        <w:ind w:firstLine="420"/>
        <w:jc w:val="both"/>
      </w:pPr>
      <w:r>
        <w:t>系统总览页面用于呈现系统整体运行状态。页面通过统计卡片展示日志总量、审计记录数、活动告警数、审计通过数量和异常数量等指标，使用户能够快速了解当前审计系统的数据规模和风险情况。同时，前端使用LineTrendChart展示日志趋势，使用DistributionChart展示审计状态分布和异常等级分布，从而将日志、审计和告警数据以图形化方式表达。日志中心页面用于展示链下保存的日志记录。</w:t>
      </w:r>
    </w:p>
    <w:p w14:paraId="239BBA71">
      <w:pPr>
        <w:spacing w:line="360" w:lineRule="auto"/>
        <w:jc w:val="both"/>
      </w:pPr>
      <w:r>
        <w:t>页面通过GET /api/logs读取日志列表，并结合审计记录映射日志状态，展示任务标识、日志级别、来源路径、采集时间和当前状态等信息。系统总览页面效果如图5-4所示。</w:t>
      </w:r>
    </w:p>
    <w:p w14:paraId="585C78F5">
      <w:pPr>
        <w:jc w:val="center"/>
      </w:pPr>
      <w:r>
        <w:drawing>
          <wp:inline distT="0" distB="0" distL="114300" distR="114300">
            <wp:extent cx="5303520" cy="2983230"/>
            <wp:effectExtent l="0" t="0" r="5080" b="127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4"/>
                    <a:stretch>
                      <a:fillRect/>
                    </a:stretch>
                  </pic:blipFill>
                  <pic:spPr>
                    <a:xfrm>
                      <a:off x="0" y="0"/>
                      <a:ext cx="5303520" cy="2983230"/>
                    </a:xfrm>
                    <a:prstGeom prst="rect">
                      <a:avLst/>
                    </a:prstGeom>
                    <a:noFill/>
                    <a:ln>
                      <a:noFill/>
                    </a:ln>
                  </pic:spPr>
                </pic:pic>
              </a:graphicData>
            </a:graphic>
          </wp:inline>
        </w:drawing>
      </w:r>
    </w:p>
    <w:p w14:paraId="78F0F7EE">
      <w:pPr>
        <w:jc w:val="center"/>
        <w:rPr>
          <w:rFonts w:hint="default" w:ascii="Times New Roman" w:hAnsi="Times New Roman" w:cs="Times New Roman"/>
          <w:b/>
          <w:bCs/>
        </w:rPr>
      </w:pPr>
      <w:r>
        <w:rPr>
          <w:rFonts w:hint="default" w:ascii="Times New Roman" w:hAnsi="Times New Roman" w:cs="Times New Roman"/>
          <w:b/>
          <w:bCs/>
        </w:rPr>
        <w:t>图 5-4 系统前端总览页面</w:t>
      </w:r>
    </w:p>
    <w:p w14:paraId="574C331D">
      <w:pPr>
        <w:pStyle w:val="4"/>
        <w:bidi w:val="0"/>
      </w:pPr>
      <w:bookmarkStart w:id="111" w:name="_Toc23487"/>
      <w:r>
        <w:t>审计管理与告警管理实现</w:t>
      </w:r>
      <w:bookmarkEnd w:id="111"/>
    </w:p>
    <w:p w14:paraId="4628D24F">
      <w:pPr>
        <w:spacing w:line="360" w:lineRule="auto"/>
        <w:ind w:firstLine="420"/>
        <w:jc w:val="both"/>
      </w:pPr>
      <w:r>
        <w:t>审计管理页面用于展示审计执行状态，并提供批量审计操作入口。页面加载时读取日志、审计和统计数据，生成审计摘要、状态分布、日志趋势和最近审计对象列表。用户点击审计按钮后，前端调用POST /api/audits/run，由后端执行三方哈希比对；审计完成后，页面刷新passed、failed和pending等状态，使审计结果能够及时反映到统计卡片、表格和图表中。告警管理页面用于集中展示alerts表中的异常信息。</w:t>
      </w:r>
    </w:p>
    <w:p w14:paraId="1DE16FC6">
      <w:pPr>
        <w:spacing w:line="360" w:lineRule="auto"/>
        <w:ind w:firstLine="420"/>
        <w:jc w:val="both"/>
      </w:pPr>
      <w:r>
        <w:t>对于hash_mismatch类型告警，页面能够提示其来源于日志哈希不一致，并通过关联日志和审计记录辅助用户追踪异常原因。前端数据处理主要集中在API客户端、dataService和mappers中，使页面组件只关注展示逻辑，而将接口字段转换和状态映射集中处理。审计管理与告警管理页面效果如图5-5所示。</w:t>
      </w:r>
    </w:p>
    <w:p w14:paraId="60AB932A">
      <w:pPr>
        <w:jc w:val="center"/>
      </w:pPr>
      <w:r>
        <w:drawing>
          <wp:inline distT="0" distB="0" distL="114300" distR="114300">
            <wp:extent cx="5303520" cy="2983230"/>
            <wp:effectExtent l="0" t="0" r="5080" b="127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5"/>
                    <a:stretch>
                      <a:fillRect/>
                    </a:stretch>
                  </pic:blipFill>
                  <pic:spPr>
                    <a:xfrm>
                      <a:off x="0" y="0"/>
                      <a:ext cx="5303520" cy="2983230"/>
                    </a:xfrm>
                    <a:prstGeom prst="rect">
                      <a:avLst/>
                    </a:prstGeom>
                    <a:noFill/>
                    <a:ln>
                      <a:noFill/>
                    </a:ln>
                  </pic:spPr>
                </pic:pic>
              </a:graphicData>
            </a:graphic>
          </wp:inline>
        </w:drawing>
      </w:r>
    </w:p>
    <w:p w14:paraId="5FDC2B63">
      <w:pPr>
        <w:jc w:val="center"/>
        <w:rPr>
          <w:rFonts w:hint="default" w:ascii="Times New Roman" w:hAnsi="Times New Roman" w:cs="Times New Roman"/>
          <w:b/>
          <w:bCs/>
        </w:rPr>
      </w:pPr>
      <w:r>
        <w:rPr>
          <w:rFonts w:hint="default" w:ascii="Times New Roman" w:hAnsi="Times New Roman" w:cs="Times New Roman"/>
          <w:b/>
          <w:bCs/>
        </w:rPr>
        <w:t>图 5-5 审计管理与告警管理页面</w:t>
      </w:r>
    </w:p>
    <w:p w14:paraId="262B28EA">
      <w:pPr>
        <w:pStyle w:val="3"/>
        <w:bidi w:val="0"/>
      </w:pPr>
      <w:bookmarkStart w:id="112" w:name="_Toc23089"/>
      <w:r>
        <w:t>功能测试与闭环验证</w:t>
      </w:r>
      <w:bookmarkEnd w:id="112"/>
    </w:p>
    <w:p w14:paraId="110324F5">
      <w:pPr>
        <w:spacing w:line="360" w:lineRule="auto"/>
        <w:ind w:firstLine="420"/>
        <w:jc w:val="both"/>
      </w:pPr>
      <w:r>
        <w:t>为验证系统各模块是否能够按照设计目标协同运行，本节围绕智能合约、后端接口与审计闭环、Agent采集与前端展示三个方面开展功能测试。功能测试的重点不是单纯验证某个函数是否能够运行，而是确认日志从采集、入库、哈希计算、链上存证、审计比对、告警生成到前端展示的闭环是否能够形成。</w:t>
      </w:r>
    </w:p>
    <w:p w14:paraId="63B9E169">
      <w:pPr>
        <w:pStyle w:val="4"/>
        <w:bidi w:val="0"/>
      </w:pPr>
      <w:bookmarkStart w:id="113" w:name="_Toc30700"/>
      <w:r>
        <w:t>智能合约功能测试</w:t>
      </w:r>
      <w:bookmarkEnd w:id="113"/>
    </w:p>
    <w:p w14:paraId="39A111F5">
      <w:pPr>
        <w:spacing w:line="360" w:lineRule="auto"/>
        <w:ind w:firstLine="420"/>
        <w:jc w:val="both"/>
      </w:pPr>
      <w:r>
        <w:t>智能合约功能测试主要面向LogRegistry合约展开，测试目标是确认合约能够稳定完成日志哈希存证、权限控制和查询操作。LogRegistry合约负责保存taskId、logHash、createdAt和submitter四类核心字段，是系统链上可信存证的基础。测试内容覆盖合约部署、LOGGER_ROLE权限控制、日志哈希写入、按记录编号查询、按taskId查询、任务日志数量统计、合约总记录数量统计以及异常输入处理等场景。测试结果显示，LogRegistry合约8项测试全部通过，说明链上存证模块能够为后端提供稳定接口。</w:t>
      </w:r>
    </w:p>
    <w:p w14:paraId="66FB61F0">
      <w:pPr>
        <w:pStyle w:val="4"/>
        <w:bidi w:val="0"/>
      </w:pPr>
      <w:bookmarkStart w:id="114" w:name="_Toc32440"/>
      <w:r>
        <w:t>后端接口与审计闭环测试</w:t>
      </w:r>
      <w:bookmarkEnd w:id="114"/>
    </w:p>
    <w:p w14:paraId="6AAE359D">
      <w:pPr>
        <w:spacing w:line="360" w:lineRule="auto"/>
        <w:ind w:firstLine="420"/>
        <w:jc w:val="both"/>
      </w:pPr>
      <w:r>
        <w:t>后端接口与审计闭环测试主要验证 Server 能否正确完成日志接收、链下入库、哈希计算、链上写入、审计比对和异常告警。通过这些接口，可以验证第3章设计的可信日志审计机制是否能够落到实际运行流程中。在链上写入验证中，系统通过后端服务接收日志内容，将日志原文写入logs表，并对log_content计算SHA-256哈希，再调用LogRegistry完成存证。在API回归验证中，系统对日志提交、日志查询、审计触发、审计结果查询和告警查询等接口进行检查，确认接口能够返回结构化响应，并且前后端使用的数据字段保持一致。同时，测试覆盖passed与failed分支，能够验证审计通过和哈希不一致告警两类结果。</w:t>
      </w:r>
    </w:p>
    <w:p w14:paraId="32BA60B6">
      <w:pPr>
        <w:spacing w:line="360" w:lineRule="auto"/>
        <w:ind w:firstLine="420"/>
        <w:jc w:val="both"/>
      </w:pPr>
      <w:r>
        <w:t>该测试说明，后端不只是完成日志保存，还能够将链下数据库、链上合约和审计告警串联起来，使可信日志审计闭环具备实际运行基础。</w:t>
      </w:r>
    </w:p>
    <w:p w14:paraId="0D959BE4">
      <w:pPr>
        <w:pStyle w:val="4"/>
        <w:bidi w:val="0"/>
      </w:pPr>
      <w:bookmarkStart w:id="115" w:name="_Toc2252"/>
      <w:r>
        <w:t>Agent采集与前端展示测试</w:t>
      </w:r>
      <w:bookmarkEnd w:id="115"/>
    </w:p>
    <w:p w14:paraId="03A74DAE">
      <w:pPr>
        <w:spacing w:line="360" w:lineRule="auto"/>
        <w:ind w:firstLine="420"/>
        <w:jc w:val="both"/>
      </w:pPr>
      <w:r>
        <w:t>Agent 采集测试主要验证日志采集端能否按照增量方式读取文件，并维护读取偏移量。测试中，Agent首次读取日志文件时能够采集已有日志行；在日志文件没有新增内容时，不会重复读取历史记录；当文件追加新日志后，Agent仅采集新增部分。同时，offsetStore能够保存lastOffset，使Agent在后续运行中继续从正确位置读取。该结果说明，Agent的增量读取和偏移量持久化机制能够减少重复采集问题。除基础采集外，Agent还进行了真实提交链路验证。后端接收后继续执行入库、哈希计算和上链流程。</w:t>
      </w:r>
    </w:p>
    <w:p w14:paraId="494D7359">
      <w:pPr>
        <w:spacing w:line="360" w:lineRule="auto"/>
        <w:ind w:firstLine="420"/>
        <w:jc w:val="both"/>
      </w:pPr>
      <w:r>
        <w:t>前端展示测试主要通过TypeScript类型检查与Vite 构建验证完成，验证结果表明前端类型约束和构建流程能够通过。总体来看，Agent采集、后端审计和前端展示形成了连续路径：Agent负责产生标准化日志输入，后端负责可信存证与审计判断，前端负责展示运行状态和异常结果。</w:t>
      </w:r>
    </w:p>
    <w:p w14:paraId="00FF9ACB">
      <w:pPr>
        <w:pStyle w:val="3"/>
        <w:bidi w:val="0"/>
      </w:pPr>
      <w:bookmarkStart w:id="116" w:name="_Toc5077"/>
      <w:r>
        <w:t>性能实验与篡改检测实验</w:t>
      </w:r>
      <w:bookmarkEnd w:id="116"/>
    </w:p>
    <w:p w14:paraId="50691991">
      <w:pPr>
        <w:spacing w:line="360" w:lineRule="auto"/>
        <w:ind w:firstLine="420"/>
        <w:jc w:val="both"/>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rPr>
          <w:rFonts w:hint="default" w:ascii="Times New Roman" w:hAnsi="Times New Roman" w:cs="Times New Roman"/>
          <w:b/>
          <w:bCs/>
        </w:rPr>
      </w:pPr>
      <w:r>
        <w:rPr>
          <w:rFonts w:hint="default" w:ascii="Times New Roman" w:hAnsi="Times New Roman" w:cs="Times New Roman"/>
          <w:b/>
          <w:bCs/>
        </w:rPr>
        <w:t>表 5-2 性能实验与篡改检测结果</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2930"/>
        <w:gridCol w:w="2817"/>
      </w:tblGrid>
      <w:tr w14:paraId="18DA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Borders>
              <w:top w:val="single" w:color="000000" w:sz="12" w:space="0"/>
              <w:left w:val="nil"/>
              <w:bottom w:val="single" w:color="000000" w:sz="4" w:space="0"/>
              <w:right w:val="nil"/>
              <w:tl2br w:val="nil"/>
            </w:tcBorders>
            <w:shd w:val="clear" w:color="auto" w:fill="FFFFFF"/>
            <w:vAlign w:val="center"/>
          </w:tcPr>
          <w:p w14:paraId="7E027C68">
            <w:pPr>
              <w:jc w:val="center"/>
              <w:rPr>
                <w:rFonts w:hint="default" w:ascii="Times New Roman" w:hAnsi="Times New Roman" w:cs="Times New Roman"/>
                <w:b w:val="0"/>
                <w:color w:val="000000"/>
              </w:rPr>
            </w:pPr>
            <w:r>
              <w:rPr>
                <w:rFonts w:hint="default" w:ascii="Times New Roman" w:hAnsi="Times New Roman" w:cs="Times New Roman"/>
                <w:b w:val="0"/>
                <w:color w:val="000000"/>
              </w:rPr>
              <w:t>实验项目</w:t>
            </w:r>
          </w:p>
        </w:tc>
        <w:tc>
          <w:tcPr>
            <w:tcW w:w="2880" w:type="dxa"/>
            <w:tcBorders>
              <w:top w:val="single" w:color="000000" w:sz="12" w:space="0"/>
              <w:left w:val="nil"/>
              <w:bottom w:val="single" w:color="000000" w:sz="4" w:space="0"/>
              <w:right w:val="nil"/>
            </w:tcBorders>
            <w:shd w:val="clear" w:color="auto" w:fill="FFFFFF"/>
            <w:vAlign w:val="center"/>
          </w:tcPr>
          <w:p w14:paraId="17263DDB">
            <w:pPr>
              <w:jc w:val="center"/>
              <w:rPr>
                <w:rFonts w:hint="default" w:ascii="Times New Roman" w:hAnsi="Times New Roman" w:cs="Times New Roman"/>
                <w:b w:val="0"/>
                <w:color w:val="000000"/>
              </w:rPr>
            </w:pPr>
            <w:r>
              <w:rPr>
                <w:rFonts w:hint="default" w:ascii="Times New Roman" w:hAnsi="Times New Roman" w:cs="Times New Roman"/>
                <w:b w:val="0"/>
                <w:color w:val="000000"/>
              </w:rPr>
              <w:t>验证结果</w:t>
            </w:r>
          </w:p>
        </w:tc>
        <w:tc>
          <w:tcPr>
            <w:tcW w:w="2880" w:type="dxa"/>
            <w:tcBorders>
              <w:top w:val="single" w:color="000000" w:sz="12" w:space="0"/>
              <w:left w:val="nil"/>
              <w:bottom w:val="single" w:color="000000" w:sz="4" w:space="0"/>
              <w:right w:val="nil"/>
            </w:tcBorders>
            <w:shd w:val="clear" w:color="auto" w:fill="FFFFFF"/>
            <w:vAlign w:val="center"/>
          </w:tcPr>
          <w:p w14:paraId="7D426653">
            <w:pPr>
              <w:jc w:val="center"/>
              <w:rPr>
                <w:rFonts w:hint="default" w:ascii="Times New Roman" w:hAnsi="Times New Roman" w:cs="Times New Roman"/>
                <w:b w:val="0"/>
                <w:color w:val="000000"/>
              </w:rPr>
            </w:pPr>
            <w:r>
              <w:rPr>
                <w:rFonts w:hint="default" w:ascii="Times New Roman" w:hAnsi="Times New Roman" w:cs="Times New Roman"/>
                <w:b w:val="0"/>
                <w:color w:val="000000"/>
              </w:rPr>
              <w:t>说明</w:t>
            </w:r>
          </w:p>
        </w:tc>
      </w:tr>
      <w:tr w14:paraId="7021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000000" w:sz="4" w:space="0"/>
              <w:left w:val="nil"/>
              <w:bottom w:val="nil"/>
              <w:right w:val="nil"/>
            </w:tcBorders>
            <w:shd w:val="clear" w:color="auto" w:fill="FFFFFF"/>
            <w:vAlign w:val="center"/>
          </w:tcPr>
          <w:p w14:paraId="051A1B05">
            <w:pPr>
              <w:jc w:val="center"/>
              <w:rPr>
                <w:rFonts w:hint="default" w:ascii="Times New Roman" w:hAnsi="Times New Roman" w:cs="Times New Roman"/>
                <w:b w:val="0"/>
                <w:color w:val="000000"/>
              </w:rPr>
            </w:pPr>
            <w:r>
              <w:rPr>
                <w:rFonts w:hint="default" w:ascii="Times New Roman" w:hAnsi="Times New Roman" w:cs="Times New Roman"/>
                <w:b w:val="0"/>
                <w:color w:val="000000"/>
              </w:rPr>
              <w:t>智能合约功能测试</w:t>
            </w:r>
          </w:p>
        </w:tc>
        <w:tc>
          <w:tcPr>
            <w:tcW w:w="2880" w:type="dxa"/>
            <w:tcBorders>
              <w:top w:val="single" w:color="000000" w:sz="4" w:space="0"/>
              <w:left w:val="nil"/>
              <w:bottom w:val="nil"/>
              <w:right w:val="nil"/>
            </w:tcBorders>
            <w:shd w:val="clear" w:color="auto" w:fill="FFFFFF"/>
            <w:vAlign w:val="center"/>
          </w:tcPr>
          <w:p w14:paraId="6B24EC07">
            <w:pPr>
              <w:jc w:val="center"/>
              <w:rPr>
                <w:rFonts w:hint="default" w:ascii="Times New Roman" w:hAnsi="Times New Roman" w:cs="Times New Roman"/>
                <w:b w:val="0"/>
                <w:color w:val="000000"/>
              </w:rPr>
            </w:pPr>
            <w:r>
              <w:rPr>
                <w:rFonts w:hint="default" w:ascii="Times New Roman" w:hAnsi="Times New Roman" w:cs="Times New Roman"/>
                <w:b w:val="0"/>
                <w:color w:val="000000"/>
              </w:rPr>
              <w:t>8项测试全部通过</w:t>
            </w:r>
          </w:p>
        </w:tc>
        <w:tc>
          <w:tcPr>
            <w:tcW w:w="2880" w:type="dxa"/>
            <w:tcBorders>
              <w:top w:val="single" w:color="000000" w:sz="4" w:space="0"/>
              <w:left w:val="nil"/>
              <w:bottom w:val="nil"/>
              <w:right w:val="nil"/>
            </w:tcBorders>
            <w:shd w:val="clear" w:color="auto" w:fill="FFFFFF"/>
            <w:vAlign w:val="center"/>
          </w:tcPr>
          <w:p w14:paraId="12ECEBD6">
            <w:pPr>
              <w:jc w:val="center"/>
              <w:rPr>
                <w:rFonts w:hint="default" w:ascii="Times New Roman" w:hAnsi="Times New Roman" w:cs="Times New Roman"/>
                <w:b w:val="0"/>
                <w:color w:val="000000"/>
              </w:rPr>
            </w:pPr>
            <w:r>
              <w:rPr>
                <w:rFonts w:hint="default" w:ascii="Times New Roman" w:hAnsi="Times New Roman" w:cs="Times New Roman"/>
                <w:b w:val="0"/>
                <w:color w:val="000000"/>
              </w:rPr>
              <w:t>验证LogRegistry写入、查询和权限控制</w:t>
            </w:r>
          </w:p>
        </w:tc>
      </w:tr>
      <w:tr w14:paraId="74DD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nil"/>
              <w:left w:val="nil"/>
              <w:bottom w:val="nil"/>
              <w:right w:val="nil"/>
            </w:tcBorders>
            <w:shd w:val="clear" w:color="auto" w:fill="FFFFFF"/>
            <w:vAlign w:val="center"/>
          </w:tcPr>
          <w:p w14:paraId="1233DD8A">
            <w:pPr>
              <w:jc w:val="center"/>
              <w:rPr>
                <w:rFonts w:hint="default" w:ascii="Times New Roman" w:hAnsi="Times New Roman" w:cs="Times New Roman"/>
                <w:b w:val="0"/>
                <w:color w:val="000000"/>
              </w:rPr>
            </w:pPr>
            <w:r>
              <w:rPr>
                <w:rFonts w:hint="default" w:ascii="Times New Roman" w:hAnsi="Times New Roman" w:cs="Times New Roman"/>
                <w:b w:val="0"/>
                <w:color w:val="000000"/>
              </w:rPr>
              <w:t>日志批量提交实验</w:t>
            </w:r>
          </w:p>
        </w:tc>
        <w:tc>
          <w:tcPr>
            <w:tcW w:w="2880" w:type="dxa"/>
            <w:tcBorders>
              <w:top w:val="nil"/>
              <w:left w:val="nil"/>
              <w:bottom w:val="nil"/>
              <w:right w:val="nil"/>
            </w:tcBorders>
            <w:shd w:val="clear" w:color="auto" w:fill="FFFFFF"/>
            <w:vAlign w:val="center"/>
          </w:tcPr>
          <w:p w14:paraId="1C014BF4">
            <w:pPr>
              <w:jc w:val="center"/>
              <w:rPr>
                <w:rFonts w:hint="default" w:ascii="Times New Roman" w:hAnsi="Times New Roman" w:cs="Times New Roman"/>
                <w:b w:val="0"/>
                <w:color w:val="000000"/>
              </w:rPr>
            </w:pPr>
            <w:r>
              <w:rPr>
                <w:rFonts w:hint="default" w:ascii="Times New Roman" w:hAnsi="Times New Roman" w:cs="Times New Roman"/>
                <w:b w:val="0"/>
                <w:color w:val="000000"/>
              </w:rPr>
              <w:t>100次成功率为100%，平均响应时间约107.03 ms，吞吐量约9.33条/秒</w:t>
            </w:r>
          </w:p>
        </w:tc>
        <w:tc>
          <w:tcPr>
            <w:tcW w:w="2880" w:type="dxa"/>
            <w:tcBorders>
              <w:top w:val="nil"/>
              <w:left w:val="nil"/>
              <w:bottom w:val="nil"/>
              <w:right w:val="nil"/>
            </w:tcBorders>
            <w:shd w:val="clear" w:color="auto" w:fill="FFFFFF"/>
            <w:vAlign w:val="center"/>
          </w:tcPr>
          <w:p w14:paraId="67819887">
            <w:pPr>
              <w:jc w:val="center"/>
              <w:rPr>
                <w:rFonts w:hint="default" w:ascii="Times New Roman" w:hAnsi="Times New Roman" w:cs="Times New Roman"/>
                <w:b w:val="0"/>
                <w:color w:val="000000"/>
              </w:rPr>
            </w:pPr>
            <w:r>
              <w:rPr>
                <w:rFonts w:hint="default" w:ascii="Times New Roman" w:hAnsi="Times New Roman" w:cs="Times New Roman"/>
                <w:b w:val="0"/>
                <w:color w:val="000000"/>
              </w:rPr>
              <w:t>验证连续提交与存证链路</w:t>
            </w:r>
          </w:p>
        </w:tc>
      </w:tr>
      <w:tr w14:paraId="2178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nil"/>
              <w:left w:val="nil"/>
              <w:bottom w:val="nil"/>
              <w:right w:val="nil"/>
            </w:tcBorders>
            <w:shd w:val="clear" w:color="auto" w:fill="FFFFFF"/>
            <w:vAlign w:val="center"/>
          </w:tcPr>
          <w:p w14:paraId="102B52C0">
            <w:pPr>
              <w:jc w:val="center"/>
              <w:rPr>
                <w:rFonts w:hint="default" w:ascii="Times New Roman" w:hAnsi="Times New Roman" w:cs="Times New Roman"/>
                <w:b w:val="0"/>
                <w:color w:val="000000"/>
              </w:rPr>
            </w:pPr>
            <w:r>
              <w:rPr>
                <w:rFonts w:hint="default" w:ascii="Times New Roman" w:hAnsi="Times New Roman" w:cs="Times New Roman"/>
                <w:b w:val="0"/>
                <w:color w:val="000000"/>
              </w:rPr>
              <w:t>批量审计性能实验</w:t>
            </w:r>
          </w:p>
        </w:tc>
        <w:tc>
          <w:tcPr>
            <w:tcW w:w="2880" w:type="dxa"/>
            <w:tcBorders>
              <w:top w:val="nil"/>
              <w:left w:val="nil"/>
              <w:bottom w:val="nil"/>
              <w:right w:val="nil"/>
            </w:tcBorders>
            <w:shd w:val="clear" w:color="auto" w:fill="FFFFFF"/>
            <w:vAlign w:val="center"/>
          </w:tcPr>
          <w:p w14:paraId="0659953A">
            <w:pPr>
              <w:jc w:val="center"/>
              <w:rPr>
                <w:rFonts w:hint="default" w:ascii="Times New Roman" w:hAnsi="Times New Roman" w:cs="Times New Roman"/>
                <w:b w:val="0"/>
                <w:color w:val="000000"/>
              </w:rPr>
            </w:pPr>
            <w:r>
              <w:rPr>
                <w:rFonts w:hint="default" w:ascii="Times New Roman" w:hAnsi="Times New Roman" w:cs="Times New Roman"/>
                <w:b w:val="0"/>
                <w:color w:val="000000"/>
              </w:rPr>
              <w:t>100/500/1000条数据5轮全部成功，平均耗时约 3067.77/15659.44/35032.13 ms</w:t>
            </w:r>
          </w:p>
        </w:tc>
        <w:tc>
          <w:tcPr>
            <w:tcW w:w="2880" w:type="dxa"/>
            <w:tcBorders>
              <w:top w:val="nil"/>
              <w:left w:val="nil"/>
              <w:bottom w:val="nil"/>
              <w:right w:val="nil"/>
            </w:tcBorders>
            <w:shd w:val="clear" w:color="auto" w:fill="FFFFFF"/>
            <w:vAlign w:val="center"/>
          </w:tcPr>
          <w:p w14:paraId="680730AD">
            <w:pPr>
              <w:jc w:val="center"/>
              <w:rPr>
                <w:rFonts w:hint="default" w:ascii="Times New Roman" w:hAnsi="Times New Roman" w:cs="Times New Roman"/>
                <w:b w:val="0"/>
                <w:color w:val="000000"/>
              </w:rPr>
            </w:pPr>
            <w:r>
              <w:rPr>
                <w:rFonts w:hint="default" w:ascii="Times New Roman" w:hAnsi="Times New Roman" w:cs="Times New Roman"/>
                <w:b w:val="0"/>
                <w:color w:val="000000"/>
              </w:rPr>
              <w:t>验证批量审计闭环稳定性</w:t>
            </w:r>
          </w:p>
        </w:tc>
      </w:tr>
      <w:tr w14:paraId="0DD2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nil"/>
              <w:left w:val="nil"/>
              <w:bottom w:val="single" w:color="000000" w:sz="12" w:space="0"/>
              <w:right w:val="nil"/>
            </w:tcBorders>
            <w:shd w:val="clear" w:color="auto" w:fill="FFFFFF"/>
            <w:vAlign w:val="center"/>
          </w:tcPr>
          <w:p w14:paraId="1DBF4AA9">
            <w:pPr>
              <w:jc w:val="center"/>
              <w:rPr>
                <w:rFonts w:hint="default" w:ascii="Times New Roman" w:hAnsi="Times New Roman" w:cs="Times New Roman"/>
                <w:b w:val="0"/>
                <w:color w:val="000000"/>
              </w:rPr>
            </w:pPr>
            <w:r>
              <w:rPr>
                <w:rFonts w:hint="default" w:ascii="Times New Roman" w:hAnsi="Times New Roman" w:cs="Times New Roman"/>
                <w:b w:val="0"/>
                <w:color w:val="000000"/>
              </w:rPr>
              <w:t>篡改检测实验</w:t>
            </w:r>
          </w:p>
        </w:tc>
        <w:tc>
          <w:tcPr>
            <w:tcW w:w="2880" w:type="dxa"/>
            <w:tcBorders>
              <w:top w:val="nil"/>
              <w:left w:val="nil"/>
              <w:bottom w:val="single" w:color="000000" w:sz="12" w:space="0"/>
              <w:right w:val="nil"/>
            </w:tcBorders>
            <w:shd w:val="clear" w:color="auto" w:fill="FFFFFF"/>
            <w:vAlign w:val="center"/>
          </w:tcPr>
          <w:p w14:paraId="795CB78B">
            <w:pPr>
              <w:jc w:val="center"/>
              <w:rPr>
                <w:rFonts w:hint="default" w:ascii="Times New Roman" w:hAnsi="Times New Roman" w:cs="Times New Roman"/>
                <w:b w:val="0"/>
                <w:color w:val="000000"/>
              </w:rPr>
            </w:pPr>
            <w:r>
              <w:rPr>
                <w:rFonts w:hint="default" w:ascii="Times New Roman" w:hAnsi="Times New Roman" w:cs="Times New Roman"/>
                <w:b w:val="0"/>
                <w:color w:val="000000"/>
              </w:rPr>
              <w:t>auditStatus为failed，alertGenerated为true</w:t>
            </w:r>
          </w:p>
        </w:tc>
        <w:tc>
          <w:tcPr>
            <w:tcW w:w="2880" w:type="dxa"/>
            <w:tcBorders>
              <w:top w:val="nil"/>
              <w:left w:val="nil"/>
              <w:bottom w:val="single" w:color="000000" w:sz="12" w:space="0"/>
              <w:right w:val="nil"/>
            </w:tcBorders>
            <w:shd w:val="clear" w:color="auto" w:fill="FFFFFF"/>
            <w:vAlign w:val="center"/>
          </w:tcPr>
          <w:p w14:paraId="060EA0BA">
            <w:pPr>
              <w:jc w:val="center"/>
              <w:rPr>
                <w:rFonts w:hint="default" w:ascii="Times New Roman" w:hAnsi="Times New Roman" w:cs="Times New Roman"/>
                <w:b w:val="0"/>
                <w:color w:val="000000"/>
              </w:rPr>
            </w:pPr>
            <w:r>
              <w:rPr>
                <w:rFonts w:hint="default" w:ascii="Times New Roman" w:hAnsi="Times New Roman" w:cs="Times New Roman"/>
                <w:b w:val="0"/>
                <w:color w:val="000000"/>
              </w:rPr>
              <w:t>验证哈希不一致识别与告警生成</w:t>
            </w:r>
          </w:p>
        </w:tc>
      </w:tr>
    </w:tbl>
    <w:p w14:paraId="120515D4">
      <w:pPr>
        <w:pStyle w:val="4"/>
        <w:bidi w:val="0"/>
      </w:pPr>
      <w:bookmarkStart w:id="117" w:name="_Toc10463"/>
      <w:r>
        <w:t>日志批量提交实验</w:t>
      </w:r>
      <w:bookmarkEnd w:id="117"/>
    </w:p>
    <w:p w14:paraId="3435A6B7">
      <w:pPr>
        <w:spacing w:line="360" w:lineRule="auto"/>
        <w:ind w:firstLine="420"/>
        <w:jc w:val="both"/>
      </w:pPr>
      <w:r>
        <w:t>日志批量提交实验用于验证系统在连续接收日志并执行存证流程时的稳定性。实验通过脚本连续提交100条日志，每条日志经由后端接口进入系统，随后完成日志入库、SHA-256哈希计算和链上存证记录写入。该实验能够反映POST /api/logs 接口在批量场景下的可用性，也能够间接验证后端与LogRegistry合约之间的调用链路。实验结果显示，日志批量提交共执行100次，成功100次，失败0次，成功率为100%。平均响应时间约为107.03 ms，吞吐量约为9.33 条/秒。</w:t>
      </w:r>
    </w:p>
    <w:p w14:paraId="493EF400">
      <w:pPr>
        <w:spacing w:line="360" w:lineRule="auto"/>
        <w:ind w:firstLine="420"/>
        <w:jc w:val="both"/>
      </w:pPr>
      <w:r>
        <w:t>从实验意义看，100次连续提交成功表明系统具备基本的批量接入能力，能够支撑毕业设计原型系统的演示和验证需要。吞吐量为9.33 条/秒，说明系统在本地链和SQLite条件下可以完成小规模任务日志的持续存证。</w:t>
      </w:r>
    </w:p>
    <w:p w14:paraId="70DB3C99">
      <w:pPr>
        <w:pStyle w:val="4"/>
        <w:bidi w:val="0"/>
      </w:pPr>
      <w:bookmarkStart w:id="118" w:name="_Toc29058"/>
      <w:r>
        <w:t>批量审计性能实验</w:t>
      </w:r>
      <w:bookmarkEnd w:id="118"/>
    </w:p>
    <w:p w14:paraId="15684318">
      <w:pPr>
        <w:spacing w:line="360" w:lineRule="auto"/>
        <w:ind w:firstLine="420"/>
        <w:jc w:val="both"/>
      </w:pPr>
      <w:r>
        <w:t>批量审计性能实验用于观察系统在不同数据规模下执行审计任务的耗时情况。审计过程需要读取logs表中的日志原文，重新计算actualHash，读取log_hash_records中的expectedHash，并根据taskId和合约地址查询链上 onChainHash，最后完成三方比对并写入audit_records。实验分别针对100条、500条和1000条数据集执行批量审计，每个规模重复5轮，5轮均全部成功。实验结果显示，100条数据集平均耗时约为3067.77 ms，500条数据集平均耗时约为 15659.44 ms，1000条数据集平均耗时约为35032.13 ms。</w:t>
      </w:r>
    </w:p>
    <w:p w14:paraId="3BC8241C">
      <w:pPr>
        <w:spacing w:line="360" w:lineRule="auto"/>
        <w:ind w:firstLine="420"/>
        <w:jc w:val="both"/>
      </w:pPr>
      <w:r>
        <w:t>从结果分析看，批量审计耗时由数据库读取、哈希重算、链上记录查询、比对判断和审计结果写入共同构成。随着审计数据规模从100条增加到1000条，总耗时同步上升，说明当前原型系统仍存在批量审计优化空间。批量审计耗时对比如图5-6所示，三组数据5轮均执行成功，表明系统在实验规模下能够稳定完成审计闭环。</w:t>
      </w:r>
    </w:p>
    <w:p w14:paraId="7EB115D2">
      <w:pPr>
        <w:jc w:val="center"/>
      </w:pPr>
      <w:r>
        <w:drawing>
          <wp:inline distT="0" distB="0" distL="114300" distR="114300">
            <wp:extent cx="5303520" cy="2585720"/>
            <wp:effectExtent l="0" t="0" r="0" b="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6"/>
                    <a:srcRect t="13325"/>
                    <a:stretch>
                      <a:fillRect/>
                    </a:stretch>
                  </pic:blipFill>
                  <pic:spPr>
                    <a:xfrm>
                      <a:off x="0" y="0"/>
                      <a:ext cx="5303520" cy="2585720"/>
                    </a:xfrm>
                    <a:prstGeom prst="rect">
                      <a:avLst/>
                    </a:prstGeom>
                    <a:noFill/>
                    <a:ln>
                      <a:noFill/>
                    </a:ln>
                  </pic:spPr>
                </pic:pic>
              </a:graphicData>
            </a:graphic>
          </wp:inline>
        </w:drawing>
      </w:r>
    </w:p>
    <w:p w14:paraId="7D7BCF76">
      <w:pPr>
        <w:jc w:val="center"/>
        <w:rPr>
          <w:rFonts w:hint="default" w:ascii="Times New Roman" w:hAnsi="Times New Roman" w:cs="Times New Roman"/>
          <w:b/>
          <w:bCs/>
        </w:rPr>
      </w:pPr>
      <w:r>
        <w:rPr>
          <w:rFonts w:hint="default" w:ascii="Times New Roman" w:hAnsi="Times New Roman" w:cs="Times New Roman"/>
          <w:b/>
          <w:bCs/>
        </w:rPr>
        <w:t>图 5-6 批量审计耗时对比图</w:t>
      </w:r>
    </w:p>
    <w:p w14:paraId="2B59548F">
      <w:pPr>
        <w:pStyle w:val="4"/>
        <w:bidi w:val="0"/>
      </w:pPr>
      <w:bookmarkStart w:id="119" w:name="_Toc16838"/>
      <w:r>
        <w:t>篡改检测实验与结果分析</w:t>
      </w:r>
      <w:bookmarkEnd w:id="119"/>
    </w:p>
    <w:p w14:paraId="784259FC">
      <w:pPr>
        <w:spacing w:line="360" w:lineRule="auto"/>
        <w:ind w:firstLine="420"/>
        <w:jc w:val="both"/>
      </w:pPr>
      <w:r>
        <w:t>篡改检测实验用于验证系统能否识别日志内容被修改后的异常情况。实验先通过正常流程提交日志，使日志原文写入logs表，日志哈希写入log_hash_records和LogRegistry；随后修改日志内容并触发审计。实验结果显示，auditStatus为 failed，alertGenerated为 true。</w:t>
      </w:r>
    </w:p>
    <w:p w14:paraId="4683ACD5">
      <w:pPr>
        <w:spacing w:line="360" w:lineRule="auto"/>
        <w:ind w:firstLine="420"/>
        <w:jc w:val="both"/>
      </w:pPr>
      <w:r>
        <w:t>该结果说明，当日志内容被修改后，审计阶段重新计算得到的actualHash与数据库expectedHash或链上onChainHash不一致，系统能够判定审计失败并生成告警。该实验验证了链上链下混合存储、三方哈希比对和hash_mismatch告警机制的有效性。</w:t>
      </w:r>
    </w:p>
    <w:p w14:paraId="5F712F8A">
      <w:pPr>
        <w:jc w:val="both"/>
      </w:pPr>
      <w:r>
        <w:t>为说明篡改检测实验中审计状态和告警生成之间的关系，图 5-7 展示了从日志修改到failed审计记录和hash_mismatch告警生成的闭环过程。</w:t>
      </w:r>
    </w:p>
    <w:p w14:paraId="2B979F0A">
      <w:pPr>
        <w:jc w:val="center"/>
      </w:pPr>
      <w:r>
        <w:drawing>
          <wp:inline distT="0" distB="0" distL="114300" distR="114300">
            <wp:extent cx="5303520" cy="2983230"/>
            <wp:effectExtent l="0" t="0" r="5080" b="1270"/>
            <wp:docPr id="21" name="图片 17" descr="fig-5-7-tamper-detection-loop.png"/>
            <wp:cNvGraphicFramePr/>
            <a:graphic xmlns:a="http://schemas.openxmlformats.org/drawingml/2006/main">
              <a:graphicData uri="http://schemas.openxmlformats.org/drawingml/2006/picture">
                <pic:pic xmlns:pic="http://schemas.openxmlformats.org/drawingml/2006/picture">
                  <pic:nvPicPr>
                    <pic:cNvPr id="21" name="图片 17" descr="fig-5-7-tamper-detection-loop.png"/>
                    <pic:cNvPicPr/>
                  </pic:nvPicPr>
                  <pic:blipFill>
                    <a:blip r:embed="rId27"/>
                    <a:stretch>
                      <a:fillRect/>
                    </a:stretch>
                  </pic:blipFill>
                  <pic:spPr>
                    <a:xfrm>
                      <a:off x="0" y="0"/>
                      <a:ext cx="5303520" cy="2983230"/>
                    </a:xfrm>
                    <a:prstGeom prst="rect">
                      <a:avLst/>
                    </a:prstGeom>
                    <a:noFill/>
                    <a:ln>
                      <a:noFill/>
                    </a:ln>
                  </pic:spPr>
                </pic:pic>
              </a:graphicData>
            </a:graphic>
          </wp:inline>
        </w:drawing>
      </w:r>
    </w:p>
    <w:p w14:paraId="7232CB3E">
      <w:pPr>
        <w:jc w:val="center"/>
        <w:rPr>
          <w:rFonts w:hint="default" w:ascii="Times New Roman" w:hAnsi="Times New Roman" w:cs="Times New Roman"/>
          <w:b/>
          <w:bCs/>
        </w:rPr>
      </w:pPr>
      <w:r>
        <w:rPr>
          <w:rFonts w:hint="default" w:ascii="Times New Roman" w:hAnsi="Times New Roman" w:cs="Times New Roman"/>
          <w:b/>
          <w:bCs/>
        </w:rPr>
        <w:t>图 5-7 篡改检测实验闭环示意图</w:t>
      </w:r>
    </w:p>
    <w:p w14:paraId="37BE90C8">
      <w:pPr>
        <w:pStyle w:val="3"/>
        <w:bidi w:val="0"/>
      </w:pPr>
      <w:bookmarkStart w:id="120" w:name="_Toc20008"/>
      <w:r>
        <w:t>本章小结</w:t>
      </w:r>
      <w:bookmarkEnd w:id="120"/>
    </w:p>
    <w:p w14:paraId="12176402">
      <w:pPr>
        <w:spacing w:line="360" w:lineRule="auto"/>
        <w:ind w:firstLine="420"/>
        <w:jc w:val="both"/>
      </w:pPr>
      <w:r>
        <w:t>本章围绕系统实现与实验验证展开，首先说明系统开发环境和Monorepo工程结构，随后分别介绍日志采集Agent、后端服务与数据持久化、前端可视化模块的实现方式。在测试与实验层面，本章完成智能合约功能测试、后端接口与审计闭环测试、Agent采集与前端展示测试，并进一步开展日志批量提交、批量审计性能和篡改检测实验。</w:t>
      </w:r>
    </w:p>
    <w:p w14:paraId="675BB433">
      <w:pPr>
        <w:spacing w:line="360" w:lineRule="auto"/>
        <w:ind w:firstLine="420"/>
        <w:jc w:val="both"/>
      </w:pPr>
      <w:r>
        <w:t>测试结果表明，LogRegistry合约8项测试全部通过；后端能够完成链上写入验证、API回归以及passed/failed 审计分支验证；Agent能够完成增量读取、偏移量持久化和真实提交；前端TypeScript检查与Vite构建通过。实验结果进一步说明，系统在原型环境下能够运行采集、存证、审计、告警和展示闭环，并能够识别日志内容被修改的情况。</w:t>
      </w:r>
    </w:p>
    <w:p w14:paraId="50E91644">
      <w:r>
        <w:br w:type="page"/>
      </w:r>
    </w:p>
    <w:p w14:paraId="4B1F6651">
      <w:pPr>
        <w:pStyle w:val="2"/>
        <w:numPr>
          <w:ilvl w:val="0"/>
          <w:numId w:val="0"/>
        </w:numPr>
        <w:bidi w:val="0"/>
        <w:ind w:leftChars="0"/>
        <w:jc w:val="both"/>
      </w:pPr>
    </w:p>
    <w:p w14:paraId="58E0193C">
      <w:pPr>
        <w:pStyle w:val="2"/>
        <w:bidi w:val="0"/>
      </w:pPr>
      <w:bookmarkStart w:id="121" w:name="_Toc32358"/>
      <w:r>
        <w:t>总结与展望</w:t>
      </w:r>
      <w:bookmarkEnd w:id="121"/>
    </w:p>
    <w:p w14:paraId="53B96C53"/>
    <w:p w14:paraId="4643F219">
      <w:pPr>
        <w:pStyle w:val="3"/>
        <w:bidi w:val="0"/>
      </w:pPr>
      <w:bookmarkStart w:id="122" w:name="_Toc18094"/>
      <w:r>
        <w:t>研究工作总结</w:t>
      </w:r>
      <w:bookmarkEnd w:id="122"/>
    </w:p>
    <w:p w14:paraId="24316975">
      <w:pPr>
        <w:spacing w:line="360" w:lineRule="auto"/>
        <w:ind w:firstLine="420"/>
        <w:jc w:val="both"/>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jc w:val="both"/>
      </w:pPr>
      <w:r>
        <w:t>在系统设计与实现方面，本文构建了Agent增量采集、Express后端服务、SQLite链下存储、LogRegistry智能合约、审计告警和Web可视化模块。Agent负责读取日志文件新增内容并维护采集偏移量；Server负责日志接收、入库、哈希计算、合约调用和审计执行；SQLite保存 logs、log_hash_records、audit_records、alerts 和 agent_states 等链下数据；LogRegistry 保存 taskId、logHash、createdAt和submitter，并通过LOGGER_ROLE控制日志哈希写入权限；Web前端用于展示系统总览、日志中心、审计结果和告警信息。</w:t>
      </w:r>
    </w:p>
    <w:p w14:paraId="00848524">
      <w:pPr>
        <w:spacing w:line="360" w:lineRule="auto"/>
        <w:ind w:firstLine="420"/>
        <w:jc w:val="both"/>
      </w:pPr>
      <w:r>
        <w:t>在审计机制方面，本文设计expectedHash、actualHash与onChainHas三方哈希比对规则。expectedHash来源于log_hash_records，actualHash来源于审计阶段对日志原文的重新计算，onChainHash来源于LogRegistry查询。三者一致时审计结果为passed，不一致时判定为failed，链上记录缺失或合约不可用时记录为pending。系统还针对Hardhat本地链重启和多次部署问题，引入log_hash_records.contract_address历史合约地址回溯和provider.getCode(address)合约代码存在性校验，增强了实验环境下审计结果的可解释性。在验证方面，系统完成合约测试、接口回归、Agent采集、前端构建、批量提交、批量审计和篡改检测实验，结果表明系统能够运行完整闭环，并能识别日志内容被修改的情况。</w:t>
      </w:r>
    </w:p>
    <w:p w14:paraId="07EBCCB3">
      <w:pPr>
        <w:pStyle w:val="3"/>
        <w:bidi w:val="0"/>
      </w:pPr>
      <w:bookmarkStart w:id="123" w:name="_Toc5952"/>
      <w:r>
        <w:t>系统创新点</w:t>
      </w:r>
      <w:bookmarkEnd w:id="123"/>
    </w:p>
    <w:p w14:paraId="4E066938">
      <w:pPr>
        <w:spacing w:line="360" w:lineRule="auto"/>
        <w:ind w:firstLine="420"/>
        <w:jc w:val="both"/>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jc w:val="both"/>
      </w:pPr>
      <w:r>
        <w:t>第二，系统设计expectedHash、actualHash和onChainHash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provider.getCode(address) 合约代码存在性校验，减少本地链重启和多次部署导致的误判，使实验过程中的链上读取依据更加清晰。</w:t>
      </w:r>
    </w:p>
    <w:p w14:paraId="762170EC">
      <w:pPr>
        <w:spacing w:line="360" w:lineRule="auto"/>
        <w:ind w:firstLine="420"/>
        <w:jc w:val="both"/>
      </w:pPr>
      <w:r>
        <w:t>第四，系统实现了采集、存证、审计、告警和展示闭环。Agent 将新增日志持续送入系统，Server完成链下保存和链上存证，审计模块执行三方比对，告警模块在failed时生成hash_mismatch记录，Web前端展示审计和告警结果。该创新属于面向毕业设计原型的工程整合，重点在于将可信存证、完整性校验和异常提示组织为可运行流程。</w:t>
      </w:r>
    </w:p>
    <w:p w14:paraId="2734E2C3">
      <w:pPr>
        <w:pStyle w:val="3"/>
        <w:bidi w:val="0"/>
      </w:pPr>
      <w:bookmarkStart w:id="124" w:name="_Toc19454"/>
      <w:r>
        <w:t>存在不足</w:t>
      </w:r>
      <w:bookmarkEnd w:id="124"/>
    </w:p>
    <w:p w14:paraId="31EC2E9B">
      <w:pPr>
        <w:spacing w:line="360" w:lineRule="auto"/>
        <w:ind w:firstLine="420"/>
        <w:jc w:val="both"/>
      </w:pPr>
      <w:r>
        <w:t>当前系统仍存在一定局限。首先，实验环境主要基于本地 Hardhat 链，尚未接入公开测试网或联盟链，因此链上共识环境、节点稳定性、交易确认延迟和实际部署成本仍未充分验证。其次，SQLite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jc w:val="both"/>
      </w:pPr>
      <w:r>
        <w:t>此外，批量审计流程以顺序处理为主，随着数据规模增加，审计耗时明显上升，后续仍需引入异步队列、批处理或并发审计优化。权限体系目前主要围绕LOGGER_ROLE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pStyle w:val="3"/>
        <w:bidi w:val="0"/>
      </w:pPr>
      <w:bookmarkStart w:id="125" w:name="_Toc4691"/>
      <w:r>
        <w:t>后续优化方向</w:t>
      </w:r>
      <w:bookmarkEnd w:id="125"/>
    </w:p>
    <w:p w14:paraId="484C84A2">
      <w:pPr>
        <w:spacing w:line="360" w:lineRule="auto"/>
        <w:ind w:firstLine="420"/>
        <w:jc w:val="both"/>
      </w:pPr>
      <w:r>
        <w:t>后续可从部署环境、性能和安全治理三个方面优化系统。首先，可将LogRegistry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jc w:val="both"/>
      </w:pPr>
      <w:r>
        <w:t>在性能方面，可设计异步审计队列、批量哈希计算和并发链上查询机制，降低大规模审计耗时。数据存储层也可从SQLite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pStyle w:val="3"/>
        <w:bidi w:val="0"/>
      </w:pPr>
      <w:bookmarkStart w:id="126" w:name="_Toc18899"/>
      <w:r>
        <w:t>本章小结</w:t>
      </w:r>
      <w:bookmarkEnd w:id="126"/>
    </w:p>
    <w:p w14:paraId="705AFD4E">
      <w:pPr>
        <w:spacing w:line="360" w:lineRule="auto"/>
        <w:ind w:firstLine="420"/>
        <w:jc w:val="both"/>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59C1CE33">
      <w:r>
        <w:br w:type="page"/>
      </w:r>
    </w:p>
    <w:p w14:paraId="30804BA1">
      <w:pPr>
        <w:pStyle w:val="2"/>
        <w:numPr>
          <w:ilvl w:val="0"/>
          <w:numId w:val="0"/>
        </w:numPr>
        <w:bidi w:val="0"/>
        <w:ind w:leftChars="0"/>
        <w:jc w:val="center"/>
      </w:pPr>
    </w:p>
    <w:p w14:paraId="50DC100A">
      <w:pPr>
        <w:pStyle w:val="2"/>
        <w:numPr>
          <w:ilvl w:val="0"/>
          <w:numId w:val="0"/>
        </w:numPr>
        <w:bidi w:val="0"/>
        <w:ind w:leftChars="0"/>
        <w:jc w:val="center"/>
      </w:pPr>
      <w:bookmarkStart w:id="127" w:name="_Toc6982"/>
      <w:r>
        <w:t>参考文献</w:t>
      </w:r>
      <w:bookmarkEnd w:id="127"/>
    </w:p>
    <w:p w14:paraId="6302971A"/>
    <w:p w14:paraId="03DEB0BE">
      <w:pPr>
        <w:numPr>
          <w:ilvl w:val="0"/>
          <w:numId w:val="3"/>
        </w:numPr>
        <w:ind w:left="425" w:leftChars="0" w:hanging="425" w:firstLineChars="0"/>
      </w:pPr>
      <w:bookmarkStart w:id="128" w:name="_Ref229"/>
      <w:r>
        <w:t>KENT K, SOUPPAYAM P. Guide to computer security log management[R]. Gaithersburg: National Institute of Standards and Technology, 2006. DOI: 10.6028/NIST.SP.800-92.</w:t>
      </w:r>
      <w:bookmarkEnd w:id="128"/>
    </w:p>
    <w:p w14:paraId="5E85DFA5">
      <w:pPr>
        <w:numPr>
          <w:ilvl w:val="0"/>
          <w:numId w:val="3"/>
        </w:numPr>
        <w:ind w:left="425" w:leftChars="0" w:hanging="425" w:firstLineChars="0"/>
      </w:pPr>
      <w:bookmarkStart w:id="129" w:name="_Ref304"/>
      <w:r>
        <w:t>韩菊茹, 纪兆轩, 李一鸣, 等. 基于区块链的可信日志存储与验证系统[J]. 计算机工程, 2019, 45(5): 13-17. DOI: 10.19678/j.issn.1000-3428.0053385.</w:t>
      </w:r>
      <w:bookmarkEnd w:id="129"/>
    </w:p>
    <w:p w14:paraId="545AF075">
      <w:pPr>
        <w:numPr>
          <w:ilvl w:val="0"/>
          <w:numId w:val="3"/>
        </w:numPr>
        <w:ind w:left="425" w:leftChars="0" w:hanging="425" w:firstLineChars="0"/>
      </w:pPr>
      <w:bookmarkStart w:id="130" w:name="_Ref373"/>
      <w:r>
        <w:t>袁勇, 王飞跃. 区块链技术发展现状与展望[J]. 自动化学报, 2016, 42(4): 481-494. DOI: 10.16383/j.aas.2016.c160158.</w:t>
      </w:r>
      <w:bookmarkEnd w:id="130"/>
    </w:p>
    <w:p w14:paraId="65EAAB7F">
      <w:pPr>
        <w:numPr>
          <w:ilvl w:val="0"/>
          <w:numId w:val="3"/>
        </w:numPr>
        <w:ind w:left="425" w:leftChars="0" w:hanging="425" w:firstLineChars="0"/>
      </w:pPr>
      <w:bookmarkStart w:id="131" w:name="_Ref428"/>
      <w:r>
        <w:t>钱卫宁, 邵奇峰, 朱燕超, 等. 区块链与可信数据管理:问题与方法[J]. 软件学报, 2018, 29(1): 150-159. DOI: 10.13328/j.cnki.jos.005434.</w:t>
      </w:r>
      <w:bookmarkEnd w:id="131"/>
    </w:p>
    <w:p w14:paraId="5E7721FF">
      <w:pPr>
        <w:numPr>
          <w:ilvl w:val="0"/>
          <w:numId w:val="3"/>
        </w:numPr>
        <w:ind w:left="425" w:leftChars="0" w:hanging="425" w:firstLineChars="0"/>
      </w:pPr>
      <w:bookmarkStart w:id="132" w:name="_Ref474"/>
      <w:r>
        <w:t>刘敖迪, 杜学绘, 王娜, 等. 区块链技术及其在信息安全领域的研究进展[J]. 软件学报, 2018, 29(7): 2092-2115. DOI: 10.13328/j.cnki.jos.005589.</w:t>
      </w:r>
      <w:bookmarkEnd w:id="132"/>
      <w:bookmarkStart w:id="150" w:name="_GoBack"/>
      <w:bookmarkEnd w:id="150"/>
    </w:p>
    <w:p w14:paraId="3E238E27">
      <w:pPr>
        <w:numPr>
          <w:ilvl w:val="0"/>
          <w:numId w:val="3"/>
        </w:numPr>
        <w:ind w:left="425" w:leftChars="0" w:hanging="425" w:firstLineChars="0"/>
      </w:pPr>
      <w:bookmarkStart w:id="133" w:name="_Ref536"/>
      <w:r>
        <w:t>范伟, 李海波, 张珠君. 区块链数字取证:技术及架构研究[J]. 通信学报, 2024, 45(12): 124-141. DOI: 10.11959/j.issn.1000-436x.2024204.</w:t>
      </w:r>
      <w:bookmarkEnd w:id="133"/>
    </w:p>
    <w:p w14:paraId="3514B800">
      <w:pPr>
        <w:numPr>
          <w:ilvl w:val="0"/>
          <w:numId w:val="3"/>
        </w:numPr>
        <w:ind w:left="425" w:leftChars="0" w:hanging="425" w:firstLineChars="0"/>
      </w:pPr>
      <w:bookmarkStart w:id="134" w:name="_Ref572"/>
      <w:r>
        <w:t>LEMIEUX V L. Trusting records: is Blockchain technology the answer?[J]. Records Management Journal, 2016, 26(2): 110-139. DOI: 10.1108/RMJ-12-2015-0042.</w:t>
      </w:r>
      <w:bookmarkEnd w:id="134"/>
    </w:p>
    <w:p w14:paraId="14E4E452">
      <w:pPr>
        <w:numPr>
          <w:ilvl w:val="0"/>
          <w:numId w:val="3"/>
        </w:numPr>
        <w:ind w:left="425" w:leftChars="0" w:hanging="425" w:firstLineChars="0"/>
      </w:pPr>
      <w:bookmarkStart w:id="135" w:name="_Ref615"/>
      <w:r>
        <w:t>YAGA D, MELL P, ROBY N, et al. Blockchain technology overview[R]. Gaithersburg: National Institute of Standards and Technology, 2018. DOI: 10.6028/NIST.IR.8202.</w:t>
      </w:r>
      <w:bookmarkEnd w:id="135"/>
    </w:p>
    <w:p w14:paraId="2A23CB65">
      <w:pPr>
        <w:numPr>
          <w:ilvl w:val="0"/>
          <w:numId w:val="3"/>
        </w:numPr>
        <w:ind w:left="425" w:leftChars="0" w:hanging="425" w:firstLineChars="0"/>
      </w:pPr>
      <w:bookmarkStart w:id="136" w:name="_Ref651"/>
      <w:r>
        <w:t>LIANG X, SHETTY S, TOSH D, et al. ProvChain: a blockchain-based data provenance architecture in cloud environment with enhanced privacy and availability[C]//2017 17th IEEE/ACM International Symposium on Cluster, Cloud and Grid Computing (CCGRID). Piscataway: IEEE, 2017: 468-477. DOI: 10.1109/CCGRID.2017.8.</w:t>
      </w:r>
      <w:bookmarkEnd w:id="136"/>
    </w:p>
    <w:p w14:paraId="262B1E27">
      <w:pPr>
        <w:numPr>
          <w:ilvl w:val="0"/>
          <w:numId w:val="3"/>
        </w:numPr>
        <w:ind w:left="425" w:leftChars="0" w:hanging="425" w:firstLineChars="0"/>
      </w:pPr>
      <w:bookmarkStart w:id="137" w:name="_Ref726"/>
      <w:r>
        <w:t>吕建富, 赖英旭, 刘静. 基于链上链下相结合的日志安全存储与检索[J]. 计算机科学, 2020, 47(3): 298-303. DOI: 10.11896/jsjkx.190200298.</w:t>
      </w:r>
      <w:bookmarkEnd w:id="137"/>
    </w:p>
    <w:p w14:paraId="2FF009B8">
      <w:pPr>
        <w:numPr>
          <w:ilvl w:val="0"/>
          <w:numId w:val="3"/>
        </w:numPr>
        <w:ind w:left="425" w:leftChars="0" w:hanging="425" w:firstLineChars="0"/>
      </w:pPr>
      <w:bookmarkStart w:id="138" w:name="_Ref788"/>
      <w:r>
        <w:t>SCHNEIER B, KELSEY J. Secure audit logs to support computer forensics[J]. ACM Transactions on Information and System Security, 1999, 2(2): 159-176. DOI: 10.1145/317087.317089.</w:t>
      </w:r>
      <w:bookmarkEnd w:id="138"/>
    </w:p>
    <w:p w14:paraId="7AE5888A">
      <w:pPr>
        <w:numPr>
          <w:ilvl w:val="0"/>
          <w:numId w:val="3"/>
        </w:numPr>
        <w:ind w:left="425" w:leftChars="0" w:hanging="425" w:firstLineChars="0"/>
      </w:pPr>
      <w:bookmarkStart w:id="139" w:name="_Ref833"/>
      <w:r>
        <w:t>MA D, TSUDIK G. A new approach to secure logging[J]. ACM Transactions on Storage, 2009, 5(1): 1-21. DOI: 10.1145/1502777.1502779.</w:t>
      </w:r>
      <w:bookmarkEnd w:id="139"/>
    </w:p>
    <w:p w14:paraId="0C36E3BA">
      <w:pPr>
        <w:numPr>
          <w:ilvl w:val="0"/>
          <w:numId w:val="3"/>
        </w:numPr>
        <w:ind w:left="425" w:leftChars="0" w:hanging="425" w:firstLineChars="0"/>
      </w:pPr>
      <w:bookmarkStart w:id="140" w:name="_Ref863"/>
      <w:r>
        <w:t>SHEKHTMAN L, WAISBARD E. EngraveChain: a blockchain-based tamper-proof distributed log system[J]. Future Internet, 2021, 13(6): 143. DOI: 10.3390/fi13060143.</w:t>
      </w:r>
      <w:bookmarkEnd w:id="140"/>
    </w:p>
    <w:p w14:paraId="0FCFBEDE">
      <w:pPr>
        <w:numPr>
          <w:ilvl w:val="0"/>
          <w:numId w:val="3"/>
        </w:numPr>
        <w:ind w:left="425" w:leftChars="0" w:hanging="425" w:firstLineChars="0"/>
      </w:pPr>
      <w:bookmarkStart w:id="141" w:name="_Ref895"/>
      <w:r>
        <w:t>HE S, HE P, CHEN Z, et al. A survey on automated log analysis for reliability engineering[J]. ACM Computing Surveys, 2022, 54(6): 1-37. DOI: 10.1145/3460345.</w:t>
      </w:r>
      <w:bookmarkEnd w:id="141"/>
    </w:p>
    <w:p w14:paraId="595DC8D4">
      <w:pPr>
        <w:numPr>
          <w:ilvl w:val="0"/>
          <w:numId w:val="3"/>
        </w:numPr>
        <w:ind w:left="425" w:leftChars="0" w:hanging="425" w:firstLineChars="0"/>
      </w:pPr>
      <w:bookmarkStart w:id="142" w:name="_Ref931"/>
      <w:r>
        <w:t>DU M, LI F, ZHENG G, et al. DeepLog: anomaly detection and diagnosis from system logs through deep learning[C]//Proceedings of the 2017 ACM SIGSAC Conference on Computer and Communications Security. New York: ACM, 2017: 1285-1298. DOI: 10.1145/3133956.3134015.</w:t>
      </w:r>
      <w:bookmarkEnd w:id="142"/>
    </w:p>
    <w:p w14:paraId="4C9C3604">
      <w:pPr>
        <w:numPr>
          <w:ilvl w:val="0"/>
          <w:numId w:val="3"/>
        </w:numPr>
        <w:ind w:left="425" w:leftChars="0" w:hanging="425" w:firstLineChars="0"/>
      </w:pPr>
      <w:bookmarkStart w:id="143" w:name="_Ref1007"/>
      <w:r>
        <w:t>贺海武, 延安, 陈泽华. 基于区块链的智能合约技术与应用综述[J]. 计算机研究与发展, 2018, 55(11): 2452-2466.</w:t>
      </w:r>
      <w:bookmarkEnd w:id="143"/>
    </w:p>
    <w:p w14:paraId="24E7B84E">
      <w:pPr>
        <w:numPr>
          <w:ilvl w:val="0"/>
          <w:numId w:val="3"/>
        </w:numPr>
        <w:ind w:left="425" w:leftChars="0" w:hanging="425" w:firstLineChars="0"/>
      </w:pPr>
      <w:bookmarkStart w:id="144" w:name="_Ref1042"/>
      <w:r>
        <w:t>CHRISTIDIS K, DEVETSIKIOTIS M. Blockchains and smart contracts for the Internet of Things[J]. IEEE Access, 2016, 4: 2292-2303. DOI: 10.1109/ACCESS.2016.2566339.</w:t>
      </w:r>
      <w:bookmarkEnd w:id="144"/>
    </w:p>
    <w:p w14:paraId="742F0AE0">
      <w:pPr>
        <w:numPr>
          <w:ilvl w:val="0"/>
          <w:numId w:val="3"/>
        </w:numPr>
        <w:ind w:left="425" w:leftChars="0" w:hanging="425" w:firstLineChars="0"/>
      </w:pPr>
      <w:bookmarkStart w:id="145" w:name="_Ref1091"/>
      <w:r>
        <w:t>ATZEI N, BARTOLETTI M, CIMOLI T. A survey of attacks on Ethereum smart contracts (SoK)[C]//Principles of Security and Trust. Berlin: Springer, 2017: 164-186. DOI: 10.1007/978-3-662-54455-6_8.</w:t>
      </w:r>
      <w:bookmarkEnd w:id="145"/>
    </w:p>
    <w:p w14:paraId="5D3FDA56">
      <w:pPr>
        <w:numPr>
          <w:ilvl w:val="0"/>
          <w:numId w:val="3"/>
        </w:numPr>
        <w:ind w:left="425" w:leftChars="0" w:hanging="425" w:firstLineChars="0"/>
      </w:pPr>
      <w:bookmarkStart w:id="146" w:name="_Ref1265732230"/>
      <w:r>
        <w:t>SANDHU RS, COYNE EJ, FEINSTEIN HL, et al. Role-based access control models[J]. Computer, 1996, 29(2): 38-47. DOI: 10.1109/2.485845.</w:t>
      </w:r>
      <w:bookmarkEnd w:id="146"/>
    </w:p>
    <w:p w14:paraId="65F7CAF2">
      <w:pPr>
        <w:numPr>
          <w:ilvl w:val="0"/>
          <w:numId w:val="3"/>
        </w:numPr>
        <w:ind w:left="425" w:leftChars="0" w:hanging="425" w:firstLineChars="0"/>
      </w:pPr>
      <w:bookmarkStart w:id="147" w:name="_Ref1294"/>
      <w:r>
        <w:t>OpenZeppelin. Access Control: OpenZeppelin Contracts 5.x[EB/OL]. [2026-05-06]. https://docs.openzeppelin.com/contracts/5.x/access-control.</w:t>
      </w:r>
      <w:bookmarkEnd w:id="147"/>
    </w:p>
    <w:p w14:paraId="4132EFE1">
      <w:pPr>
        <w:numPr>
          <w:ilvl w:val="0"/>
          <w:numId w:val="3"/>
        </w:numPr>
        <w:ind w:left="425" w:leftChars="0" w:hanging="425" w:firstLineChars="0"/>
      </w:pPr>
      <w:bookmarkStart w:id="148" w:name="_Ref1438"/>
      <w:r>
        <w:t>National Institute of Standards and Technology. FIPS PUB 180-4 Secure hash standard[S]. Gaithersburg: National Institute of Standards and Technology, 2015. DOI: 10.6028/NIST.FIPS.180-4.</w:t>
      </w:r>
      <w:bookmarkEnd w:id="148"/>
    </w:p>
    <w:p w14:paraId="3B7F7422">
      <w:pPr>
        <w:numPr>
          <w:ilvl w:val="0"/>
          <w:numId w:val="3"/>
        </w:numPr>
        <w:ind w:left="425" w:leftChars="0" w:hanging="425" w:firstLineChars="0"/>
      </w:pPr>
      <w:bookmarkStart w:id="149" w:name="_Ref1473"/>
      <w:r>
        <w:t>MERKLE R C. A digital signature based on a conventional encryption function[C]//Advances in Cryptology — CRYPTO '87. Berlin: Springer, 1988: 369-378. DOI: 10.1007/3-540-48184-2_32.</w:t>
      </w:r>
      <w:bookmarkEnd w:id="149"/>
    </w:p>
    <w:p w14:paraId="46C4B68D">
      <w:r>
        <w:br w:type="page"/>
      </w:r>
    </w:p>
    <w:p w14:paraId="01B6A342"/>
    <w:p w14:paraId="2556290C">
      <w:pPr>
        <w:spacing w:line="360" w:lineRule="auto"/>
        <w:jc w:val="center"/>
      </w:pPr>
      <w:r>
        <w:rPr>
          <w:rFonts w:ascii="宋体" w:hAnsi="宋体" w:eastAsia="宋体"/>
          <w:b/>
          <w:sz w:val="32"/>
        </w:rPr>
        <w:t>致谢</w:t>
      </w:r>
    </w:p>
    <w:p w14:paraId="5F242CCD">
      <w:pPr>
        <w:spacing w:line="360" w:lineRule="auto"/>
        <w:ind w:firstLine="420"/>
        <w:rPr>
          <w:lang w:val="en-US" w:eastAsia="zh-CN"/>
        </w:rPr>
      </w:pPr>
    </w:p>
    <w:p w14:paraId="4E69D5B8">
      <w:pPr>
        <w:spacing w:line="360" w:lineRule="auto"/>
        <w:ind w:firstLine="420"/>
      </w:pPr>
      <w:r>
        <w:rPr>
          <w:lang w:val="en-US" w:eastAsia="zh-CN"/>
        </w:rPr>
        <w:t>行文至此，落笔为终。站在二十一岁的路口回望，这四年时光如同一场盛大的预演，有迷茫，有顿悟，更有无数个平凡却闪光的日子。青春本就是一场单程的远行，当列车驶过喧嚣，那些曾经以为过不去的坎，终将成为岁月里温润的注脚。在这段旅程告一段落之际，我想把心底的感激说与你们听。</w:t>
      </w:r>
    </w:p>
    <w:p w14:paraId="33141B8C">
      <w:pPr>
        <w:spacing w:line="360" w:lineRule="auto"/>
        <w:ind w:firstLine="420"/>
      </w:pPr>
      <w:r>
        <w:rPr>
          <w:lang w:val="en-US" w:eastAsia="zh-CN"/>
        </w:rPr>
        <w:t>首先，由衷感谢我的指导老师卢婷。初涉毕设领域时，我曾因陌生与未知而手足无措，是您用严谨的治学态度和耐心的答疑解惑，为我拨开迷雾。从选题的斟酌到框架的搭建，再到细节的推敲，每一步都离不开您的悉心指引。正是因为有了您的托举，我才能顺利完成这项工作。愿您在未来岁月里顺遂安康，育人之路桃李满园。</w:t>
      </w:r>
    </w:p>
    <w:p w14:paraId="13BFB6F6">
      <w:pPr>
        <w:spacing w:line="360" w:lineRule="auto"/>
        <w:ind w:firstLine="420"/>
      </w:pPr>
      <w:r>
        <w:rPr>
          <w:lang w:val="en-US" w:eastAsia="zh-CN"/>
        </w:rPr>
        <w:t>感谢我亲爱的朋友们，何其有幸，能与你们共度这段滚烫的青春。我们曾一起在深夜畅谈理想，也曾在琐碎中互相打气；我们分享彼此的喜悦，也包容对方的脆弱。在你们面前，我不必伪装，可以肆意做那个真实甚至有点任性的自己。愿我们在各自奔赴的远方里，依然心有牵挂，情谊长存。</w:t>
      </w:r>
    </w:p>
    <w:p w14:paraId="05B477A8">
      <w:pPr>
        <w:spacing w:line="360" w:lineRule="auto"/>
        <w:ind w:firstLine="420"/>
      </w:pPr>
      <w:r>
        <w:rPr>
          <w:lang w:val="en-US" w:eastAsia="zh-CN"/>
        </w:rPr>
        <w:t>感谢我的父母，这四年求学路，你们是我最坚实的后盾。你们的默默付出，是我前行路上最温暖的底气。千言万语汇成一句：谢谢你们，我爱你们。</w:t>
      </w:r>
    </w:p>
    <w:p w14:paraId="45E59256">
      <w:pPr>
        <w:spacing w:line="360" w:lineRule="auto"/>
        <w:ind w:firstLine="420"/>
      </w:pPr>
      <w:r>
        <w:rPr>
          <w:lang w:val="en-US" w:eastAsia="zh-CN"/>
        </w:rPr>
        <w:t>最后，想对那个不曾放弃的自己说声谢谢。谢谢你在无数个想要退缩的瞬间选择了坚持，谢谢你在迷茫中依然努力寻找方向。愿未来的你，既能坦然接纳自己的不完美，也能勇敢拥抱生活的每一种可能。平凡亦是伟大，快乐即是丰盛。</w:t>
      </w:r>
    </w:p>
    <w:p w14:paraId="2E474BFB">
      <w:pPr>
        <w:spacing w:line="360" w:lineRule="auto"/>
        <w:ind w:firstLine="420"/>
      </w:pPr>
      <w:r>
        <w:rPr>
          <w:lang w:val="en-US" w:eastAsia="zh-CN"/>
        </w:rPr>
        <w:t>感恩所有相遇，愿我们都能在下一段旅程中，遇见更好的自己。</w:t>
      </w:r>
    </w:p>
    <w:p w14:paraId="7DC02480">
      <w:pPr>
        <w:spacing w:line="360" w:lineRule="auto"/>
        <w:ind w:firstLine="420"/>
      </w:pPr>
    </w:p>
    <w:p w14:paraId="68A8C062">
      <w:pPr>
        <w:rPr>
          <w:rFonts w:hint="eastAsia" w:ascii="黑体" w:hAnsi="宋体" w:eastAsia="黑体"/>
          <w:sz w:val="32"/>
          <w:szCs w:val="32"/>
          <w:lang w:eastAsia="zh-CN"/>
        </w:rPr>
      </w:pPr>
    </w:p>
    <w:p w14:paraId="1C4524C5">
      <w:pPr>
        <w:ind w:firstLine="420" w:firstLineChars="0"/>
        <w:rPr>
          <w:rFonts w:hint="default"/>
          <w:lang w:val="en-US" w:eastAsia="zh-CN"/>
        </w:rPr>
      </w:pPr>
    </w:p>
    <w:sectPr>
      <w:headerReference r:id="rId7" w:type="default"/>
      <w:footerReference r:id="rId8"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2020603050405020304"/>
    <w:charset w:val="00"/>
    <w:family w:val="auto"/>
    <w:pitch w:val="default"/>
    <w:sig w:usb0="00000000" w:usb1="00000000" w:usb2="00000009" w:usb3="00000000" w:csb0="400001FF" w:csb1="FFFF0000"/>
  </w:font>
  <w:font w:name="Times New Roman Bold">
    <w:panose1 w:val="02020603050405020304"/>
    <w:charset w:val="00"/>
    <w:family w:val="auto"/>
    <w:pitch w:val="default"/>
    <w:sig w:usb0="00000000" w:usb1="00000000" w:usb2="00000009" w:usb3="00000000" w:csb0="400001FF" w:csb1="FFFF0000"/>
  </w:font>
  <w:font w:name="仿宋_GB2312">
    <w:altName w:val="仿宋"/>
    <w:panose1 w:val="00020600040101010101"/>
    <w:charset w:val="86"/>
    <w:family w:val="modern"/>
    <w:pitch w:val="default"/>
    <w:sig w:usb0="00000000" w:usb1="00000000" w:usb2="00000016"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0BD49">
    <w:pPr>
      <w:framePr w:wrap="around" w:vAnchor="text" w:hAnchor="margin" w:xAlign="center" w:y="1"/>
      <w:widowControl w:val="0"/>
      <w:tabs>
        <w:tab w:val="center" w:pos="4153"/>
        <w:tab w:val="right" w:pos="8306"/>
      </w:tabs>
      <w:autoSpaceDE w:val="0"/>
      <w:autoSpaceDN w:val="0"/>
      <w:adjustRightInd w:val="0"/>
      <w:snapToGrid w:val="0"/>
      <w:spacing w:line="360" w:lineRule="auto"/>
      <w:rPr>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18"/>
        <w:szCs w:val="18"/>
        <w:lang w:val="en-US" w:eastAsia="zh-CN" w:bidi="ar-SA"/>
      </w:rPr>
      <w:fldChar w:fldCharType="begin"/>
    </w:r>
    <w:r>
      <w:rPr>
        <w:rFonts w:ascii="Times New Roman" w:hAnsi="Times New Roman" w:eastAsia="宋体" w:cs="Times New Roman"/>
        <w:kern w:val="2"/>
        <w:sz w:val="24"/>
        <w:szCs w:val="24"/>
        <w:lang w:val="en-US" w:eastAsia="zh-CN" w:bidi="ar-SA"/>
      </w:rPr>
      <w:instrText xml:space="preserve">PAGE  </w:instrText>
    </w:r>
    <w:r>
      <w:rPr>
        <w:rFonts w:ascii="Times New Roman" w:hAnsi="Times New Roman" w:eastAsia="宋体" w:cs="Times New Roman"/>
        <w:kern w:val="2"/>
        <w:sz w:val="18"/>
        <w:szCs w:val="18"/>
        <w:lang w:val="en-US" w:eastAsia="zh-CN" w:bidi="ar-SA"/>
      </w:rPr>
      <w:fldChar w:fldCharType="separate"/>
    </w:r>
    <w:r>
      <w:rPr>
        <w:rFonts w:ascii="Times New Roman" w:hAnsi="Times New Roman" w:eastAsia="宋体" w:cs="Times New Roman"/>
        <w:kern w:val="2"/>
        <w:sz w:val="24"/>
        <w:szCs w:val="24"/>
        <w:lang w:val="en-US" w:eastAsia="zh-CN" w:bidi="ar-SA"/>
      </w:rPr>
      <w:t>6</w:t>
    </w:r>
    <w:r>
      <w:rPr>
        <w:rFonts w:ascii="Times New Roman" w:hAnsi="Times New Roman" w:eastAsia="宋体" w:cs="Times New Roman"/>
        <w:kern w:val="2"/>
        <w:sz w:val="18"/>
        <w:szCs w:val="18"/>
        <w:lang w:val="en-US" w:eastAsia="zh-CN" w:bidi="ar-SA"/>
      </w:rPr>
      <w:fldChar w:fldCharType="end"/>
    </w:r>
  </w:p>
  <w:p w14:paraId="62355CD5">
    <w:pPr>
      <w:widowControl w:val="0"/>
      <w:tabs>
        <w:tab w:val="center" w:pos="4153"/>
        <w:tab w:val="right" w:pos="8306"/>
      </w:tabs>
      <w:autoSpaceDE w:val="0"/>
      <w:autoSpaceDN w:val="0"/>
      <w:adjustRightInd w:val="0"/>
      <w:snapToGrid w:val="0"/>
      <w:spacing w:line="360" w:lineRule="auto"/>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2888A">
    <w:pPr>
      <w:pStyle w:val="9"/>
      <w:framePr w:wrap="around" w:vAnchor="text" w:hAnchor="margin" w:xAlign="center" w:y="1"/>
      <w:rPr>
        <w:rStyle w:val="18"/>
      </w:rPr>
    </w:pPr>
    <w:r>
      <w:fldChar w:fldCharType="begin"/>
    </w:r>
    <w:r>
      <w:rPr>
        <w:rStyle w:val="18"/>
      </w:rPr>
      <w:instrText xml:space="preserve">PAGE  </w:instrText>
    </w:r>
    <w:r>
      <w:fldChar w:fldCharType="separate"/>
    </w:r>
    <w:r>
      <w:rPr>
        <w:rStyle w:val="18"/>
      </w:rPr>
      <w:t>6</w:t>
    </w:r>
    <w:r>
      <w:fldChar w:fldCharType="end"/>
    </w:r>
  </w:p>
  <w:p w14:paraId="3B5CC843">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B3064">
    <w:pPr>
      <w:widowControl w:val="0"/>
      <w:pBdr>
        <w:bottom w:val="single" w:color="auto" w:sz="6" w:space="1"/>
      </w:pBdr>
      <w:tabs>
        <w:tab w:val="center" w:pos="4153"/>
        <w:tab w:val="right" w:pos="8306"/>
      </w:tabs>
      <w:autoSpaceDE w:val="0"/>
      <w:autoSpaceDN w:val="0"/>
      <w:adjustRightInd w:val="0"/>
      <w:snapToGrid w:val="0"/>
      <w:spacing w:line="360" w:lineRule="auto"/>
      <w:jc w:val="both"/>
      <w:rPr>
        <w:rFonts w:hint="default"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drawing>
        <wp:inline distT="0" distB="0" distL="114300" distR="114300">
          <wp:extent cx="981710" cy="299720"/>
          <wp:effectExtent l="0" t="0" r="8890" b="5080"/>
          <wp:docPr id="3" name="图片 8" descr="6c4b7ca16cdd8b377f4bc5c66372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6c4b7ca16cdd8b377f4bc5c66372f1d"/>
                  <pic:cNvPicPr>
                    <a:picLocks noChangeAspect="1"/>
                  </pic:cNvPicPr>
                </pic:nvPicPr>
                <pic:blipFill>
                  <a:blip r:embed="rId1"/>
                  <a:stretch>
                    <a:fillRect/>
                  </a:stretch>
                </pic:blipFill>
                <pic:spPr>
                  <a:xfrm>
                    <a:off x="0" y="0"/>
                    <a:ext cx="981710" cy="299720"/>
                  </a:xfrm>
                  <a:prstGeom prst="rect">
                    <a:avLst/>
                  </a:prstGeom>
                  <a:noFill/>
                  <a:ln>
                    <a:noFill/>
                  </a:ln>
                </pic:spPr>
              </pic:pic>
            </a:graphicData>
          </a:graphic>
        </wp:inline>
      </w:drawing>
    </w:r>
    <w:r>
      <w:rPr>
        <w:rFonts w:hint="eastAsia" w:ascii="Times New Roman" w:hAnsi="Times New Roman" w:eastAsia="宋体" w:cs="Times New Roman"/>
        <w:kern w:val="2"/>
        <w:sz w:val="18"/>
        <w:szCs w:val="18"/>
        <w:lang w:val="en-US" w:eastAsia="zh-CN" w:bidi="ar-SA"/>
      </w:rPr>
      <w:t xml:space="preserve">                                </w:t>
    </w:r>
    <w:r>
      <w:rPr>
        <w:rFonts w:hint="eastAsia" w:cs="Times New Roman"/>
        <w:kern w:val="2"/>
        <w:sz w:val="18"/>
        <w:szCs w:val="18"/>
        <w:lang w:val="en-US" w:eastAsia="zh-CN" w:bidi="ar-SA"/>
      </w:rPr>
      <w:t xml:space="preserve">    基于区块链的可信任务日志</w:t>
    </w:r>
    <w:r>
      <w:rPr>
        <w:rFonts w:hint="eastAsia" w:cs="Times New Roman"/>
        <w:kern w:val="2"/>
        <w:sz w:val="18"/>
        <w:szCs w:val="18"/>
        <w:u w:val="none"/>
        <w:lang w:val="en-US" w:eastAsia="zh-CN" w:bidi="ar-SA"/>
      </w:rPr>
      <w:t>审计</w:t>
    </w:r>
    <w:r>
      <w:rPr>
        <w:rFonts w:hint="eastAsia" w:cs="Times New Roman"/>
        <w:kern w:val="2"/>
        <w:sz w:val="18"/>
        <w:szCs w:val="18"/>
        <w:lang w:val="en-US" w:eastAsia="zh-CN" w:bidi="ar-SA"/>
      </w:rPr>
      <w:t>系统与实现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C7327">
    <w:pPr>
      <w:pStyle w:val="10"/>
      <w:jc w:val="both"/>
    </w:pPr>
    <w:r>
      <w:rPr>
        <w:rFonts w:hint="eastAsia"/>
      </w:rPr>
      <w:drawing>
        <wp:inline distT="0" distB="0" distL="114300" distR="114300">
          <wp:extent cx="981710" cy="299720"/>
          <wp:effectExtent l="0" t="0" r="8890" b="5080"/>
          <wp:docPr id="44" name="图片 8" descr="6c4b7ca16cdd8b377f4bc5c66372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descr="6c4b7ca16cdd8b377f4bc5c66372f1d"/>
                  <pic:cNvPicPr>
                    <a:picLocks noChangeAspect="1"/>
                  </pic:cNvPicPr>
                </pic:nvPicPr>
                <pic:blipFill>
                  <a:blip r:embed="rId1"/>
                  <a:stretch>
                    <a:fillRect/>
                  </a:stretch>
                </pic:blipFill>
                <pic:spPr>
                  <a:xfrm>
                    <a:off x="0" y="0"/>
                    <a:ext cx="981710" cy="299720"/>
                  </a:xfrm>
                  <a:prstGeom prst="rect">
                    <a:avLst/>
                  </a:prstGeom>
                  <a:noFill/>
                  <a:ln>
                    <a:noFill/>
                  </a:ln>
                </pic:spPr>
              </pic:pic>
            </a:graphicData>
          </a:graphic>
        </wp:inline>
      </w:drawing>
    </w:r>
    <w:r>
      <w:rPr>
        <w:rFonts w:hint="eastAsia"/>
      </w:rPr>
      <w:t xml:space="preserve">                                </w:t>
    </w:r>
    <w:r>
      <w:rPr>
        <w:rFonts w:hint="eastAsia"/>
        <w:lang w:val="en-US" w:eastAsia="zh-CN"/>
      </w:rPr>
      <w:t xml:space="preserve">    </w:t>
    </w:r>
    <w:r>
      <w:rPr>
        <w:rFonts w:hint="eastAsia" w:cs="Times New Roman"/>
        <w:kern w:val="2"/>
        <w:sz w:val="18"/>
        <w:szCs w:val="18"/>
        <w:lang w:val="en-US" w:eastAsia="zh-CN" w:bidi="ar-SA"/>
      </w:rPr>
      <w:t>基于区块链的可信任务日志</w:t>
    </w:r>
    <w:r>
      <w:rPr>
        <w:rFonts w:hint="eastAsia" w:cs="Times New Roman"/>
        <w:kern w:val="2"/>
        <w:sz w:val="18"/>
        <w:szCs w:val="18"/>
        <w:u w:val="none"/>
        <w:lang w:val="en-US" w:eastAsia="zh-CN" w:bidi="ar-SA"/>
      </w:rPr>
      <w:t>审计</w:t>
    </w:r>
    <w:r>
      <w:rPr>
        <w:rFonts w:hint="eastAsia" w:cs="Times New Roman"/>
        <w:kern w:val="2"/>
        <w:sz w:val="18"/>
        <w:szCs w:val="18"/>
        <w:lang w:val="en-US" w:eastAsia="zh-CN" w:bidi="ar-SA"/>
      </w:rPr>
      <w:t>系统与实现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F3BB1C"/>
    <w:multiLevelType w:val="singleLevel"/>
    <w:tmpl w:val="A2F3BB1C"/>
    <w:lvl w:ilvl="0" w:tentative="0">
      <w:start w:val="1"/>
      <w:numFmt w:val="decimal"/>
      <w:lvlText w:val="[%1]"/>
      <w:lvlJc w:val="left"/>
      <w:pPr>
        <w:tabs>
          <w:tab w:val="left" w:pos="420"/>
        </w:tabs>
        <w:ind w:left="425" w:leftChars="0" w:hanging="425" w:firstLineChars="0"/>
      </w:pPr>
      <w:rPr>
        <w:rFonts w:hint="default"/>
      </w:rPr>
    </w:lvl>
  </w:abstractNum>
  <w:abstractNum w:abstractNumId="1">
    <w:nsid w:val="E9CCAFFB"/>
    <w:multiLevelType w:val="multilevel"/>
    <w:tmpl w:val="E9CCAFFB"/>
    <w:lvl w:ilvl="0" w:tentative="0">
      <w:start w:val="1"/>
      <w:numFmt w:val="decimal"/>
      <w:pStyle w:val="2"/>
      <w:lvlText w:val="%1 "/>
      <w:lvlJc w:val="left"/>
      <w:pPr>
        <w:ind w:left="432" w:hanging="432"/>
      </w:pPr>
      <w:rPr>
        <w:rFonts w:hint="default"/>
      </w:rPr>
    </w:lvl>
    <w:lvl w:ilvl="1" w:tentative="0">
      <w:start w:val="1"/>
      <w:numFmt w:val="decimal"/>
      <w:pStyle w:val="3"/>
      <w:lvlText w:val="%1.%2 "/>
      <w:lvlJc w:val="left"/>
      <w:pPr>
        <w:ind w:left="2276" w:hanging="575"/>
      </w:pPr>
      <w:rPr>
        <w:rFonts w:hint="default"/>
      </w:rPr>
    </w:lvl>
    <w:lvl w:ilvl="2" w:tentative="0">
      <w:start w:val="1"/>
      <w:numFmt w:val="decimal"/>
      <w:pStyle w:val="4"/>
      <w:lvlText w:val="%1.%2.%3 "/>
      <w:lvlJc w:val="left"/>
      <w:pPr>
        <w:ind w:left="720" w:hanging="720"/>
      </w:pPr>
      <w:rPr>
        <w:rFonts w:hint="default"/>
      </w:rPr>
    </w:lvl>
    <w:lvl w:ilvl="3" w:tentative="0">
      <w:start w:val="1"/>
      <w:numFmt w:val="decimal"/>
      <w:lvlText w:val="%1.%2.%3.%4 "/>
      <w:lvlJc w:val="left"/>
      <w:pPr>
        <w:ind w:left="864" w:hanging="864"/>
      </w:pPr>
      <w:rPr>
        <w:rFonts w:hint="default"/>
      </w:rPr>
    </w:lvl>
    <w:lvl w:ilvl="4" w:tentative="0">
      <w:start w:val="1"/>
      <w:numFmt w:val="decimal"/>
      <w:lvlText w:val="%1.%2.%3.%4.%5 "/>
      <w:lvlJc w:val="left"/>
      <w:pPr>
        <w:ind w:left="1008" w:hanging="1008"/>
      </w:pPr>
      <w:rPr>
        <w:rFonts w:hint="default"/>
      </w:rPr>
    </w:lvl>
    <w:lvl w:ilvl="5" w:tentative="0">
      <w:start w:val="1"/>
      <w:numFmt w:val="decimal"/>
      <w:lvlText w:val="%1.%2.%3.%4.%5.%6 "/>
      <w:lvlJc w:val="left"/>
      <w:pPr>
        <w:ind w:left="1151" w:hanging="1151"/>
      </w:pPr>
      <w:rPr>
        <w:rFonts w:hint="default"/>
      </w:rPr>
    </w:lvl>
    <w:lvl w:ilvl="6" w:tentative="0">
      <w:start w:val="1"/>
      <w:numFmt w:val="decimal"/>
      <w:lvlText w:val="%1.%2.%3.%4.%5.%6.%7 "/>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4E1F7C21"/>
    <w:multiLevelType w:val="singleLevel"/>
    <w:tmpl w:val="4E1F7C21"/>
    <w:lvl w:ilvl="0" w:tentative="0">
      <w:start w:val="1"/>
      <w:numFmt w:val="chineseCounting"/>
      <w:suff w:val="nothing"/>
      <w:lvlText w:val="第%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9FA6BC"/>
    <w:rsid w:val="035B5F85"/>
    <w:rsid w:val="03D928A7"/>
    <w:rsid w:val="04A066E3"/>
    <w:rsid w:val="05412CA3"/>
    <w:rsid w:val="05B11678"/>
    <w:rsid w:val="08850B9A"/>
    <w:rsid w:val="092B34F0"/>
    <w:rsid w:val="0D5A25F6"/>
    <w:rsid w:val="0D6B42BD"/>
    <w:rsid w:val="0DBF06AB"/>
    <w:rsid w:val="0DC80C78"/>
    <w:rsid w:val="0F771EBD"/>
    <w:rsid w:val="0FDE4E3F"/>
    <w:rsid w:val="0FEF64E9"/>
    <w:rsid w:val="10817E99"/>
    <w:rsid w:val="10927A7C"/>
    <w:rsid w:val="11D73AB0"/>
    <w:rsid w:val="12DC3DDE"/>
    <w:rsid w:val="13CC1D73"/>
    <w:rsid w:val="14F54CB6"/>
    <w:rsid w:val="15186FA7"/>
    <w:rsid w:val="15853F88"/>
    <w:rsid w:val="16D8502D"/>
    <w:rsid w:val="17B40B54"/>
    <w:rsid w:val="1A6C6713"/>
    <w:rsid w:val="1AEF6A73"/>
    <w:rsid w:val="1B532247"/>
    <w:rsid w:val="1CA83733"/>
    <w:rsid w:val="1CE608F8"/>
    <w:rsid w:val="1D264499"/>
    <w:rsid w:val="1F7F2546"/>
    <w:rsid w:val="204D7D98"/>
    <w:rsid w:val="20B931F7"/>
    <w:rsid w:val="21DF2C72"/>
    <w:rsid w:val="22A55C69"/>
    <w:rsid w:val="22C95DFC"/>
    <w:rsid w:val="234B00F9"/>
    <w:rsid w:val="24945F95"/>
    <w:rsid w:val="258724D7"/>
    <w:rsid w:val="25A93643"/>
    <w:rsid w:val="272E0923"/>
    <w:rsid w:val="288D3427"/>
    <w:rsid w:val="28E21F0E"/>
    <w:rsid w:val="29C56BF1"/>
    <w:rsid w:val="29D308D1"/>
    <w:rsid w:val="29EC23D0"/>
    <w:rsid w:val="2BEB4644"/>
    <w:rsid w:val="2C4E2B62"/>
    <w:rsid w:val="2C5E7A86"/>
    <w:rsid w:val="2CAD7CF6"/>
    <w:rsid w:val="2DBE5E1D"/>
    <w:rsid w:val="2EE7655D"/>
    <w:rsid w:val="2F4D1B62"/>
    <w:rsid w:val="30A262C5"/>
    <w:rsid w:val="30B21F41"/>
    <w:rsid w:val="341220B6"/>
    <w:rsid w:val="34D760DF"/>
    <w:rsid w:val="365D6B2F"/>
    <w:rsid w:val="37F618D7"/>
    <w:rsid w:val="3A7C843E"/>
    <w:rsid w:val="3AA12D62"/>
    <w:rsid w:val="3B1F2605"/>
    <w:rsid w:val="3BDC4AFB"/>
    <w:rsid w:val="3C071D10"/>
    <w:rsid w:val="3C619018"/>
    <w:rsid w:val="3E5F02E5"/>
    <w:rsid w:val="3EBF1A09"/>
    <w:rsid w:val="3EEF5216"/>
    <w:rsid w:val="3F6735B5"/>
    <w:rsid w:val="3F6EE08C"/>
    <w:rsid w:val="3FE7A3F1"/>
    <w:rsid w:val="4003422C"/>
    <w:rsid w:val="405F5252"/>
    <w:rsid w:val="417B6C28"/>
    <w:rsid w:val="41D1217F"/>
    <w:rsid w:val="436A203C"/>
    <w:rsid w:val="438D3CFB"/>
    <w:rsid w:val="44F92119"/>
    <w:rsid w:val="457BBE7E"/>
    <w:rsid w:val="46C329DE"/>
    <w:rsid w:val="46F74BFA"/>
    <w:rsid w:val="46FF481C"/>
    <w:rsid w:val="47EE0969"/>
    <w:rsid w:val="4923592A"/>
    <w:rsid w:val="4A514E5A"/>
    <w:rsid w:val="4B7FAF23"/>
    <w:rsid w:val="4B9E3F62"/>
    <w:rsid w:val="4FFF7301"/>
    <w:rsid w:val="50C64592"/>
    <w:rsid w:val="5176064D"/>
    <w:rsid w:val="52F95677"/>
    <w:rsid w:val="53C8336B"/>
    <w:rsid w:val="54F04B13"/>
    <w:rsid w:val="54FDAC23"/>
    <w:rsid w:val="56FF2E93"/>
    <w:rsid w:val="579F1408"/>
    <w:rsid w:val="58254B7B"/>
    <w:rsid w:val="583765F2"/>
    <w:rsid w:val="58F77D6B"/>
    <w:rsid w:val="5929385D"/>
    <w:rsid w:val="59DFD446"/>
    <w:rsid w:val="5AF905A1"/>
    <w:rsid w:val="5AFB4C4D"/>
    <w:rsid w:val="5B8030BD"/>
    <w:rsid w:val="5C8F8BAA"/>
    <w:rsid w:val="5ED15115"/>
    <w:rsid w:val="5F63118D"/>
    <w:rsid w:val="5F735476"/>
    <w:rsid w:val="5FD7D7BF"/>
    <w:rsid w:val="5FEF5378"/>
    <w:rsid w:val="5FF98D8A"/>
    <w:rsid w:val="5FFF2634"/>
    <w:rsid w:val="60D01AB1"/>
    <w:rsid w:val="60D65C61"/>
    <w:rsid w:val="622D7B03"/>
    <w:rsid w:val="645964D4"/>
    <w:rsid w:val="67FF9976"/>
    <w:rsid w:val="689C2C37"/>
    <w:rsid w:val="6A1D66AF"/>
    <w:rsid w:val="6B064398"/>
    <w:rsid w:val="6DA025AD"/>
    <w:rsid w:val="6DF99A8A"/>
    <w:rsid w:val="6DFBC12C"/>
    <w:rsid w:val="6ED7C89A"/>
    <w:rsid w:val="6F2F65B3"/>
    <w:rsid w:val="6F6F4FF1"/>
    <w:rsid w:val="6F7EA224"/>
    <w:rsid w:val="6FFFD69B"/>
    <w:rsid w:val="710E3FA6"/>
    <w:rsid w:val="71C254BD"/>
    <w:rsid w:val="72DB610A"/>
    <w:rsid w:val="73E7099C"/>
    <w:rsid w:val="73FD27C3"/>
    <w:rsid w:val="73FDB25D"/>
    <w:rsid w:val="75EB73D7"/>
    <w:rsid w:val="764F3097"/>
    <w:rsid w:val="76774768"/>
    <w:rsid w:val="76CE1CFB"/>
    <w:rsid w:val="76E79A51"/>
    <w:rsid w:val="777F48EA"/>
    <w:rsid w:val="77FEC2A3"/>
    <w:rsid w:val="796DD3AA"/>
    <w:rsid w:val="79B41B18"/>
    <w:rsid w:val="7A014890"/>
    <w:rsid w:val="7A6CF99E"/>
    <w:rsid w:val="7B5A93AC"/>
    <w:rsid w:val="7BB715B6"/>
    <w:rsid w:val="7C1508DF"/>
    <w:rsid w:val="7D77D8D0"/>
    <w:rsid w:val="7D7D6D4B"/>
    <w:rsid w:val="7DFF01F7"/>
    <w:rsid w:val="7E4D57E8"/>
    <w:rsid w:val="7E4FE3A7"/>
    <w:rsid w:val="7E5640BD"/>
    <w:rsid w:val="7F6F5FD4"/>
    <w:rsid w:val="7FCF0E5F"/>
    <w:rsid w:val="7FEB3C08"/>
    <w:rsid w:val="7FEB7AC4"/>
    <w:rsid w:val="7FEE4A07"/>
    <w:rsid w:val="87F793AA"/>
    <w:rsid w:val="A63BB060"/>
    <w:rsid w:val="A6CBFB17"/>
    <w:rsid w:val="A6ED9FD2"/>
    <w:rsid w:val="A79DDC3B"/>
    <w:rsid w:val="A7BF2C69"/>
    <w:rsid w:val="A7EF896E"/>
    <w:rsid w:val="AB779EA2"/>
    <w:rsid w:val="AC3B4239"/>
    <w:rsid w:val="AEE2ADD5"/>
    <w:rsid w:val="AFFD31FC"/>
    <w:rsid w:val="B31F0511"/>
    <w:rsid w:val="B608F532"/>
    <w:rsid w:val="BB6FAAB6"/>
    <w:rsid w:val="BBFB98CD"/>
    <w:rsid w:val="BE5EF904"/>
    <w:rsid w:val="BEDFA95B"/>
    <w:rsid w:val="BEFDE59D"/>
    <w:rsid w:val="BFF735CF"/>
    <w:rsid w:val="CDBFE9AE"/>
    <w:rsid w:val="CFD64512"/>
    <w:rsid w:val="D5EFB5C2"/>
    <w:rsid w:val="DC7F40BF"/>
    <w:rsid w:val="DEBFD82D"/>
    <w:rsid w:val="DF9B6AAA"/>
    <w:rsid w:val="DFDBA1E5"/>
    <w:rsid w:val="DFFFB9A0"/>
    <w:rsid w:val="E3BF9FED"/>
    <w:rsid w:val="E3F11B1E"/>
    <w:rsid w:val="E7BF487B"/>
    <w:rsid w:val="E9BFDC2B"/>
    <w:rsid w:val="E9E9CBCF"/>
    <w:rsid w:val="EC5FD9B7"/>
    <w:rsid w:val="EDEF5B38"/>
    <w:rsid w:val="EF7B2975"/>
    <w:rsid w:val="EFBEBDB1"/>
    <w:rsid w:val="EFD7BF9D"/>
    <w:rsid w:val="F3FD8CC8"/>
    <w:rsid w:val="F4B6911C"/>
    <w:rsid w:val="F75F1FB9"/>
    <w:rsid w:val="F7F530F6"/>
    <w:rsid w:val="F97B7DDA"/>
    <w:rsid w:val="F9DCDEE5"/>
    <w:rsid w:val="FB6FE1D5"/>
    <w:rsid w:val="FB9FA6BC"/>
    <w:rsid w:val="FCAB86D0"/>
    <w:rsid w:val="FEBF97C0"/>
    <w:rsid w:val="FEF51434"/>
    <w:rsid w:val="FEFE8F15"/>
    <w:rsid w:val="FF2B5117"/>
    <w:rsid w:val="FF7F7B01"/>
    <w:rsid w:val="FF7FBC59"/>
    <w:rsid w:val="FFBD0212"/>
    <w:rsid w:val="FFBFB277"/>
    <w:rsid w:val="FFCDF131"/>
    <w:rsid w:val="FFFF8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napToGrid w:val="0"/>
      <w:spacing w:line="360" w:lineRule="auto"/>
    </w:pPr>
    <w:rPr>
      <w:rFonts w:ascii="Times New Roman" w:hAnsi="Times New Roman" w:eastAsia="宋体" w:cs="Times New Roman"/>
      <w:kern w:val="2"/>
      <w:sz w:val="24"/>
      <w:szCs w:val="24"/>
      <w:lang w:val="en-US" w:eastAsia="zh-CN" w:bidi="ar-SA"/>
    </w:rPr>
  </w:style>
  <w:style w:type="paragraph" w:styleId="2">
    <w:name w:val="heading 1"/>
    <w:basedOn w:val="1"/>
    <w:next w:val="1"/>
    <w:link w:val="25"/>
    <w:qFormat/>
    <w:uiPriority w:val="0"/>
    <w:pPr>
      <w:keepNext/>
      <w:keepLines/>
      <w:numPr>
        <w:ilvl w:val="0"/>
        <w:numId w:val="1"/>
      </w:numPr>
      <w:jc w:val="center"/>
      <w:outlineLvl w:val="0"/>
    </w:pPr>
    <w:rPr>
      <w:rFonts w:eastAsia="黑体"/>
      <w:kern w:val="44"/>
      <w:sz w:val="32"/>
    </w:rPr>
  </w:style>
  <w:style w:type="paragraph" w:styleId="3">
    <w:name w:val="heading 2"/>
    <w:basedOn w:val="1"/>
    <w:next w:val="1"/>
    <w:link w:val="26"/>
    <w:unhideWhenUsed/>
    <w:qFormat/>
    <w:uiPriority w:val="0"/>
    <w:pPr>
      <w:keepNext/>
      <w:keepLines/>
      <w:numPr>
        <w:ilvl w:val="1"/>
        <w:numId w:val="1"/>
      </w:numPr>
      <w:ind w:left="0" w:hanging="200" w:hangingChars="200"/>
      <w:outlineLvl w:val="1"/>
    </w:pPr>
    <w:rPr>
      <w:rFonts w:eastAsia="黑体"/>
      <w:sz w:val="28"/>
    </w:rPr>
  </w:style>
  <w:style w:type="paragraph" w:styleId="4">
    <w:name w:val="heading 3"/>
    <w:basedOn w:val="1"/>
    <w:next w:val="1"/>
    <w:unhideWhenUsed/>
    <w:qFormat/>
    <w:uiPriority w:val="0"/>
    <w:pPr>
      <w:keepNext/>
      <w:keepLines/>
      <w:numPr>
        <w:ilvl w:val="2"/>
        <w:numId w:val="1"/>
      </w:numPr>
      <w:ind w:left="1200" w:leftChars="200"/>
      <w:outlineLvl w:val="2"/>
    </w:pPr>
    <w:rPr>
      <w:rFonts w:eastAsia="黑体"/>
      <w:sz w:val="28"/>
    </w:rPr>
  </w:style>
  <w:style w:type="paragraph" w:styleId="5">
    <w:name w:val="heading 4"/>
    <w:basedOn w:val="1"/>
    <w:next w:val="1"/>
    <w:link w:val="23"/>
    <w:unhideWhenUsed/>
    <w:qFormat/>
    <w:uiPriority w:val="0"/>
    <w:pPr>
      <w:keepNext/>
      <w:keepLines/>
      <w:numPr>
        <w:ilvl w:val="3"/>
        <w:numId w:val="0"/>
      </w:numPr>
      <w:spacing w:line="240" w:lineRule="auto"/>
      <w:ind w:left="0" w:firstLine="0"/>
      <w:jc w:val="center"/>
      <w:outlineLvl w:val="3"/>
    </w:pPr>
    <w:rPr>
      <w:rFonts w:eastAsia="宋体"/>
      <w:b/>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caption"/>
    <w:basedOn w:val="1"/>
    <w:next w:val="1"/>
    <w:link w:val="24"/>
    <w:unhideWhenUsed/>
    <w:qFormat/>
    <w:uiPriority w:val="0"/>
    <w:pPr>
      <w:jc w:val="center"/>
    </w:pPr>
    <w:rPr>
      <w:rFonts w:eastAsia="宋体"/>
      <w:b/>
    </w:rPr>
  </w:style>
  <w:style w:type="paragraph" w:styleId="7">
    <w:name w:val="toc 3"/>
    <w:basedOn w:val="1"/>
    <w:next w:val="1"/>
    <w:qFormat/>
    <w:uiPriority w:val="0"/>
    <w:pPr>
      <w:ind w:left="840" w:leftChars="400"/>
    </w:pPr>
  </w:style>
  <w:style w:type="paragraph" w:styleId="8">
    <w:name w:val="Body Text Indent 2"/>
    <w:basedOn w:val="1"/>
    <w:qFormat/>
    <w:uiPriority w:val="0"/>
    <w:pPr>
      <w:spacing w:after="120" w:line="480" w:lineRule="auto"/>
      <w:ind w:left="420" w:leftChars="200"/>
    </w:pPr>
  </w:style>
  <w:style w:type="paragraph" w:styleId="9">
    <w:name w:val="footer"/>
    <w:basedOn w:val="1"/>
    <w:qFormat/>
    <w:uiPriority w:val="0"/>
    <w:pPr>
      <w:tabs>
        <w:tab w:val="center" w:pos="4153"/>
        <w:tab w:val="right" w:pos="8306"/>
      </w:tabs>
    </w:pPr>
    <w:rPr>
      <w:sz w:val="18"/>
      <w:szCs w:val="18"/>
    </w:rPr>
  </w:style>
  <w:style w:type="paragraph" w:styleId="10">
    <w:name w:val="header"/>
    <w:basedOn w:val="1"/>
    <w:qFormat/>
    <w:uiPriority w:val="0"/>
    <w:pPr>
      <w:pBdr>
        <w:bottom w:val="single" w:color="auto" w:sz="6" w:space="1"/>
      </w:pBdr>
      <w:tabs>
        <w:tab w:val="center" w:pos="4153"/>
        <w:tab w:val="right" w:pos="8306"/>
      </w:tabs>
      <w:jc w:val="center"/>
    </w:pPr>
    <w:rPr>
      <w:sz w:val="18"/>
      <w:szCs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99"/>
    <w:pPr>
      <w:spacing w:beforeAutospacing="1" w:afterAutospacing="1"/>
    </w:pPr>
    <w:rPr>
      <w:kern w:val="0"/>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page number"/>
    <w:basedOn w:val="16"/>
    <w:qFormat/>
    <w:uiPriority w:val="0"/>
  </w:style>
  <w:style w:type="character" w:styleId="19">
    <w:name w:val="Hyperlink"/>
    <w:qFormat/>
    <w:uiPriority w:val="0"/>
    <w:rPr>
      <w:color w:val="0000FF"/>
      <w:u w:val="single"/>
    </w:rPr>
  </w:style>
  <w:style w:type="character" w:styleId="20">
    <w:name w:val="HTML Code"/>
    <w:basedOn w:val="16"/>
    <w:qFormat/>
    <w:uiPriority w:val="0"/>
    <w:rPr>
      <w:rFonts w:ascii="Courier New" w:hAnsi="Courier New"/>
      <w:sz w:val="20"/>
    </w:rPr>
  </w:style>
  <w:style w:type="paragraph" w:customStyle="1" w:styleId="21">
    <w:name w:val="样式 小三 加粗 7.5 磅"/>
    <w:basedOn w:val="1"/>
    <w:qFormat/>
    <w:uiPriority w:val="0"/>
    <w:rPr>
      <w:b/>
      <w:bCs/>
      <w:sz w:val="30"/>
      <w:szCs w:val="30"/>
    </w:rPr>
  </w:style>
  <w:style w:type="paragraph" w:styleId="22">
    <w:name w:val="List Paragraph"/>
    <w:basedOn w:val="1"/>
    <w:unhideWhenUsed/>
    <w:qFormat/>
    <w:uiPriority w:val="99"/>
    <w:pPr>
      <w:ind w:firstLine="420" w:firstLineChars="200"/>
    </w:pPr>
  </w:style>
  <w:style w:type="character" w:customStyle="1" w:styleId="23">
    <w:name w:val="标题 4 Char"/>
    <w:link w:val="5"/>
    <w:qFormat/>
    <w:uiPriority w:val="0"/>
    <w:rPr>
      <w:rFonts w:eastAsia="宋体"/>
      <w:b/>
    </w:rPr>
  </w:style>
  <w:style w:type="character" w:customStyle="1" w:styleId="24">
    <w:name w:val="题注 Char"/>
    <w:link w:val="6"/>
    <w:qFormat/>
    <w:uiPriority w:val="0"/>
    <w:rPr>
      <w:rFonts w:eastAsia="宋体"/>
      <w:b/>
    </w:rPr>
  </w:style>
  <w:style w:type="character" w:customStyle="1" w:styleId="25">
    <w:name w:val="标题 1 Char"/>
    <w:link w:val="2"/>
    <w:qFormat/>
    <w:uiPriority w:val="0"/>
    <w:rPr>
      <w:rFonts w:eastAsia="黑体"/>
      <w:kern w:val="44"/>
      <w:sz w:val="32"/>
    </w:rPr>
  </w:style>
  <w:style w:type="character" w:customStyle="1" w:styleId="26">
    <w:name w:val="标题 2 Char"/>
    <w:link w:val="3"/>
    <w:qFormat/>
    <w:uiPriority w:val="0"/>
    <w:rPr>
      <w:rFonts w:eastAsia="黑体"/>
      <w:sz w:val="28"/>
    </w:rPr>
  </w:style>
  <w:style w:type="character" w:customStyle="1" w:styleId="27">
    <w:name w:val="font21"/>
    <w:basedOn w:val="16"/>
    <w:qFormat/>
    <w:uiPriority w:val="0"/>
    <w:rPr>
      <w:rFonts w:hint="default" w:ascii="Times New Roman Regular" w:hAnsi="Times New Roman Regular" w:eastAsia="Times New Roman Regular" w:cs="Times New Roman Regular"/>
      <w:color w:val="000000"/>
      <w:sz w:val="24"/>
      <w:szCs w:val="24"/>
      <w:u w:val="none"/>
    </w:rPr>
  </w:style>
  <w:style w:type="character" w:customStyle="1" w:styleId="28">
    <w:name w:val="font11"/>
    <w:basedOn w:val="16"/>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22701</Words>
  <Characters>31171</Characters>
  <Lines>0</Lines>
  <Paragraphs>0</Paragraphs>
  <TotalTime>4</TotalTime>
  <ScaleCrop>false</ScaleCrop>
  <LinksUpToDate>false</LinksUpToDate>
  <CharactersWithSpaces>32040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2026-05-02T16:24:00Z</dcterms:created>
  <dc:creator>Custom丶xueersi</dc:creator>
  <cp:lastModifiedBy>Custom丶xueersi</cp:lastModifiedBy>
  <dcterms:modified xsi:type="dcterms:W3CDTF">2026-05-11T08:46:37Z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4A0B215989D843D69F0B875D2ED81E5C_13</vt:lpwstr>
  </property>
  <property fmtid="{D5CDD505-2E9C-101B-9397-08002B2CF9AE}" pid="4" name="KSOTemplateDocerSaveRecord">
    <vt:lpwstr>eyJoZGlkIjoiNDc0NjMxMjYxM2FlMzk5YTViMmRkYzA3YjYxMDQyNmEiLCJ1c2VySWQiOiIyMTkxODgxOTkifQ==</vt:lpwstr>
  </property>
</Properties>
</file>