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  <w:sz w:val="24"/>
                <w:szCs w:val="24"/>
              </w:rPr>
              <w:t xml:space="preserve">API </w:t>
            </w:r>
            <w:r>
              <w:rPr>
                <w:rFonts w:hint="eastAsia"/>
                <w:sz w:val="24"/>
                <w:szCs w:val="24"/>
              </w:rPr>
              <w:t>验证、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采集验证、性能实验和篡改检测实验。本周已按意见压缩研究范围。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完善开题报告框架，补充国内外研究现状、研究内容、关键技术介绍和技术路线，形成可提交的开题报告初稿。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2025.12.05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