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2C511D83" ns2:textId="77777777">
        <w:trPr>
          <w:trHeight w:val="553"/>
        </w:trPr>
        <w:tc>
          <w:tcPr>
            <w:tcW w:w="948" w:type="dxa"/>
            <w:vAlign w:val="center"/>
          </w:tcPr>
          <w:p ns2:paraId="3BE224A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6DA405C8" ns2:textId="2FF6172B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23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2026.04.17-2026.04.23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487ECCE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4388A94B" ns2:textId="0EE38A37" w:rsidR="00614467" w:rsidRDefault="003646BD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6CD36C1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05E7E537" ns2:textId="32CF6CBE" w:rsidR="00614467" w:rsidRDefault="003646BD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0E26D9A0" ns2:textId="77777777">
        <w:trPr>
          <w:trHeight w:val="4413"/>
        </w:trPr>
        <w:tc>
          <w:tcPr>
            <w:tcW w:w="948" w:type="dxa"/>
            <w:vAlign w:val="center"/>
          </w:tcPr>
          <w:p ns2:paraId="3EE5FCB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181CAEF5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1F70A28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3F16FCDD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FEF877E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532DEB7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23AF872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1FE0C939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0D945252" ns2:textId="5A8B8F76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根据中期检查反馈，完成实验与测试章节初稿，包含合约测试、后端接口测试、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验证、前端构建、日志批量提交、批量审计和篡改检测实验。论文中补充说明系统能够完成“采集、入库、存证、审计、告警、展示”的闭环。本周还推进外文文献翻译材料，对区块链安全和审计相关论文进行了翻译整理。</w:t>
            </w:r>
          </w:p>
        </w:tc>
      </w:tr>
      <w:tr w:rsidR="00614467" ns2:paraId="1E3AA19A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03778DB2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C838C7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7DB1019A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0A97769F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6FAE670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0B3A3B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569D004B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60212266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0327858A" ns2:textId="370B84EC" w:rsidR="00614467" w:rsidRDefault="003646BD">
            <w:pPr>
              <w:rPr>
                <w:rFonts w:hint="eastAsia"/>
              </w:rPr>
            </w:pPr>
            <w:r>
              <w:rPr>
                <w:rFonts w:hint="eastAsia"/>
              </w:rPr>
              <w:t>整合形成论文初稿，补充摘要、绪论、相关技术、总结与展望、参考文献等部分，并检查学院格式要求。</w:t>
            </w:r>
          </w:p>
        </w:tc>
      </w:tr>
      <w:tr w:rsidR="00614467" ns2:paraId="7FC3284D" ns2:textId="77777777">
        <w:trPr>
          <w:trHeight w:val="777"/>
        </w:trPr>
        <w:tc>
          <w:tcPr>
            <w:tcW w:w="948" w:type="dxa"/>
            <w:vAlign w:val="center"/>
          </w:tcPr>
          <w:p ns2:paraId="4A5659B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6DBC272E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6637F2E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0B6EE7BB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38BCB9EA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3B351CB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7F9ADEEF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736763D8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606E3A65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7CEE1C96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95CD" w14:textId="77777777" w:rsidR="00155E32" w:rsidRDefault="00155E32">
      <w:r>
        <w:separator/>
      </w:r>
    </w:p>
  </w:endnote>
  <w:endnote w:type="continuationSeparator" w:id="0">
    <w:p w14:paraId="66571918" w14:textId="77777777" w:rsidR="00155E32" w:rsidRDefault="0015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DAE2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F7289" w14:textId="77777777" w:rsidR="00155E32" w:rsidRDefault="00155E32">
      <w:r>
        <w:separator/>
      </w:r>
    </w:p>
  </w:footnote>
  <w:footnote w:type="continuationSeparator" w:id="0">
    <w:p w14:paraId="56E5A589" w14:textId="77777777" w:rsidR="00155E32" w:rsidRDefault="0015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55E32"/>
    <w:rsid w:val="001B7ABB"/>
    <w:rsid w:val="00266FC3"/>
    <w:rsid w:val="003646BD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08230A"/>
  <w15:chartTrackingRefBased/>
  <w15:docId w15:val="{156BB79D-0ECD-4422-9B7E-B70B5E0F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</Words>
  <Characters>559</Characters>
  <Application>Microsoft Office Word</Application>
  <DocSecurity>0</DocSecurity>
  <Lines>4</Lines>
  <Paragraphs>1</Paragraphs>
  <ScaleCrop>false</ScaleCrop>
  <Company>MC SYSTEM</Company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