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4DC7947D" ns2:textId="77777777">
        <w:trPr>
          <w:trHeight w:val="553"/>
        </w:trPr>
        <w:tc>
          <w:tcPr>
            <w:tcW w:w="948" w:type="dxa"/>
            <w:vAlign w:val="center"/>
          </w:tcPr>
          <w:p ns2:paraId="245C56D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057BA0EA" ns2:textId="7EA8516B" w:rsidR="00614467" w:rsidRDefault="00570C1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2026.01.23-2026.01.29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2D8F6B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087CBB4C" ns2:textId="1A48673D" w:rsidR="00614467" w:rsidRDefault="00570C1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342A01B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A91932A" ns2:textId="249F4250" w:rsidR="00614467" w:rsidRDefault="00570C1D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27EAD9DC" ns2:textId="77777777">
        <w:trPr>
          <w:trHeight w:val="4413"/>
        </w:trPr>
        <w:tc>
          <w:tcPr>
            <w:tcW w:w="948" w:type="dxa"/>
            <w:vAlign w:val="center"/>
          </w:tcPr>
          <w:p ns2:paraId="7C985E4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7C65554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68496D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79CD76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6FF936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5C7D21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3DD3316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6A1B9BC7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40340D31" ns2:textId="0CBFC3B8" w:rsidR="00614467" w:rsidRDefault="00570C1D">
            <w:pPr>
              <w:rPr>
                <w:rFonts w:hint="eastAsia"/>
              </w:rPr>
            </w:pPr>
            <w:r>
              <w:rPr>
                <w:rFonts w:hint="eastAsia"/>
              </w:rPr>
              <w:t>完成后端</w:t>
            </w:r>
            <w:r>
              <w:rPr>
                <w:rFonts w:hint="eastAsia"/>
              </w:rPr>
              <w:t xml:space="preserve"> Express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TypeScript </w:t>
            </w:r>
            <w:r>
              <w:rPr>
                <w:rFonts w:hint="eastAsia"/>
              </w:rPr>
              <w:t>基础结构，初步设计</w:t>
            </w:r>
            <w:r>
              <w:rPr>
                <w:rFonts w:hint="eastAsia"/>
              </w:rPr>
              <w:t xml:space="preserve"> logs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log_hash_records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audit_records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alerts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agent_states 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 xml:space="preserve"> SQLite </w:t>
            </w:r>
            <w:r>
              <w:rPr>
                <w:rFonts w:hint="eastAsia"/>
              </w:rPr>
              <w:t>数据表。日志提交接口已能接收任务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、日志内容、日志级别和来源信息，并在链下保存日志原文。本周重点处理哈希计算一致性问题，避免字段顺序、空格或编码差异导致同一日志计算结果不一致。</w:t>
            </w:r>
          </w:p>
        </w:tc>
      </w:tr>
      <w:tr w:rsidR="00614467" ns2:paraId="4930AF7B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77B48437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634134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5779C37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54C47C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A6B7DA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8C15FF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0D8A7154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132A4FA7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BC25481" ns2:textId="33C4165A" w:rsidR="00614467" w:rsidRDefault="00570C1D">
            <w:pPr>
              <w:rPr>
                <w:rFonts w:hint="eastAsia"/>
              </w:rPr>
            </w:pPr>
            <w:r>
              <w:rPr>
                <w:rFonts w:hint="eastAsia"/>
              </w:rPr>
              <w:t>完善后端与智能合约交互，实现日志入库后自动计算</w:t>
            </w:r>
            <w:r>
              <w:rPr>
                <w:rFonts w:hint="eastAsia"/>
              </w:rPr>
              <w:t xml:space="preserve"> SHA-256 </w:t>
            </w:r>
            <w:r>
              <w:rPr>
                <w:rFonts w:hint="eastAsia"/>
              </w:rPr>
              <w:t>哈希并写入链上，同时保存交易哈希、区块号和合约地址。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4D6E98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7A05" w14:textId="77777777" w:rsidR="00603AE0" w:rsidRDefault="00603AE0">
      <w:r>
        <w:separator/>
      </w:r>
    </w:p>
  </w:endnote>
  <w:endnote w:type="continuationSeparator" w:id="0">
    <w:p w14:paraId="3DB445CB" w14:textId="77777777" w:rsidR="00603AE0" w:rsidRDefault="0060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59C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ED5F" w14:textId="77777777" w:rsidR="00603AE0" w:rsidRDefault="00603AE0">
      <w:r>
        <w:separator/>
      </w:r>
    </w:p>
  </w:footnote>
  <w:footnote w:type="continuationSeparator" w:id="0">
    <w:p w14:paraId="1CFD8BE7" w14:textId="77777777" w:rsidR="00603AE0" w:rsidRDefault="00603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0C1D"/>
    <w:rsid w:val="00574A07"/>
    <w:rsid w:val="005E0E18"/>
    <w:rsid w:val="00603AE0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91406"/>
  <w15:chartTrackingRefBased/>
  <w15:docId w15:val="{194913CA-4C5E-4C43-85F9-93710350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>MC SYSTEM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