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7546886B" ns2:textId="77777777">
        <w:trPr>
          <w:trHeight w:val="553"/>
        </w:trPr>
        <w:tc>
          <w:tcPr>
            <w:tcW w:w="948" w:type="dxa"/>
            <w:vAlign w:val="center"/>
          </w:tcPr>
          <w:p ns2:paraId="40D88EB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4EE87014" ns2:textId="484E6F1F" w:rsidR="00614467" w:rsidRDefault="0010148A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2026.02.20-2026.02.26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4620886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91EC3A4" ns2:textId="0409CE35" w:rsidR="00614467" w:rsidRDefault="0010148A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C44690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77F2F4D" ns2:textId="1EC032FA" w:rsidR="00614467" w:rsidRDefault="0010148A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692BF21" ns2:textId="77777777">
        <w:trPr>
          <w:trHeight w:val="4413"/>
        </w:trPr>
        <w:tc>
          <w:tcPr>
            <w:tcW w:w="948" w:type="dxa"/>
            <w:vAlign w:val="center"/>
          </w:tcPr>
          <w:p ns2:paraId="2DEC5CD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5FB29A9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1E08D2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7E951C1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39646EC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5CFADE5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1F31DC0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6D383A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0B6ED94B" ns2:textId="4E705B90" w:rsidR="00614467" w:rsidRDefault="0010148A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模块基础功能，实现本地日志文件读取、偏移量持久化、日志解析、批量提交和失败重试队列。调试过程中发现重复采集和文件追加读取边界较容易出错，已通过保存</w:t>
            </w:r>
            <w:r>
              <w:rPr>
                <w:rFonts w:hint="eastAsia"/>
              </w:rPr>
              <w:t xml:space="preserve"> offset </w:t>
            </w:r>
            <w:r>
              <w:rPr>
                <w:rFonts w:hint="eastAsia"/>
              </w:rPr>
              <w:t>和追加日志测试进行验证。指导老师建议论文中不必把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写得过于复杂，应突出其在系统闭环中的作用，即让日志来源更接近真实运行环境。</w:t>
            </w:r>
          </w:p>
        </w:tc>
      </w:tr>
      <w:tr w:rsidR="00614467" ns2:paraId="09FAD8A1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36BB2743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44DDF9C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2C30E6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00B214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607DD8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6C999B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4F1B0B5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5B8F3790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A5E2D40" ns2:textId="47758CBD" w:rsidR="00614467" w:rsidRDefault="0010148A">
            <w:pPr>
              <w:rPr>
                <w:rFonts w:hint="eastAsia"/>
              </w:rPr>
            </w:pPr>
            <w:r>
              <w:rPr>
                <w:rFonts w:hint="eastAsia"/>
              </w:rPr>
              <w:t>继续完善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与后端联调，补充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基础验证脚本；同时启动前端页面开发，展示总览、日志、审计和告警信息。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631C63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3BCD" w14:textId="77777777" w:rsidR="0074641D" w:rsidRDefault="0074641D">
      <w:r>
        <w:separator/>
      </w:r>
    </w:p>
  </w:endnote>
  <w:endnote w:type="continuationSeparator" w:id="0">
    <w:p w14:paraId="57D9BDC8" w14:textId="77777777" w:rsidR="0074641D" w:rsidRDefault="00746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F55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5C02" w14:textId="77777777" w:rsidR="0074641D" w:rsidRDefault="0074641D">
      <w:r>
        <w:separator/>
      </w:r>
    </w:p>
  </w:footnote>
  <w:footnote w:type="continuationSeparator" w:id="0">
    <w:p w14:paraId="47DDF6DE" w14:textId="77777777" w:rsidR="0074641D" w:rsidRDefault="00746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148A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641D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631A8"/>
  <w15:chartTrackingRefBased/>
  <w15:docId w15:val="{66BEFDB9-779E-478A-A122-0D182291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>MC SYSTEM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