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36509025" ns2:textId="77777777">
        <w:trPr>
          <w:trHeight w:val="553"/>
        </w:trPr>
        <w:tc>
          <w:tcPr>
            <w:tcW w:w="948" w:type="dxa"/>
            <w:vAlign w:val="center"/>
          </w:tcPr>
          <w:p ns2:paraId="309EA18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0A68DBB" ns2:textId="3F5043A0" w:rsidR="00614467" w:rsidRDefault="0053774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20981DC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06BBCCF1" ns2:textId="053F1C82" w:rsidR="00614467" w:rsidRDefault="0053774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6DB1E50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5CAB650D" ns2:textId="58CB4735" w:rsidR="00614467" w:rsidRDefault="0053774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214B46D" ns2:textId="77777777">
        <w:trPr>
          <w:trHeight w:val="4413"/>
        </w:trPr>
        <w:tc>
          <w:tcPr>
            <w:tcW w:w="948" w:type="dxa"/>
            <w:vAlign w:val="center"/>
          </w:tcPr>
          <w:p ns2:paraId="4BB6AEE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A6107D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775E1B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06064C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D06C41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179E719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4796F2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1A9D9D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C1739E4" ns2:textId="09778FBA" w:rsidR="00614467" w:rsidRDefault="00537742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 Server </w:t>
            </w:r>
            <w:r>
              <w:rPr>
                <w:rFonts w:hint="eastAsia"/>
              </w:rPr>
              <w:t>的真实链路验证，新增日志可以经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采集后提交到后端，再进入入库、哈希计算和链上存证流程。前端方面完成</w:t>
            </w:r>
            <w:r>
              <w:rPr>
                <w:rFonts w:hint="eastAsia"/>
              </w:rPr>
              <w:t xml:space="preserve"> React </w:t>
            </w:r>
            <w:r>
              <w:rPr>
                <w:rFonts w:hint="eastAsia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w:rsidR="00614467" ns2:paraId="17987853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F5A6FD8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B819EC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6B59C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04B44D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129CFD2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BA9274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13547B4E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B0B0EC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10047F68" ns2:textId="4AD19362" w:rsidR="00614467" w:rsidRDefault="00537742">
            <w:pPr>
              <w:rPr>
                <w:rFonts w:hint="eastAsia"/>
              </w:rPr>
            </w:pPr>
            <w:r>
              <w:rPr>
                <w:rFonts w:hint="eastAsia"/>
              </w:rPr>
              <w:t>完成前端与真实后端接口联调，补充统计卡片、趋势图、状态分布等展示内容，准备形成可演示的系统原型。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03A2F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