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继续完善系统演示数据和关键流程图，准备后续中期检查材料框架，并同步推进论文需求分析和总体设计章节。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192AA5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