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Severance Response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responding to a severance offer from your employer. Use it to accept, decline, or request modifications.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Have an employment attorney review your severance agreement before signing.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Note your deadline to respond (typically 21 days, or 45 days if over age 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requesting modifications, use the Severance Counter-Offer template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Employer Before Responding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included in the severance payment — base pay, accrued vacation, bonus?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review period? Can I consult an attorney during this time?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benefits continue after separation — health insurance, 401k, other?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non-compete clause? Can it be modified or removed?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you provide a reference letter or neutral reference going forward?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consideration for additional severance if I sign by [date]?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to unvested stock options or equity?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waive any legal claims if I accept?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prepare and document your severance response. It is not a legal document. Always consult an employment attorney before accepting any severance agreement.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Hire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of Employment: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 /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SEVERANCE OFFER RECEIVED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Offer Received: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Review Deadline: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Severance Pay Offered: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Payment Structure: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Benefits Continuation Period: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Non-Compete / Non-Solicitation Terms: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Release of Claims Included: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Terms: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Response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Accepting — Terms Accepted: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Declining — 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Requesting Modifications: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Questions or Clarifications: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Severance Response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qeUrQX2khlAmSo0fp8hKjG2HQ==">CgMxLjA4AHIhMTVKUFJ6WVNCalBySFlXQWhsZE8zSC1qazBHRUgycEZj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2026-03-23T23:33:18.321Z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