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667E97E3"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58E8DC58" w:rsidR="004565C3" w:rsidRDefault="00D5615C" w:rsidP="00510B6F">
      <w:pPr>
        <w:pStyle w:val="Heading1"/>
      </w:pPr>
      <w:r>
        <w:t>Diffie-Hellman</w:t>
      </w:r>
      <w:r w:rsidR="003F46ED">
        <w:t xml:space="preserve"> </w:t>
      </w:r>
      <w:r w:rsidR="00B4040B">
        <w:t>for Dummies</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4"/>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1431653E"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4605B225" w14:textId="32E172CB" w:rsidR="006550B2" w:rsidRDefault="006550B2" w:rsidP="00A32787">
      <w:r>
        <w:t xml:space="preserve">The foregoing example demonstrates the </w:t>
      </w:r>
      <w:r w:rsidRPr="006550B2">
        <w:rPr>
          <w:i/>
          <w:iCs/>
        </w:rPr>
        <w:t>how</w:t>
      </w:r>
      <w:r>
        <w:t xml:space="preserve"> of RSA encryption, but not the </w:t>
      </w:r>
      <w:r w:rsidRPr="006550B2">
        <w:rPr>
          <w:i/>
          <w:iCs/>
        </w:rPr>
        <w:t>why</w:t>
      </w:r>
      <w:r>
        <w:t xml:space="preserve">. For the </w:t>
      </w:r>
      <w:r w:rsidRPr="006550B2">
        <w:rPr>
          <w:i/>
          <w:iCs/>
        </w:rPr>
        <w:t>why</w:t>
      </w:r>
      <w:r>
        <w:t xml:space="preserve"> we need mathematical proofs to demonstrate the correctness of the algorithm; for example, </w:t>
      </w:r>
      <w:r w:rsidR="00590594">
        <w:t xml:space="preserve">given special values of </w:t>
      </w:r>
      <w:r w:rsidR="00590594" w:rsidRPr="00590594">
        <w:rPr>
          <w:i/>
          <w:iCs/>
        </w:rPr>
        <w:t>e</w:t>
      </w:r>
      <w:r w:rsidR="00590594">
        <w:t xml:space="preserve">, </w:t>
      </w:r>
      <w:r w:rsidR="00590594" w:rsidRPr="00590594">
        <w:rPr>
          <w:i/>
          <w:iCs/>
        </w:rPr>
        <w:t>d</w:t>
      </w:r>
      <w:r w:rsidR="00590594">
        <w:t xml:space="preserve"> and </w:t>
      </w:r>
      <w:r w:rsidR="00590594" w:rsidRPr="00590594">
        <w:rPr>
          <w:i/>
          <w:iCs/>
        </w:rPr>
        <w:t>n</w:t>
      </w:r>
      <w:r w:rsidR="00590594">
        <w:t xml:space="preserve">, </w:t>
      </w:r>
      <w:r>
        <w:t xml:space="preserve">that </w:t>
      </w:r>
      <w:r w:rsidRPr="006550B2">
        <w:rPr>
          <w:i/>
          <w:iCs/>
        </w:rPr>
        <w:t>M</w:t>
      </w:r>
      <w:r w:rsidRPr="006550B2">
        <w:rPr>
          <w:i/>
          <w:iCs/>
          <w:vertAlign w:val="superscript"/>
        </w:rPr>
        <w:t>ed</w:t>
      </w:r>
      <w:r w:rsidRPr="006550B2">
        <w:rPr>
          <w:i/>
          <w:iCs/>
        </w:rPr>
        <w:t xml:space="preserve"> mod n = M</w:t>
      </w:r>
      <w:r>
        <w:t xml:space="preserve"> for all </w:t>
      </w:r>
      <w:r w:rsidRPr="006550B2">
        <w:rPr>
          <w:i/>
          <w:iCs/>
        </w:rPr>
        <w:t>M</w:t>
      </w:r>
      <w:r>
        <w:t xml:space="preserve"> less than or equal to </w:t>
      </w:r>
      <w:r w:rsidRPr="006550B2">
        <w:rPr>
          <w:i/>
          <w:iCs/>
        </w:rPr>
        <w:t>n</w:t>
      </w:r>
      <w:r w:rsidR="00590594">
        <w:t>.</w:t>
      </w:r>
      <w:r w:rsidR="00CF1694">
        <w:t xml:space="preserve"> Such proofs are beyond the scope of this introductory treatment of RSA, </w:t>
      </w:r>
      <w:r w:rsidR="00B64E38">
        <w:t xml:space="preserve">but </w:t>
      </w:r>
      <w:r w:rsidR="00B51C7F">
        <w:t xml:space="preserve">for the curious reader </w:t>
      </w:r>
      <w:r w:rsidR="00CF1694">
        <w:t>they are readily available online</w:t>
      </w:r>
      <w:r w:rsidR="00B64E38">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 xml:space="preserve">not </w:t>
      </w:r>
      <w:r w:rsidR="0073216E">
        <w:lastRenderedPageBreak/>
        <w:t>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66586473" w14:textId="77777777"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lastRenderedPageBreak/>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39"/>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1"/>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lastRenderedPageBreak/>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2"/>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w:t>
      </w:r>
      <w:r w:rsidR="00695015">
        <w:lastRenderedPageBreak/>
        <w:t xml:space="preserve">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3"/>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11FC2198"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 enough to provide the guarantees of integrity and authenticity real-world application</w:t>
      </w:r>
      <w:r w:rsidR="00081FFB">
        <w:t>s</w:t>
      </w:r>
      <w:r w:rsidR="00694DD0">
        <w:t xml:space="preserve"> would demand</w:t>
      </w:r>
      <w:r w:rsidR="008241DB">
        <w:t>.</w:t>
      </w:r>
      <w:r w:rsidR="00E76FBD">
        <w:t xml:space="preserve"> </w:t>
      </w:r>
      <w:r w:rsidR="008B773D">
        <w:t xml:space="preserve">RSA </w:t>
      </w:r>
      <w:r w:rsidR="00E76FBD">
        <w:t>prove</w:t>
      </w:r>
      <w:r w:rsidR="008B773D">
        <w:t>d</w:t>
      </w:r>
      <w:r w:rsidR="00E76FBD">
        <w:t xml:space="preserve"> only in concept the possibility </w:t>
      </w:r>
      <w:r w:rsidR="00AC60A7">
        <w:t xml:space="preserve">such </w:t>
      </w:r>
      <w:r w:rsidR="00E76FBD">
        <w:t>scheme</w:t>
      </w:r>
      <w:r w:rsidR="00824D11">
        <w:t xml:space="preserve">s could </w:t>
      </w:r>
      <w:r w:rsidR="000203D8">
        <w:t>be developed</w:t>
      </w:r>
      <w:r w:rsidR="00BA1EC8">
        <w:t xml:space="preserve">, which they </w:t>
      </w:r>
      <w:r w:rsidR="000203D8">
        <w:t xml:space="preserve">in fact were </w:t>
      </w:r>
      <w:r w:rsidR="00815031">
        <w:t xml:space="preserve">soon </w:t>
      </w:r>
      <w:r w:rsidR="000203D8">
        <w:t>after publication of the paper.</w:t>
      </w:r>
    </w:p>
    <w:p w14:paraId="637730EA" w14:textId="48F0B0CB"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734261">
        <w:t>illegible)</w:t>
      </w:r>
      <w:r w:rsidR="006F1427">
        <w:t xml:space="preserve"> message</w:t>
      </w:r>
      <w:r w:rsidR="00B96A77">
        <w:t xml:space="preserve"> from her manufactured 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a private key.</w:t>
      </w:r>
    </w:p>
    <w:p w14:paraId="09FC822B" w14:textId="1B6D8EB5" w:rsidR="00804D55" w:rsidRDefault="00311FC1" w:rsidP="006F1427">
      <w:r>
        <w:t>H</w:t>
      </w:r>
      <w:r w:rsidR="002256DA">
        <w:t xml:space="preserve">aving recovered </w:t>
      </w:r>
      <w:r w:rsidR="00591EEB">
        <w:t xml:space="preserve">a message </w:t>
      </w:r>
      <w:r w:rsidR="002256DA">
        <w:t>from a manufactured</w:t>
      </w:r>
      <w:r w:rsidR="00591EEB">
        <w:t xml:space="preserve"> signature</w:t>
      </w:r>
      <w:r w:rsidR="002256DA">
        <w:t>,</w:t>
      </w:r>
      <w:r w:rsidR="00EF0C71">
        <w:t xml:space="preserve"> </w:t>
      </w:r>
      <w:r>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1A7FD5">
        <w:t>prevented</w:t>
      </w:r>
      <w:r w:rsidR="001F756C">
        <w:t xml:space="preserve"> </w:t>
      </w:r>
      <w:r w:rsidR="009E23F4">
        <w:t xml:space="preserve">by having </w:t>
      </w:r>
      <w:r w:rsidR="008C48E0">
        <w:t xml:space="preserve">the </w:t>
      </w:r>
      <w:r w:rsidR="000B29AF">
        <w:t xml:space="preserve">signer hash </w:t>
      </w:r>
      <w:r w:rsidR="00755C33">
        <w:t xml:space="preserve">the message </w:t>
      </w:r>
      <w:r w:rsidR="001F756C">
        <w:t xml:space="preserve">before signing it, </w:t>
      </w:r>
      <w:r w:rsidR="00E43EDC">
        <w:t>and includ</w:t>
      </w:r>
      <w:r w:rsidR="00A86A8D">
        <w:t>ing</w:t>
      </w:r>
      <w:r w:rsidR="00E43EDC">
        <w:t xml:space="preserve"> the </w:t>
      </w:r>
      <w:r w:rsidR="009E23F4">
        <w:t xml:space="preserve">message </w:t>
      </w:r>
      <w:r w:rsidR="0069712A">
        <w:t xml:space="preserve">itself </w:t>
      </w:r>
      <w:r w:rsidR="000A7208">
        <w:t xml:space="preserve">together </w:t>
      </w:r>
      <w:r w:rsidR="00E43EDC">
        <w:t xml:space="preserve">with the </w:t>
      </w:r>
      <w:r w:rsidR="0069712A">
        <w:t>hash</w:t>
      </w:r>
      <w:r w:rsidR="00A86A8D">
        <w:t xml:space="preserve"> in the transmitted message</w:t>
      </w:r>
      <w:r w:rsidR="00E43EDC">
        <w:t>.</w:t>
      </w:r>
      <w:r w:rsidR="000406C4">
        <w:rPr>
          <w:rStyle w:val="FootnoteReference"/>
        </w:rPr>
        <w:footnoteReference w:id="44"/>
      </w:r>
      <w:r w:rsidR="00E43EDC">
        <w:t xml:space="preserve"> </w:t>
      </w:r>
      <w:r w:rsidR="00AE4608">
        <w:t xml:space="preserve">Verification is done </w:t>
      </w:r>
      <w:r w:rsidR="00E43EDC">
        <w:t xml:space="preserve">by recovering </w:t>
      </w:r>
      <w:r w:rsidR="009A68C1">
        <w:t xml:space="preserve">the </w:t>
      </w:r>
      <w:r w:rsidR="00E43EDC">
        <w:t>hash from the signature</w:t>
      </w:r>
      <w:r w:rsidR="00374BAD">
        <w:t xml:space="preserve"> using the public key</w:t>
      </w:r>
      <w:r w:rsidR="00E43EDC">
        <w:t xml:space="preserve">, </w:t>
      </w:r>
      <w:r w:rsidR="00DC0696">
        <w:t xml:space="preserve">hashing the </w:t>
      </w:r>
      <w:r w:rsidR="00930B0C">
        <w:t xml:space="preserve">raw </w:t>
      </w:r>
      <w:r w:rsidR="00DC0696">
        <w:t>message</w:t>
      </w:r>
      <w:r w:rsidR="003E4EEB">
        <w:t xml:space="preserve"> using the same </w:t>
      </w:r>
      <w:r w:rsidR="00F45655">
        <w:t>function</w:t>
      </w:r>
      <w:r w:rsidR="003E4EEB">
        <w:t xml:space="preserve"> </w:t>
      </w:r>
      <w:r w:rsidR="00C5227E">
        <w:t xml:space="preserve">as </w:t>
      </w:r>
      <w:r w:rsidR="003E4EEB">
        <w:t>the signer</w:t>
      </w:r>
      <w:r w:rsidR="00DC0696">
        <w:t xml:space="preserv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5"/>
      </w:r>
    </w:p>
    <w:p w14:paraId="0631D018" w14:textId="5E3435D1" w:rsidR="004E494A" w:rsidRDefault="00ED1A01" w:rsidP="004E494A">
      <w:r>
        <w:lastRenderedPageBreak/>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lastRenderedPageBreak/>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DB78F" w14:textId="77777777" w:rsidR="00434C15" w:rsidRDefault="00434C15" w:rsidP="0090426E">
      <w:pPr>
        <w:spacing w:after="0" w:line="240" w:lineRule="auto"/>
      </w:pPr>
      <w:r>
        <w:separator/>
      </w:r>
    </w:p>
  </w:endnote>
  <w:endnote w:type="continuationSeparator" w:id="0">
    <w:p w14:paraId="27F9B993" w14:textId="77777777" w:rsidR="00434C15" w:rsidRDefault="00434C1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78798" w14:textId="77777777" w:rsidR="00434C15" w:rsidRDefault="00434C15" w:rsidP="0090426E">
      <w:pPr>
        <w:spacing w:after="0" w:line="240" w:lineRule="auto"/>
      </w:pPr>
      <w:r>
        <w:separator/>
      </w:r>
    </w:p>
  </w:footnote>
  <w:footnote w:type="continuationSeparator" w:id="0">
    <w:p w14:paraId="6F354581" w14:textId="77777777" w:rsidR="00434C15" w:rsidRDefault="00434C15" w:rsidP="0090426E">
      <w:pPr>
        <w:spacing w:after="0" w:line="240" w:lineRule="auto"/>
      </w:pPr>
      <w:r>
        <w:continuationSeparator/>
      </w:r>
    </w:p>
  </w:footnote>
  <w:footnote w:id="1">
    <w:p w14:paraId="33ECF1E0" w14:textId="735F5D38" w:rsidR="0068235B" w:rsidRDefault="0068235B">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68235B" w:rsidRDefault="0068235B"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68235B" w:rsidRDefault="0068235B">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68235B" w:rsidRDefault="0068235B">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68235B" w:rsidRDefault="0068235B"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6">
    <w:p w14:paraId="003BEC9F" w14:textId="0C9C4284" w:rsidR="0068235B" w:rsidRDefault="0068235B">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68235B" w:rsidRDefault="0068235B"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68235B" w:rsidRDefault="0068235B">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9">
    <w:p w14:paraId="43AD1E3B" w14:textId="77777777" w:rsidR="0068235B" w:rsidRDefault="0068235B"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68235B" w:rsidRDefault="0068235B">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68235B" w:rsidRDefault="0068235B">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68235B" w:rsidRDefault="0068235B"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3">
    <w:p w14:paraId="5ACE96C6" w14:textId="79224AD4" w:rsidR="0068235B" w:rsidRDefault="0068235B">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68235B" w:rsidRDefault="0068235B">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256CD507" w:rsidR="0068235B" w:rsidRDefault="0068235B">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6">
    <w:p w14:paraId="714938FD" w14:textId="525BD3A3" w:rsidR="0068235B" w:rsidRDefault="0068235B">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68235B" w:rsidRDefault="0068235B">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68235B" w:rsidRDefault="0068235B">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68235B" w:rsidRDefault="0068235B">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68235B" w:rsidRDefault="0068235B"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68235B" w:rsidRDefault="0068235B">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68235B" w:rsidRDefault="0068235B">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68235B" w:rsidRDefault="0068235B"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68235B" w:rsidRDefault="0068235B"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68235B" w:rsidRDefault="0068235B"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68235B" w:rsidRDefault="0068235B"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68235B" w:rsidRDefault="0068235B"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68235B" w:rsidRDefault="0068235B"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9400A1B" w:rsidR="0068235B" w:rsidRDefault="0068235B">
      <w:pPr>
        <w:pStyle w:val="FootnoteText"/>
      </w:pPr>
      <w:r>
        <w:rPr>
          <w:rStyle w:val="FootnoteReference"/>
        </w:rPr>
        <w:footnoteRef/>
      </w:r>
      <w:r>
        <w:t xml:space="preserve"> The </w:t>
      </w:r>
      <w:r w:rsidRPr="00D25AE1">
        <w:rPr>
          <w:i/>
          <w:iCs/>
        </w:rPr>
        <w:t>textbook</w:t>
      </w:r>
      <w:r>
        <w:t xml:space="preserve"> model provides a good theoretical basis for understanding RSA encryption.</w:t>
      </w:r>
    </w:p>
  </w:footnote>
  <w:footnote w:id="30">
    <w:p w14:paraId="2BF6D29A" w14:textId="4FB70118" w:rsidR="0068235B" w:rsidRDefault="0068235B"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1">
    <w:p w14:paraId="36FA1A1D" w14:textId="51428628" w:rsidR="0068235B" w:rsidRDefault="0068235B"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2">
    <w:p w14:paraId="33C89EE8" w14:textId="5812B04D" w:rsidR="0068235B" w:rsidRDefault="0068235B"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68235B" w:rsidRDefault="0068235B">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68235B" w:rsidRDefault="0068235B"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68235B" w:rsidRDefault="0068235B"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68235B" w:rsidRDefault="0068235B">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15913CB1" w:rsidR="0068235B" w:rsidRDefault="0068235B">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38">
    <w:p w14:paraId="33EBC2D3" w14:textId="2689BBC1" w:rsidR="0068235B" w:rsidRDefault="0068235B">
      <w:pPr>
        <w:pStyle w:val="FootnoteText"/>
      </w:pPr>
      <w:r>
        <w:rPr>
          <w:rStyle w:val="FootnoteReference"/>
        </w:rPr>
        <w:footnoteRef/>
      </w:r>
      <w:r>
        <w:t xml:space="preserve"> Schemes that combine DH with symmetric-key encryption are also called hybrid schemes.</w:t>
      </w:r>
    </w:p>
  </w:footnote>
  <w:footnote w:id="39">
    <w:p w14:paraId="33601A3B" w14:textId="71AB77BA" w:rsidR="0068235B" w:rsidRDefault="0068235B">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0">
    <w:p w14:paraId="56D71827" w14:textId="5C8448EA" w:rsidR="0068235B" w:rsidRDefault="0068235B">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1CD5A611" w:rsidR="0068235B" w:rsidRDefault="0068235B">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2">
    <w:p w14:paraId="0FDC277B" w14:textId="24A5DEC9" w:rsidR="0068235B" w:rsidRDefault="0068235B">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3">
    <w:p w14:paraId="39E36FAC" w14:textId="6F34794B" w:rsidR="0068235B" w:rsidRDefault="0068235B">
      <w:pPr>
        <w:pStyle w:val="FootnoteText"/>
      </w:pPr>
      <w:r>
        <w:rPr>
          <w:rStyle w:val="FootnoteReference"/>
        </w:rPr>
        <w:footnoteRef/>
      </w:r>
      <w:r>
        <w:t xml:space="preserve"> Note that Alice and Bob will each have computed their own </w:t>
      </w:r>
      <w:r w:rsidRPr="00A11CF0">
        <w:rPr>
          <w:i/>
          <w:iCs/>
        </w:rPr>
        <w:t>n</w:t>
      </w:r>
      <w:r>
        <w:t>, as well.</w:t>
      </w:r>
    </w:p>
  </w:footnote>
  <w:footnote w:id="44">
    <w:p w14:paraId="758EF3EA" w14:textId="4BBFE2D2" w:rsidR="0068235B" w:rsidRDefault="0068235B">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5">
    <w:p w14:paraId="03368C18" w14:textId="0588B07C" w:rsidR="0068235B" w:rsidRDefault="0068235B">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6">
    <w:p w14:paraId="196C2483" w14:textId="647A5DFC" w:rsidR="0068235B" w:rsidRDefault="0068235B">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68235B" w:rsidRDefault="0068235B">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68235B" w:rsidRDefault="0068235B">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68235B" w:rsidRDefault="0068235B">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5CFCFC01" w:rsidR="0068235B" w:rsidRDefault="0068235B">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1">
    <w:p w14:paraId="7687C423" w14:textId="57C4E387" w:rsidR="0068235B" w:rsidRDefault="0068235B">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1"/>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1360"/>
    <w:rsid w:val="0001212B"/>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3EDF"/>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D8D"/>
    <w:rsid w:val="002B6DB5"/>
    <w:rsid w:val="002B73BE"/>
    <w:rsid w:val="002B74FB"/>
    <w:rsid w:val="002B7B07"/>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60"/>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9D4"/>
    <w:rsid w:val="00502F3C"/>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94"/>
    <w:rsid w:val="005905F0"/>
    <w:rsid w:val="00590909"/>
    <w:rsid w:val="00590C5C"/>
    <w:rsid w:val="0059186F"/>
    <w:rsid w:val="0059194F"/>
    <w:rsid w:val="00591B05"/>
    <w:rsid w:val="00591EEB"/>
    <w:rsid w:val="00591F24"/>
    <w:rsid w:val="005922B1"/>
    <w:rsid w:val="00592327"/>
    <w:rsid w:val="005926A7"/>
    <w:rsid w:val="00592C44"/>
    <w:rsid w:val="00593297"/>
    <w:rsid w:val="00593506"/>
    <w:rsid w:val="00593570"/>
    <w:rsid w:val="005937CB"/>
    <w:rsid w:val="00594000"/>
    <w:rsid w:val="0059434B"/>
    <w:rsid w:val="00594621"/>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1DA5"/>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3CD7"/>
    <w:rsid w:val="007C417A"/>
    <w:rsid w:val="007C44D7"/>
    <w:rsid w:val="007C5421"/>
    <w:rsid w:val="007C55E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AAA"/>
    <w:rsid w:val="00827BE8"/>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533"/>
    <w:rsid w:val="00904C17"/>
    <w:rsid w:val="00904EB0"/>
    <w:rsid w:val="00904F3A"/>
    <w:rsid w:val="0090513C"/>
    <w:rsid w:val="009052A1"/>
    <w:rsid w:val="00906D24"/>
    <w:rsid w:val="00906D76"/>
    <w:rsid w:val="00906F27"/>
    <w:rsid w:val="00906FB0"/>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416"/>
    <w:rsid w:val="00932954"/>
    <w:rsid w:val="00932BAF"/>
    <w:rsid w:val="00933006"/>
    <w:rsid w:val="00933515"/>
    <w:rsid w:val="0093381A"/>
    <w:rsid w:val="00934088"/>
    <w:rsid w:val="00934432"/>
    <w:rsid w:val="0093589C"/>
    <w:rsid w:val="00935963"/>
    <w:rsid w:val="009360C1"/>
    <w:rsid w:val="00936901"/>
    <w:rsid w:val="00937276"/>
    <w:rsid w:val="009373FD"/>
    <w:rsid w:val="00937533"/>
    <w:rsid w:val="00937F62"/>
    <w:rsid w:val="009406D0"/>
    <w:rsid w:val="00940AF3"/>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109F"/>
    <w:rsid w:val="009C2139"/>
    <w:rsid w:val="009C2B87"/>
    <w:rsid w:val="009C2C09"/>
    <w:rsid w:val="009C3143"/>
    <w:rsid w:val="009C3363"/>
    <w:rsid w:val="009C49E9"/>
    <w:rsid w:val="009C4AE9"/>
    <w:rsid w:val="009C4DC3"/>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FA0"/>
    <w:rsid w:val="00BC256E"/>
    <w:rsid w:val="00BC2673"/>
    <w:rsid w:val="00BC270F"/>
    <w:rsid w:val="00BC2974"/>
    <w:rsid w:val="00BC3341"/>
    <w:rsid w:val="00BC37F9"/>
    <w:rsid w:val="00BC39DA"/>
    <w:rsid w:val="00BC3D56"/>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2AB"/>
    <w:rsid w:val="00DC3025"/>
    <w:rsid w:val="00DC3344"/>
    <w:rsid w:val="00DC33D1"/>
    <w:rsid w:val="00DC3F33"/>
    <w:rsid w:val="00DC4711"/>
    <w:rsid w:val="00DC4B43"/>
    <w:rsid w:val="00DC53F2"/>
    <w:rsid w:val="00DC5A66"/>
    <w:rsid w:val="00DC627F"/>
    <w:rsid w:val="00DC689B"/>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DE"/>
    <w:rsid w:val="00DE1897"/>
    <w:rsid w:val="00DE1C0E"/>
    <w:rsid w:val="00DE1C44"/>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082"/>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9F0"/>
    <w:rsid w:val="00EC4A18"/>
    <w:rsid w:val="00EC54A5"/>
    <w:rsid w:val="00EC5EFC"/>
    <w:rsid w:val="00EC63FE"/>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539"/>
    <w:rsid w:val="00EF36F2"/>
    <w:rsid w:val="00EF37C3"/>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9B"/>
    <w:rsid w:val="00F83FF6"/>
    <w:rsid w:val="00F8417C"/>
    <w:rsid w:val="00F84664"/>
    <w:rsid w:val="00F8479D"/>
    <w:rsid w:val="00F85166"/>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75D"/>
    <w:rsid w:val="00FB0A0C"/>
    <w:rsid w:val="00FB2111"/>
    <w:rsid w:val="00FB2906"/>
    <w:rsid w:val="00FB2E43"/>
    <w:rsid w:val="00FB3EAD"/>
    <w:rsid w:val="00FB4180"/>
    <w:rsid w:val="00FB4243"/>
    <w:rsid w:val="00FB4590"/>
    <w:rsid w:val="00FB5275"/>
    <w:rsid w:val="00FB5385"/>
    <w:rsid w:val="00FB5DBA"/>
    <w:rsid w:val="00FB61BB"/>
    <w:rsid w:val="00FB6729"/>
    <w:rsid w:val="00FB745A"/>
    <w:rsid w:val="00FB77E1"/>
    <w:rsid w:val="00FB7E71"/>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18311</TotalTime>
  <Pages>19</Pages>
  <Words>6242</Words>
  <Characters>35582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1148</cp:revision>
  <cp:lastPrinted>2021-02-07T03:58:00Z</cp:lastPrinted>
  <dcterms:created xsi:type="dcterms:W3CDTF">2021-01-28T00:16:00Z</dcterms:created>
  <dcterms:modified xsi:type="dcterms:W3CDTF">2021-02-17T16:27:00Z</dcterms:modified>
</cp:coreProperties>
</file>