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095A8F87"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w:t>
      </w:r>
      <w:r w:rsidR="000F4BED">
        <w:t>u</w:t>
      </w:r>
      <w:r w:rsidR="00EA2394">
        <w:t xml:space="preserve">niversity’s department of Computer Science. </w:t>
      </w:r>
      <w:r w:rsidR="008103D3">
        <w:t>In the first</w:t>
      </w:r>
      <w:r w:rsidR="002F20A9">
        <w:t xml:space="preserve"> proposal</w:t>
      </w:r>
      <w:r w:rsidR="008103D3">
        <w:t xml:space="preserve">, </w:t>
      </w:r>
      <w:r w:rsidR="00556806">
        <w:t xml:space="preserve">the student </w:t>
      </w:r>
      <w:r w:rsidR="002F20A9">
        <w:t xml:space="preserve">would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and </w:t>
      </w:r>
      <w:r w:rsidR="0007564B">
        <w:t xml:space="preserve">that had </w:t>
      </w:r>
      <w:r w:rsidR="00373BBF">
        <w:t xml:space="preserve">resulted </w:t>
      </w:r>
      <w:r w:rsidR="005F712C">
        <w:t xml:space="preserve">in </w:t>
      </w:r>
      <w:r w:rsidR="00373BBF">
        <w:t xml:space="preserve">no small </w:t>
      </w:r>
      <w:r w:rsidR="005F712C">
        <w:t xml:space="preserve">number of </w:t>
      </w:r>
      <w:r w:rsidR="001039D7">
        <w:t xml:space="preserve">kings </w:t>
      </w:r>
      <w:r w:rsidR="005F712C">
        <w:t>and generals losing 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EE7195">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69745237"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p>
    <w:p w14:paraId="305C3E74" w14:textId="40A6E630" w:rsidR="002E0CBC" w:rsidRPr="006A62E0" w:rsidRDefault="002E0CBC" w:rsidP="00836CA5">
      <w:r>
        <w:t xml:space="preserve">A </w:t>
      </w:r>
      <w:r w:rsidR="001F5696">
        <w:t xml:space="preserve">quick </w:t>
      </w:r>
      <w:r>
        <w:t xml:space="preserve">word about notation: </w:t>
      </w:r>
      <w:r w:rsidR="0050039D">
        <w:t>A</w:t>
      </w:r>
      <w:r>
        <w:t xml:space="preserve">s </w:t>
      </w:r>
      <w:r w:rsidR="00511A68">
        <w:t xml:space="preserve">it appears </w:t>
      </w:r>
      <w:r>
        <w:t xml:space="preserve">in the equation </w:t>
      </w:r>
      <w:r w:rsidRPr="002E0CBC">
        <w:rPr>
          <w:i/>
          <w:iCs/>
        </w:rPr>
        <w:t>32 mod 5 = 2</w:t>
      </w:r>
      <w:r w:rsidR="0050039D">
        <w:t xml:space="preserve">, the term </w:t>
      </w:r>
      <w:r w:rsidR="0050039D" w:rsidRPr="0050039D">
        <w:rPr>
          <w:i/>
          <w:iCs/>
        </w:rPr>
        <w:t>mod</w:t>
      </w:r>
      <w:r w:rsidR="0050039D">
        <w:t xml:space="preserve"> </w:t>
      </w:r>
      <w:r>
        <w:t>denotes the modulo operator, which is applied to the operands 32 and 5 to produce the remainder 2. When enclosed in parentheses</w:t>
      </w:r>
      <w:r w:rsidR="00311BA1">
        <w:t xml:space="preserve"> at the end of an equation or identity</w:t>
      </w:r>
      <w:r>
        <w:t>, however</w:t>
      </w:r>
      <w:r w:rsidR="0046283B">
        <w:t xml:space="preserve">—as in the case of the examples in the </w:t>
      </w:r>
      <w:r w:rsidR="0046283B" w:rsidRPr="002E0CBC">
        <w:rPr>
          <w:b/>
          <w:bCs/>
          <w:i/>
          <w:iCs/>
        </w:rPr>
        <w:t>Computations</w:t>
      </w:r>
      <w:r w:rsidR="0046283B">
        <w:t xml:space="preserve"> column of </w:t>
      </w:r>
      <w:r w:rsidR="0046283B" w:rsidRPr="002E0CBC">
        <w:rPr>
          <w:i/>
          <w:iCs/>
        </w:rPr>
        <w:t xml:space="preserve">Figure </w:t>
      </w:r>
      <w:r w:rsidR="0046283B">
        <w:rPr>
          <w:i/>
          <w:iCs/>
        </w:rPr>
        <w:t>3—</w:t>
      </w:r>
      <w:r w:rsidRPr="002E0CBC">
        <w:rPr>
          <w:i/>
          <w:iCs/>
        </w:rPr>
        <w:t>mod</w:t>
      </w:r>
      <w:r>
        <w:t xml:space="preserve"> is understood to apply to both sides of </w:t>
      </w:r>
      <w:r w:rsidR="00085794">
        <w:t xml:space="preserve">the </w:t>
      </w:r>
      <w:r>
        <w:t xml:space="preserve">equation. For example, </w:t>
      </w:r>
      <w:r w:rsidRPr="002E0CBC">
        <w:rPr>
          <w:i/>
          <w:iCs/>
        </w:rPr>
        <w:t>25 = 11 (mod 7)</w:t>
      </w:r>
      <w:r>
        <w:t xml:space="preserve"> </w:t>
      </w:r>
      <w:r w:rsidR="00045C40">
        <w:t xml:space="preserve">means that applying </w:t>
      </w:r>
      <w:r w:rsidR="00045C40" w:rsidRPr="00045C40">
        <w:rPr>
          <w:i/>
          <w:iCs/>
        </w:rPr>
        <w:t>mod 7</w:t>
      </w:r>
      <w:r w:rsidR="00045C40">
        <w:t xml:space="preserve"> to both sides of the equation produces </w:t>
      </w:r>
      <w:r w:rsidR="00533DE8">
        <w:t xml:space="preserve">an identical </w:t>
      </w:r>
      <w:r w:rsidR="00045C40">
        <w:t>result, which in this case is 4</w:t>
      </w:r>
      <w:r w:rsidR="006A62E0">
        <w:t xml:space="preserve">. Equivalently, you could write </w:t>
      </w:r>
      <w:r w:rsidR="006A62E0" w:rsidRPr="006A62E0">
        <w:rPr>
          <w:i/>
          <w:iCs/>
        </w:rPr>
        <w:t>25 = 4 (mod 7)</w:t>
      </w:r>
      <w:r w:rsidR="006A62E0">
        <w:t xml:space="preserve">, since </w:t>
      </w:r>
      <w:r w:rsidR="006A62E0" w:rsidRPr="006A62E0">
        <w:rPr>
          <w:i/>
          <w:iCs/>
        </w:rPr>
        <w:t>11 mod 7</w:t>
      </w:r>
      <w:r w:rsidR="006A62E0">
        <w:t xml:space="preserve"> and </w:t>
      </w:r>
      <w:r w:rsidR="006A62E0" w:rsidRPr="006A62E0">
        <w:rPr>
          <w:i/>
          <w:iCs/>
        </w:rPr>
        <w:t>4 mod 7</w:t>
      </w:r>
      <w:r w:rsidR="006A62E0">
        <w:t xml:space="preserve"> are both equal to 4.</w:t>
      </w:r>
    </w:p>
    <w:p w14:paraId="2E0242E7" w14:textId="47BB7CD2" w:rsidR="00FA1123" w:rsidRDefault="00084AEF" w:rsidP="00836CA5">
      <w:r>
        <w:t xml:space="preserve">If you compare the graphic in </w:t>
      </w:r>
      <w:r w:rsidR="00531006" w:rsidRPr="00531006">
        <w:rPr>
          <w:i/>
          <w:iCs/>
        </w:rPr>
        <w:t>Figure 3</w:t>
      </w:r>
      <w:r w:rsidR="00531006">
        <w:t xml:space="preserve"> </w:t>
      </w:r>
      <w:r w:rsidR="008F644D">
        <w:t>with</w:t>
      </w:r>
      <w:r>
        <w:t xml:space="preserve"> the one </w:t>
      </w:r>
      <w:r w:rsidR="00326672">
        <w:t xml:space="preserve">in </w:t>
      </w:r>
      <w:r w:rsidR="00326672" w:rsidRPr="00326672">
        <w:rPr>
          <w:i/>
          <w:iCs/>
        </w:rPr>
        <w:t>Figure 2</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Figure 3</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lastRenderedPageBreak/>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lastRenderedPageBreak/>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lastRenderedPageBreak/>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w:t>
      </w:r>
      <w:r w:rsidRPr="00FB3AB6">
        <w:rPr>
          <w:b/>
          <w:bCs/>
        </w:rPr>
        <w:t>(1)</w:t>
      </w:r>
      <w:r>
        <w:t xml:space="preserve">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lastRenderedPageBreak/>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proofErr w:type="spellStart"/>
      <w:r w:rsidRPr="002211FC">
        <w:rPr>
          <w:i/>
          <w:iCs/>
        </w:rPr>
        <w:t>M</w:t>
      </w:r>
      <w:proofErr w:type="spellEnd"/>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16F1D6F9" w:rsidR="006472D3" w:rsidRDefault="00A32787" w:rsidP="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p w14:paraId="56D0C215" w14:textId="77777777" w:rsidR="006472D3" w:rsidRDefault="006472D3">
      <w:r>
        <w:br w:type="page"/>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60C126D" w:rsidR="00A32787" w:rsidRDefault="00781075" w:rsidP="00B8616D">
            <w:pPr>
              <w:jc w:val="center"/>
              <w:cnfStyle w:val="000000100000" w:firstRow="0" w:lastRow="0" w:firstColumn="0" w:lastColumn="0" w:oddVBand="0" w:evenVBand="0" w:oddHBand="1" w:evenHBand="0" w:firstRowFirstColumn="0" w:firstRowLastColumn="0" w:lastRowFirstColumn="0" w:lastRowLastColumn="0"/>
            </w:pPr>
            <w:r w:rsidRPr="00781075">
              <w:rPr>
                <w:rFonts w:cstheme="minorHAnsi"/>
                <w:i/>
                <w:iCs/>
              </w:rPr>
              <w:t>φ</w:t>
            </w:r>
            <w:r w:rsidR="00A32787">
              <w:t>(n)</w:t>
            </w:r>
          </w:p>
        </w:tc>
        <w:tc>
          <w:tcPr>
            <w:tcW w:w="4851"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73F8F7E9" w:rsidR="00A32787" w:rsidRDefault="00A753E4" w:rsidP="00B8616D">
            <w:pPr>
              <w:cnfStyle w:val="000000000000" w:firstRow="0" w:lastRow="0" w:firstColumn="0" w:lastColumn="0" w:oddVBand="0" w:evenVBand="0" w:oddHBand="0" w:evenHBand="0" w:firstRowFirstColumn="0" w:firstRowLastColumn="0" w:lastRowFirstColumn="0" w:lastRowLastColumn="0"/>
            </w:pPr>
            <w:r>
              <w:t>GCD</w:t>
            </w:r>
            <w:r w:rsidR="00287EA7">
              <w:t>(</w:t>
            </w:r>
            <w:r w:rsidR="00DD4DF1">
              <w:t>7</w:t>
            </w:r>
            <w:r w:rsidR="00287EA7">
              <w:t xml:space="preserve">, </w:t>
            </w:r>
            <w:r w:rsidR="00DD4DF1">
              <w:t>60</w:t>
            </w:r>
            <w:r w:rsidR="00287EA7">
              <w:t>) = 1</w:t>
            </w:r>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1"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5AA7C43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006D6DC7">
        <w:rPr>
          <w:rFonts w:cstheme="minorHAnsi"/>
          <w:i/>
          <w:iCs/>
        </w:rPr>
        <w:t>φ</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CB78A2">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73BF8361"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6D6DC7">
        <w:rPr>
          <w:rFonts w:cstheme="minorHAnsi"/>
          <w:i/>
          <w:iCs/>
        </w:rPr>
        <w:t>φ</w:t>
      </w:r>
      <w:r w:rsidR="00A32787" w:rsidRPr="00BE4B8B">
        <w:rPr>
          <w:i/>
          <w:iCs/>
        </w:rPr>
        <w: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w:t>
      </w:r>
      <w:proofErr w:type="spellStart"/>
      <w:r w:rsidR="00A32787">
        <w:t xml:space="preserve">to </w:t>
      </w:r>
      <w:r w:rsidR="00A32787" w:rsidRPr="00902C3D">
        <w:rPr>
          <w:i/>
          <w:iCs/>
        </w:rPr>
        <w:t>p</w:t>
      </w:r>
      <w:proofErr w:type="spellEnd"/>
      <w:r w:rsidR="00A32787">
        <w:t>.</w:t>
      </w:r>
    </w:p>
    <w:p w14:paraId="16228A8E" w14:textId="0440C927"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w:t>
      </w:r>
      <w:r>
        <w:lastRenderedPageBreak/>
        <w:t xml:space="preserve">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6D6DC7">
        <w:rPr>
          <w:rFonts w:cstheme="minorHAnsi"/>
          <w:i/>
          <w:iCs/>
        </w:rPr>
        <w:t>φ</w:t>
      </w:r>
      <w:r w:rsidR="003E1E58" w:rsidRPr="003E1E58">
        <w:rPr>
          <w:i/>
          <w:iCs/>
        </w:rPr>
        <w:t>(n)</w:t>
      </w:r>
      <w:r w:rsidR="003E1E58">
        <w:t xml:space="preserve"> = </w:t>
      </w:r>
      <w:r w:rsidR="006D6DC7">
        <w:rPr>
          <w:rFonts w:cstheme="minorHAnsi"/>
          <w:i/>
          <w:iCs/>
        </w:rPr>
        <w:t>φ</w:t>
      </w:r>
      <w:r w:rsidR="00F0375E" w:rsidRPr="00F0375E">
        <w:rPr>
          <w:i/>
          <w:iCs/>
        </w:rPr>
        <w:t xml:space="preserve">(p) </w:t>
      </w:r>
      <w:r w:rsidR="00F0375E" w:rsidRPr="00F0375E">
        <w:t>*</w:t>
      </w:r>
      <w:r w:rsidR="00F0375E" w:rsidRPr="00F0375E">
        <w:rPr>
          <w:i/>
          <w:iCs/>
        </w:rPr>
        <w:t xml:space="preserve"> </w:t>
      </w:r>
      <w:r w:rsidR="006D6DC7">
        <w:rPr>
          <w:rFonts w:cstheme="minorHAnsi"/>
          <w:i/>
          <w:iCs/>
        </w:rPr>
        <w:t>φ</w:t>
      </w:r>
      <w:r w:rsidR="00F0375E" w:rsidRPr="00F0375E">
        <w:rPr>
          <w:i/>
          <w:iCs/>
        </w:rPr>
        <w: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47A6221B" w14:textId="57C8184E"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E800E3">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6D6DC7">
        <w:rPr>
          <w:rFonts w:cstheme="minorHAnsi"/>
          <w:i/>
          <w:iCs/>
        </w:rPr>
        <w:t>φ</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1539825B" w:rsidR="00A32787" w:rsidRPr="00D4751B" w:rsidRDefault="008742B6" w:rsidP="00B8616D">
            <w:pPr>
              <w:cnfStyle w:val="100000000000" w:firstRow="1" w:lastRow="0" w:firstColumn="0" w:lastColumn="0" w:oddVBand="0" w:evenVBand="0" w:oddHBand="0" w:evenHBand="0" w:firstRowFirstColumn="0" w:firstRowLastColumn="0" w:lastRowFirstColumn="0" w:lastRowLastColumn="0"/>
            </w:pPr>
            <w:r>
              <w:t>GCD</w:t>
            </w:r>
            <w:r w:rsidR="00A32787" w:rsidRPr="00D4751B">
              <w:t>(</w:t>
            </w:r>
            <w:r w:rsidR="00A32787">
              <w:t>a</w:t>
            </w:r>
            <w:r w:rsidR="00A32787" w:rsidRPr="00D4751B">
              <w:t>,</w:t>
            </w:r>
            <w:r w:rsidR="00A32787">
              <w:t xml:space="preserve"> </w:t>
            </w:r>
            <w:r w:rsidR="00A32787"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7D5F52EC"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781075">
        <w:rPr>
          <w:rFonts w:cstheme="minorHAnsi"/>
          <w:i/>
          <w:iCs/>
        </w:rPr>
        <w:t>φ</w:t>
      </w:r>
      <w:r w:rsidR="00A37EEA" w:rsidRPr="00A37EEA">
        <w:rPr>
          <w:i/>
          <w:iCs/>
        </w:rPr>
        <w:t>(n)</w:t>
      </w:r>
      <w:r w:rsidR="007E04FA">
        <w:t xml:space="preserve">; that is, it must satisfy the equation </w:t>
      </w:r>
      <w:r w:rsidR="00A753E4">
        <w:rPr>
          <w:i/>
          <w:iCs/>
        </w:rPr>
        <w:t>GCD</w:t>
      </w:r>
      <w:r w:rsidR="007E04FA" w:rsidRPr="007E04FA">
        <w:rPr>
          <w:i/>
          <w:iCs/>
        </w:rPr>
        <w:t xml:space="preserve">(e, </w:t>
      </w:r>
      <w:r w:rsidR="006D6DC7">
        <w:rPr>
          <w:rFonts w:cstheme="minorHAnsi"/>
          <w:i/>
          <w:iCs/>
        </w:rPr>
        <w:t>φ</w:t>
      </w:r>
      <w:r w:rsidR="007E04FA" w:rsidRPr="007E04FA">
        <w:rPr>
          <w:i/>
          <w:iCs/>
        </w:rPr>
        <w:t>(n)) = 1</w:t>
      </w:r>
      <w:r w:rsidR="007E04FA">
        <w:t>.</w:t>
      </w:r>
      <w:r w:rsidR="00F92985">
        <w:t xml:space="preserve"> </w:t>
      </w:r>
      <w:r w:rsidR="00BA5B4E">
        <w:t>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6D6DC7">
        <w:rPr>
          <w:rFonts w:cstheme="minorHAnsi"/>
          <w:i/>
          <w:iCs/>
        </w:rPr>
        <w:t>φ</w:t>
      </w:r>
      <w:r w:rsidR="009B4D42" w:rsidRPr="00277629">
        <w:rPr>
          <w:i/>
          <w:iCs/>
        </w:rPr>
        <w: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447"/>
        <w:gridCol w:w="1890"/>
        <w:gridCol w:w="1980"/>
      </w:tblGrid>
      <w:tr w:rsidR="00A32787" w14:paraId="668BE7BD" w14:textId="77777777" w:rsidTr="0078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447"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243D332E" w:rsidR="00A32787" w:rsidRPr="00DD3835" w:rsidRDefault="00781075" w:rsidP="00B8616D">
            <w:pPr>
              <w:jc w:val="center"/>
              <w:cnfStyle w:val="000000100000" w:firstRow="0" w:lastRow="0" w:firstColumn="0" w:lastColumn="0" w:oddVBand="0" w:evenVBand="0" w:oddHBand="1" w:evenHBand="0" w:firstRowFirstColumn="0" w:firstRowLastColumn="0" w:lastRowFirstColumn="0" w:lastRowLastColumn="0"/>
              <w:rPr>
                <w:b/>
                <w:bCs/>
              </w:rPr>
            </w:pPr>
            <w:r w:rsidRPr="00781075">
              <w:rPr>
                <w:rFonts w:cstheme="minorHAnsi"/>
                <w:b/>
                <w:bCs/>
                <w:i/>
                <w:iCs/>
              </w:rPr>
              <w:t>φ</w:t>
            </w:r>
            <w:r w:rsidR="00A32787" w:rsidRPr="00DD3835">
              <w:rPr>
                <w:b/>
                <w:bCs/>
              </w:rPr>
              <w:t>(n)</w:t>
            </w:r>
          </w:p>
        </w:tc>
        <w:tc>
          <w:tcPr>
            <w:tcW w:w="1447" w:type="dxa"/>
            <w:shd w:val="clear" w:color="auto" w:fill="auto"/>
          </w:tcPr>
          <w:p w14:paraId="0F95337C" w14:textId="0AD7D635" w:rsidR="00A32787" w:rsidRPr="00DD3835" w:rsidRDefault="00070F04"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GCD</w:t>
            </w:r>
            <w:r w:rsidR="00A32787" w:rsidRPr="00DD3835">
              <w:rPr>
                <w:b/>
                <w:bCs/>
              </w:rPr>
              <w:t>(</w:t>
            </w:r>
            <w:r w:rsidR="00F92985">
              <w:rPr>
                <w:b/>
                <w:bCs/>
              </w:rPr>
              <w:t>e</w:t>
            </w:r>
            <w:r w:rsidR="00A32787" w:rsidRPr="00DD3835">
              <w:rPr>
                <w:b/>
                <w:bCs/>
              </w:rPr>
              <w:t xml:space="preserve">, </w:t>
            </w:r>
            <w:r w:rsidR="00781075" w:rsidRPr="00781075">
              <w:rPr>
                <w:rFonts w:cstheme="minorHAnsi"/>
                <w:b/>
                <w:bCs/>
                <w:i/>
                <w:iCs/>
              </w:rPr>
              <w:t>φ</w:t>
            </w:r>
            <w:r w:rsidR="00A32787" w:rsidRPr="00DD3835">
              <w:rPr>
                <w:b/>
                <w:bCs/>
              </w:rPr>
              <w:t>(n))</w:t>
            </w:r>
          </w:p>
        </w:tc>
        <w:tc>
          <w:tcPr>
            <w:tcW w:w="1890" w:type="dxa"/>
            <w:shd w:val="clear" w:color="auto" w:fill="auto"/>
          </w:tcPr>
          <w:p w14:paraId="69E4DCEF" w14:textId="072AE07B"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ed</w:t>
            </w:r>
            <w:r w:rsidR="00A32787" w:rsidRPr="00DD3835">
              <w:rPr>
                <w:b/>
                <w:bCs/>
              </w:rPr>
              <w:t xml:space="preserve"> = 1 </w:t>
            </w:r>
            <w:r w:rsidR="00A71C8F">
              <w:rPr>
                <w:b/>
                <w:bCs/>
              </w:rPr>
              <w:t>(</w:t>
            </w:r>
            <w:r w:rsidR="00A32787" w:rsidRPr="00DD3835">
              <w:rPr>
                <w:b/>
                <w:bCs/>
              </w:rPr>
              <w:t xml:space="preserve">mod </w:t>
            </w:r>
            <w:r w:rsidR="00781075" w:rsidRPr="00781075">
              <w:rPr>
                <w:rFonts w:cstheme="minorHAnsi"/>
                <w:b/>
                <w:bCs/>
                <w:i/>
                <w:iCs/>
              </w:rPr>
              <w:t>φ</w:t>
            </w:r>
            <w:r w:rsidR="00A32787" w:rsidRPr="00DD3835">
              <w:rPr>
                <w:b/>
                <w:bCs/>
              </w:rPr>
              <w:t>(n)</w:t>
            </w:r>
            <w:r w:rsidR="00A71C8F">
              <w:rPr>
                <w:b/>
                <w:bCs/>
              </w:rPr>
              <w:t>)</w:t>
            </w:r>
          </w:p>
        </w:tc>
        <w:tc>
          <w:tcPr>
            <w:tcW w:w="198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447"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890"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198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447"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447"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78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447"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781075">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447"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890"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400D10E7"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 xml:space="preserve">mod </w:t>
      </w:r>
      <w:r w:rsidR="006D6DC7">
        <w:rPr>
          <w:rFonts w:cstheme="minorHAnsi"/>
          <w:i/>
          <w:iCs/>
        </w:rPr>
        <w:t>φ</w:t>
      </w:r>
      <w:r w:rsidR="007E04FA" w:rsidRPr="007E04FA">
        <w:rPr>
          <w:i/>
          <w:iCs/>
        </w:rPr>
        <w: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1376AED2"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00B56B7C">
        <w:rPr>
          <w:rFonts w:cstheme="minorHAnsi"/>
          <w:i/>
          <w:iCs/>
        </w:rPr>
        <w:t>φ</w:t>
      </w:r>
      <w:r>
        <w:rPr>
          <w:i/>
          <w:iCs/>
        </w:rPr>
        <w:t>(n)</w:t>
      </w:r>
      <w:r>
        <w:t xml:space="preserve">. Without </w:t>
      </w:r>
      <w:r w:rsidR="00B56B7C">
        <w:rPr>
          <w:rFonts w:cstheme="minorHAnsi"/>
          <w:i/>
          <w:iCs/>
        </w:rPr>
        <w:t>φ</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E5B0B15" w:rsidR="00A32787" w:rsidRDefault="00A32787" w:rsidP="00A32787">
      <w:r>
        <w:t xml:space="preserve">The reason Eve cannot efficiently compute the totient </w:t>
      </w:r>
      <w:r w:rsidR="00576DE8">
        <w:rPr>
          <w:rFonts w:cstheme="minorHAnsi"/>
          <w:i/>
          <w:iCs/>
        </w:rPr>
        <w:t>φ</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20FCB4B" w:rsidR="00B84BA4" w:rsidRDefault="002404C5" w:rsidP="001A7122">
      <w:pPr>
        <w:pStyle w:val="Heading1"/>
      </w:pPr>
      <w:r>
        <w:t>A</w:t>
      </w:r>
      <w:r w:rsidR="003A5793">
        <w:t>n Informal Proof</w:t>
      </w:r>
    </w:p>
    <w:p w14:paraId="4B64DED9" w14:textId="0A121498"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0351A6">
        <w:rPr>
          <w:rFonts w:cstheme="minorHAnsi"/>
          <w:i/>
          <w:iCs/>
        </w:rPr>
        <w:t>φ</w:t>
      </w:r>
      <w:r w:rsidR="00262D9D" w:rsidRPr="00262D9D">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w:t>
      </w:r>
      <w:proofErr w:type="spellStart"/>
      <w:r w:rsidR="00F10BD9">
        <w:t xml:space="preserve">to </w:t>
      </w:r>
      <w:r w:rsidR="00F10BD9" w:rsidRPr="00F10BD9">
        <w:rPr>
          <w:i/>
          <w:iCs/>
        </w:rPr>
        <w:t>n</w:t>
      </w:r>
      <w:proofErr w:type="spellEnd"/>
      <w:r w:rsidR="001F1B9D">
        <w:t>,</w:t>
      </w:r>
    </w:p>
    <w:p w14:paraId="5EEECC9E" w14:textId="7AF511AF" w:rsidR="00EF2FB9" w:rsidRDefault="001262A7" w:rsidP="00EF2FB9">
      <w:pPr>
        <w:pStyle w:val="ListParagraph"/>
        <w:numPr>
          <w:ilvl w:val="0"/>
          <w:numId w:val="14"/>
        </w:numPr>
        <w:rPr>
          <w:i/>
          <w:iCs/>
        </w:rPr>
      </w:pPr>
      <w:proofErr w:type="spellStart"/>
      <w:r w:rsidRPr="001262A7">
        <w:rPr>
          <w:i/>
          <w:iCs/>
        </w:rPr>
        <w:t>M</w:t>
      </w:r>
      <w:r w:rsidR="00003327" w:rsidRPr="00003327">
        <w:rPr>
          <w:rFonts w:cstheme="minorHAnsi"/>
          <w:i/>
          <w:iCs/>
          <w:vertAlign w:val="superscript"/>
        </w:rPr>
        <w:t>φ</w:t>
      </w:r>
      <w:proofErr w:type="spellEnd"/>
      <w:r w:rsidRPr="001262A7">
        <w:rPr>
          <w:i/>
          <w:iCs/>
          <w:vertAlign w:val="superscript"/>
        </w:rPr>
        <w: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27E318BF" w:rsidR="00385DF4" w:rsidRDefault="00F176CA" w:rsidP="00385DF4">
      <w:pPr>
        <w:pStyle w:val="ListParagraph"/>
        <w:numPr>
          <w:ilvl w:val="0"/>
          <w:numId w:val="14"/>
        </w:numPr>
        <w:rPr>
          <w:i/>
          <w:iCs/>
        </w:rPr>
      </w:pPr>
      <w:proofErr w:type="spellStart"/>
      <w:r w:rsidRPr="001262A7">
        <w:rPr>
          <w:i/>
          <w:iCs/>
        </w:rPr>
        <w:t>M</w:t>
      </w:r>
      <w:r w:rsidRPr="00003327">
        <w:rPr>
          <w:rFonts w:cstheme="minorHAnsi"/>
          <w:i/>
          <w:iCs/>
          <w:vertAlign w:val="superscript"/>
        </w:rPr>
        <w:t>φ</w:t>
      </w:r>
      <w:proofErr w:type="spellEnd"/>
      <w:r w:rsidRPr="001262A7">
        <w:rPr>
          <w:i/>
          <w:iCs/>
          <w:vertAlign w:val="superscript"/>
        </w:rPr>
        <w:t>(n</w:t>
      </w:r>
      <w:r w:rsidR="00385DF4" w:rsidRPr="00385DF4">
        <w:rPr>
          <w:i/>
          <w:iCs/>
          <w:vertAlign w:val="superscript"/>
        </w:rPr>
        <w:t>)</w:t>
      </w:r>
      <w:r w:rsidR="008F4457" w:rsidRPr="00F85955">
        <w:rPr>
          <w:b/>
          <w:bCs/>
          <w:i/>
          <w:iCs/>
        </w:rPr>
        <w:t>*M</w:t>
      </w:r>
      <w:r w:rsidR="008F4457">
        <w:rPr>
          <w:i/>
          <w:iCs/>
        </w:rPr>
        <w:t xml:space="preserve"> </w:t>
      </w:r>
      <w:r w:rsidR="00385DF4" w:rsidRPr="00385DF4">
        <w:rPr>
          <w:i/>
          <w:iCs/>
        </w:rPr>
        <w:t>= 1</w:t>
      </w:r>
      <w:r w:rsidR="008F4457" w:rsidRPr="00F85955">
        <w:rPr>
          <w:b/>
          <w:bCs/>
          <w:i/>
          <w:iCs/>
        </w:rPr>
        <w:t>*M</w:t>
      </w:r>
      <w:r w:rsidR="008F4457">
        <w:rPr>
          <w:i/>
          <w:iCs/>
        </w:rPr>
        <w:t xml:space="preserve"> </w:t>
      </w:r>
      <w:r w:rsidR="00EF255A">
        <w:rPr>
          <w:i/>
          <w:iCs/>
        </w:rPr>
        <w:t>(</w:t>
      </w:r>
      <w:r w:rsidR="00385DF4"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056195AB" w:rsidR="008F4457" w:rsidRDefault="001763B7" w:rsidP="008F4457">
      <w:pPr>
        <w:pStyle w:val="ListParagraph"/>
        <w:numPr>
          <w:ilvl w:val="0"/>
          <w:numId w:val="14"/>
        </w:numPr>
        <w:rPr>
          <w:i/>
          <w:iCs/>
        </w:rPr>
      </w:pPr>
      <w:proofErr w:type="spellStart"/>
      <w:r w:rsidRPr="001262A7">
        <w:rPr>
          <w:i/>
          <w:iCs/>
        </w:rPr>
        <w:t>M</w:t>
      </w:r>
      <w:r w:rsidRPr="00003327">
        <w:rPr>
          <w:rFonts w:cstheme="minorHAnsi"/>
          <w:i/>
          <w:iCs/>
          <w:vertAlign w:val="superscript"/>
        </w:rPr>
        <w:t>φ</w:t>
      </w:r>
      <w:proofErr w:type="spellEnd"/>
      <w:r w:rsidRPr="001262A7">
        <w:rPr>
          <w:i/>
          <w:iCs/>
          <w:vertAlign w:val="superscript"/>
        </w:rPr>
        <w:t>(n</w:t>
      </w:r>
      <w:r w:rsidR="008F4457" w:rsidRPr="008F4457">
        <w:rPr>
          <w:i/>
          <w:iCs/>
          <w:vertAlign w:val="superscript"/>
        </w:rPr>
        <w:t>)+1</w:t>
      </w:r>
      <w:r w:rsidR="008F4457" w:rsidRPr="008F4457">
        <w:rPr>
          <w:i/>
          <w:iCs/>
        </w:rPr>
        <w:t xml:space="preserve"> = M </w:t>
      </w:r>
      <w:r w:rsidR="00EF255A">
        <w:rPr>
          <w:i/>
          <w:iCs/>
        </w:rPr>
        <w:t>(</w:t>
      </w:r>
      <w:r w:rsidR="008F4457" w:rsidRPr="008F4457">
        <w:rPr>
          <w:i/>
          <w:iCs/>
        </w:rPr>
        <w:t>mod n</w:t>
      </w:r>
      <w:r w:rsidR="00EF255A">
        <w:rPr>
          <w:i/>
          <w:iCs/>
        </w:rPr>
        <w:t>)</w:t>
      </w:r>
    </w:p>
    <w:p w14:paraId="3F1A8F35" w14:textId="7429296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proofErr w:type="spellStart"/>
      <w:r w:rsidR="006A5594" w:rsidRPr="001262A7">
        <w:rPr>
          <w:i/>
          <w:iCs/>
        </w:rPr>
        <w:t>M</w:t>
      </w:r>
      <w:r w:rsidR="006A5594" w:rsidRPr="00003327">
        <w:rPr>
          <w:rFonts w:cstheme="minorHAnsi"/>
          <w:i/>
          <w:iCs/>
          <w:vertAlign w:val="superscript"/>
        </w:rPr>
        <w:t>φ</w:t>
      </w:r>
      <w:proofErr w:type="spellEnd"/>
      <w:r w:rsidR="006A5594" w:rsidRPr="001262A7">
        <w:rPr>
          <w:i/>
          <w:iCs/>
          <w:vertAlign w:val="superscript"/>
        </w:rPr>
        <w:t>(n</w:t>
      </w:r>
      <w:r w:rsidR="008152E9" w:rsidRPr="004D47A9">
        <w:rPr>
          <w:i/>
          <w:iCs/>
          <w:vertAlign w:val="superscript"/>
        </w:rPr>
        <w:t>)</w:t>
      </w:r>
      <w:r w:rsidR="008152E9" w:rsidRPr="004D47A9">
        <w:rPr>
          <w:i/>
          <w:iCs/>
        </w:rPr>
        <w:t>*M</w:t>
      </w:r>
      <w:r w:rsidR="008152E9">
        <w:t xml:space="preserve"> </w:t>
      </w:r>
      <w:r w:rsidR="000F0FFE">
        <w:t xml:space="preserve">becomes </w:t>
      </w:r>
      <w:proofErr w:type="spellStart"/>
      <w:r w:rsidR="006A5594" w:rsidRPr="001262A7">
        <w:rPr>
          <w:i/>
          <w:iCs/>
        </w:rPr>
        <w:t>M</w:t>
      </w:r>
      <w:r w:rsidR="006A5594" w:rsidRPr="00003327">
        <w:rPr>
          <w:rFonts w:cstheme="minorHAnsi"/>
          <w:i/>
          <w:iCs/>
          <w:vertAlign w:val="superscript"/>
        </w:rPr>
        <w:t>φ</w:t>
      </w:r>
      <w:proofErr w:type="spellEnd"/>
      <w:r w:rsidR="006A5594" w:rsidRPr="001262A7">
        <w:rPr>
          <w:i/>
          <w:iCs/>
          <w:vertAlign w:val="superscript"/>
        </w:rPr>
        <w:t>(n</w:t>
      </w:r>
      <w:r w:rsidR="00347E29" w:rsidRPr="004D47A9">
        <w:rPr>
          <w:i/>
          <w:iCs/>
          <w:vertAlign w:val="superscript"/>
        </w:rPr>
        <w:t>)</w:t>
      </w:r>
      <w:r w:rsidR="00347E29" w:rsidRPr="001D246B">
        <w:rPr>
          <w:i/>
          <w:iCs/>
          <w:vertAlign w:val="superscript"/>
        </w:rPr>
        <w:t>+1</w:t>
      </w:r>
      <w:r w:rsidR="002D148A">
        <w:t xml:space="preserve">. This is </w:t>
      </w:r>
      <w:r w:rsidR="00347E29">
        <w:t xml:space="preserve">because </w:t>
      </w:r>
      <w:proofErr w:type="spellStart"/>
      <w:r w:rsidR="00781075" w:rsidRPr="001262A7">
        <w:rPr>
          <w:i/>
          <w:iCs/>
        </w:rPr>
        <w:t>M</w:t>
      </w:r>
      <w:r w:rsidR="00781075" w:rsidRPr="00003327">
        <w:rPr>
          <w:rFonts w:cstheme="minorHAnsi"/>
          <w:i/>
          <w:iCs/>
          <w:vertAlign w:val="superscript"/>
        </w:rPr>
        <w:t>φ</w:t>
      </w:r>
      <w:proofErr w:type="spellEnd"/>
      <w:r w:rsidR="00781075" w:rsidRPr="001262A7">
        <w:rPr>
          <w:i/>
          <w:iCs/>
          <w:vertAlign w:val="superscript"/>
        </w:rPr>
        <w:t>(n</w:t>
      </w:r>
      <w:r w:rsidR="00347E29" w:rsidRPr="004D47A9">
        <w:rPr>
          <w:i/>
          <w:iCs/>
          <w:vertAlign w:val="superscript"/>
        </w:rPr>
        <w:t>)</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FE1A847"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A60DB1">
        <w:rPr>
          <w:rFonts w:cstheme="minorHAnsi"/>
          <w:i/>
          <w:iCs/>
        </w:rPr>
        <w:t>φ</w:t>
      </w:r>
      <w:r w:rsidR="00C33C59" w:rsidRPr="00C33C59">
        <w:rPr>
          <w:i/>
          <w:iCs/>
        </w:rPr>
        <w: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w:t>
      </w:r>
      <w:proofErr w:type="spellStart"/>
      <w:r w:rsidR="00D042D8">
        <w:t xml:space="preserve">to </w:t>
      </w:r>
      <w:r w:rsidR="00D042D8" w:rsidRPr="00D042D8">
        <w:rPr>
          <w:i/>
          <w:iCs/>
        </w:rPr>
        <w:t>n</w:t>
      </w:r>
      <w:proofErr w:type="spellEnd"/>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proofErr w:type="spellStart"/>
      <w:r w:rsidR="00DF09B0" w:rsidRPr="00B92567">
        <w:rPr>
          <w:i/>
          <w:iCs/>
        </w:rPr>
        <w:t>p</w:t>
      </w:r>
      <w:r w:rsidR="00DF09B0">
        <w:t>+</w:t>
      </w:r>
      <w:r w:rsidR="00DF09B0" w:rsidRPr="00B92567">
        <w:rPr>
          <w:i/>
          <w:iCs/>
        </w:rPr>
        <w:t>q</w:t>
      </w:r>
      <w:proofErr w:type="spellEnd"/>
      <w:r w:rsidR="00DF09B0">
        <w:t>)/(</w:t>
      </w:r>
      <w:proofErr w:type="spellStart"/>
      <w:r w:rsidR="00DF09B0" w:rsidRPr="00B92567">
        <w:rPr>
          <w:i/>
          <w:iCs/>
        </w:rPr>
        <w:t>pq</w:t>
      </w:r>
      <w:proofErr w:type="spellEnd"/>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6722F886"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A60DB1">
        <w:rPr>
          <w:rFonts w:cstheme="minorHAnsi"/>
          <w:i/>
          <w:iCs/>
        </w:rPr>
        <w:t>φ</w:t>
      </w:r>
      <w:r w:rsidR="00117B70" w:rsidRPr="00117B70">
        <w:rPr>
          <w:i/>
          <w:iCs/>
        </w:rPr>
        <w: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2F8D103F" w:rsidR="0052148C" w:rsidRPr="0052148C" w:rsidRDefault="00A60DB1" w:rsidP="0052148C">
      <w:pPr>
        <w:pStyle w:val="ListParagraph"/>
        <w:numPr>
          <w:ilvl w:val="0"/>
          <w:numId w:val="14"/>
        </w:numPr>
        <w:rPr>
          <w:i/>
          <w:iCs/>
        </w:rPr>
      </w:pPr>
      <w:proofErr w:type="spellStart"/>
      <w:r w:rsidRPr="001262A7">
        <w:rPr>
          <w:i/>
          <w:iCs/>
        </w:rPr>
        <w:t>M</w:t>
      </w:r>
      <w:r w:rsidRPr="00003327">
        <w:rPr>
          <w:rFonts w:cstheme="minorHAnsi"/>
          <w:i/>
          <w:iCs/>
          <w:vertAlign w:val="superscript"/>
        </w:rPr>
        <w:t>φ</w:t>
      </w:r>
      <w:proofErr w:type="spellEnd"/>
      <w:r w:rsidRPr="001262A7">
        <w:rPr>
          <w:i/>
          <w:iCs/>
          <w:vertAlign w:val="superscript"/>
        </w:rPr>
        <w:t>(n</w:t>
      </w:r>
      <w:r w:rsidR="00A83867" w:rsidRPr="008F4AAD">
        <w:rPr>
          <w:i/>
          <w:iCs/>
          <w:vertAlign w:val="superscript"/>
        </w:rPr>
        <w:t>)+1</w:t>
      </w:r>
      <w:r w:rsidR="00A83867">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76DC807" w:rsidR="006D768A" w:rsidRDefault="00861F22" w:rsidP="001C0749">
      <w:r>
        <w:t>I</w:t>
      </w:r>
      <w:r w:rsidR="008B739B">
        <w:t xml:space="preserve">f </w:t>
      </w:r>
      <w:r w:rsidR="002F75B1" w:rsidRPr="002F75B1">
        <w:rPr>
          <w:rFonts w:cstheme="minorHAnsi"/>
          <w:i/>
          <w:iCs/>
        </w:rPr>
        <w:t>φ</w:t>
      </w:r>
      <w:r w:rsidR="008B739B" w:rsidRPr="008B739B">
        <w:rPr>
          <w:i/>
          <w:iCs/>
        </w:rPr>
        <w: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proofErr w:type="spellStart"/>
      <w:r w:rsidR="002F75B1" w:rsidRPr="001262A7">
        <w:rPr>
          <w:i/>
          <w:iCs/>
        </w:rPr>
        <w:t>M</w:t>
      </w:r>
      <w:r w:rsidR="002F75B1" w:rsidRPr="00003327">
        <w:rPr>
          <w:rFonts w:cstheme="minorHAnsi"/>
          <w:i/>
          <w:iCs/>
          <w:vertAlign w:val="superscript"/>
        </w:rPr>
        <w:t>φ</w:t>
      </w:r>
      <w:proofErr w:type="spellEnd"/>
      <w:r w:rsidR="002F75B1" w:rsidRPr="001262A7">
        <w:rPr>
          <w:i/>
          <w:iCs/>
          <w:vertAlign w:val="superscript"/>
        </w:rPr>
        <w:t>(n</w:t>
      </w:r>
      <w:r w:rsidR="008B739B" w:rsidRPr="008B739B">
        <w:rPr>
          <w:i/>
          <w:iCs/>
          <w:vertAlign w:val="superscript"/>
        </w:rPr>
        <w:t>)+1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77A6DEF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F54202">
        <w:rPr>
          <w:rFonts w:cstheme="minorHAnsi"/>
          <w:i/>
          <w:iCs/>
        </w:rPr>
        <w:t>φ</w:t>
      </w:r>
      <w:r w:rsidR="002B3324" w:rsidRPr="002B3324">
        <w:rPr>
          <w:i/>
          <w:iCs/>
        </w:rPr>
        <w: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F54202">
        <w:rPr>
          <w:rFonts w:cstheme="minorHAnsi"/>
          <w:i/>
          <w:iCs/>
        </w:rPr>
        <w:t>φ</w:t>
      </w:r>
      <w:r w:rsidR="002B3324" w:rsidRPr="002B3324">
        <w:rPr>
          <w:i/>
          <w:iCs/>
        </w:rPr>
        <w:t>(n)</w:t>
      </w:r>
      <w:r w:rsidR="002B3324">
        <w:t xml:space="preserve"> that is relatively prime to </w:t>
      </w:r>
      <w:r w:rsidR="00F54202">
        <w:rPr>
          <w:rFonts w:cstheme="minorHAnsi"/>
          <w:i/>
          <w:iCs/>
        </w:rPr>
        <w:t>φ</w:t>
      </w:r>
      <w:r w:rsidR="002B3324" w:rsidRPr="002B3324">
        <w:rPr>
          <w:i/>
          <w:iCs/>
        </w:rPr>
        <w:t>(n)</w:t>
      </w:r>
      <w:r w:rsidR="00197465">
        <w:t>,</w:t>
      </w:r>
      <w:r w:rsidR="0003131A">
        <w:t xml:space="preserve"> a</w:t>
      </w:r>
      <w:r w:rsidR="002B3324">
        <w:t xml:space="preserve">nd </w:t>
      </w:r>
      <w:proofErr w:type="spellStart"/>
      <w:r w:rsidR="00BE4D2A">
        <w:t xml:space="preserve">for </w:t>
      </w:r>
      <w:r w:rsidR="00BE4D2A" w:rsidRPr="00BE4D2A">
        <w:rPr>
          <w:i/>
          <w:iCs/>
        </w:rPr>
        <w:t>d</w:t>
      </w:r>
      <w:proofErr w:type="spellEnd"/>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proofErr w:type="spellStart"/>
      <w:r w:rsidR="002328EF">
        <w:t>For</w:t>
      </w:r>
      <w:r w:rsidR="00197465">
        <w:t xml:space="preserve"> </w:t>
      </w:r>
      <w:r w:rsidR="00197465" w:rsidRPr="00197465">
        <w:rPr>
          <w:i/>
          <w:iCs/>
        </w:rPr>
        <w:t>d</w:t>
      </w:r>
      <w:proofErr w:type="spellEnd"/>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proofErr w:type="spellStart"/>
      <w:r w:rsidR="002F4CCC">
        <w:t xml:space="preserve">for </w:t>
      </w:r>
      <w:r w:rsidR="002F4CCC" w:rsidRPr="002F4CCC">
        <w:rPr>
          <w:i/>
          <w:iCs/>
        </w:rPr>
        <w:t>d</w:t>
      </w:r>
      <w:proofErr w:type="spellEnd"/>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75424368"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 xml:space="preserve">mod </w:t>
      </w:r>
      <w:r w:rsidR="00F54202">
        <w:rPr>
          <w:rFonts w:cstheme="minorHAnsi"/>
          <w:i/>
          <w:iCs/>
        </w:rPr>
        <w:t>φ</w:t>
      </w:r>
      <w:r w:rsidRPr="00197465">
        <w:rPr>
          <w:i/>
          <w:iCs/>
        </w:rPr>
        <w: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62CA08BE"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7.</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57BB230C" w:rsidR="00EB5ACF" w:rsidRDefault="00CE7DAB" w:rsidP="00F4051B">
      <w:r>
        <w:t xml:space="preserve">One reason </w:t>
      </w:r>
      <w:r w:rsidR="00CF7E3A">
        <w:t xml:space="preserve">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w:t>
      </w:r>
      <w:r>
        <w:t xml:space="preserve">Another reason is that message lengths must not exceed the size of the RSA modulus, thus adding even more </w:t>
      </w:r>
      <w:r w:rsidR="00270B83">
        <w:t xml:space="preserve">computational </w:t>
      </w:r>
      <w:r>
        <w:t xml:space="preserve">overhead to </w:t>
      </w:r>
      <w:r w:rsidR="006461D3">
        <w:t xml:space="preserve">segment larger </w:t>
      </w:r>
      <w:r w:rsidR="00270B83">
        <w:t xml:space="preserve">messages into modulus-sized </w:t>
      </w:r>
      <w:r w:rsidR="00C136EE">
        <w:t>chunks</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4CBB524F" w:rsidR="00C21291" w:rsidRDefault="008002D2" w:rsidP="00C21291">
      <w:r>
        <w:t>A practical consequence of this difference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76DEAF6C"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A92140">
        <w:t xml:space="preserve">encrypted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symmetric key </w:t>
      </w:r>
      <w:r w:rsidR="007073B3">
        <w:t xml:space="preserve">Alice encrypted with Bob’s public </w:t>
      </w:r>
      <w:r w:rsidR="00FD58C6">
        <w:t xml:space="preserve">key </w:t>
      </w:r>
      <w:r w:rsidR="00144C7B">
        <w:t>(</w:t>
      </w:r>
      <w:r w:rsidR="00D32C87">
        <w:t>as</w:t>
      </w:r>
      <w:r w:rsidR="00487922">
        <w:t xml:space="preserve"> in </w:t>
      </w:r>
      <w:r w:rsidR="003B148D">
        <w:t>the</w:t>
      </w:r>
      <w:r w:rsidR="00A631BC">
        <w:t xml:space="preserve"> </w:t>
      </w:r>
      <w:r w:rsidR="00487922">
        <w:t>hybrid scheme</w:t>
      </w:r>
      <w:r w:rsidR="003B148D">
        <w:t xml:space="preserve"> described</w:t>
      </w:r>
      <w:r w:rsidR="00BA09EF">
        <w:t xml:space="preserve"> in the previous section</w:t>
      </w:r>
      <w:r w:rsidR="00144C7B">
        <w:t>)</w:t>
      </w:r>
      <w:r w:rsidR="00F3331F">
        <w:t>.</w:t>
      </w:r>
      <w:r w:rsidR="0089333C">
        <w:t xml:space="preserve"> </w:t>
      </w:r>
      <w:r w:rsidR="00B63D4E">
        <w:t>And o</w:t>
      </w:r>
      <w:r w:rsidR="00C21291">
        <w:t xml:space="preserve">nce Eve has </w:t>
      </w:r>
      <w:r w:rsidR="0067043C">
        <w:t xml:space="preserve">decrypted </w:t>
      </w:r>
      <w:r w:rsidR="00C21291">
        <w:t>the symmetric keys</w:t>
      </w:r>
      <w:r w:rsidR="001A20D9">
        <w:t>,</w:t>
      </w:r>
      <w:r w:rsidR="00C21291">
        <w:t xml:space="preserve"> she can decrypt </w:t>
      </w:r>
      <w:r w:rsidR="004B3C7E">
        <w:t xml:space="preserve">all </w:t>
      </w:r>
      <w:r w:rsidR="00F3331F">
        <w:t>the message</w:t>
      </w:r>
      <w:r w:rsidR="00A040D0">
        <w:t>s</w:t>
      </w:r>
      <w:r w:rsidR="00BC7E04">
        <w:t xml:space="preserve"> </w:t>
      </w:r>
      <w:r w:rsidR="00EB2028">
        <w:t xml:space="preserve">she stored </w:t>
      </w:r>
      <w:r w:rsidR="00A040D0">
        <w:t>as well.</w:t>
      </w:r>
    </w:p>
    <w:p w14:paraId="4CB3F07E" w14:textId="7F8EC209" w:rsidR="0004435B" w:rsidRDefault="00C21291" w:rsidP="00C21291">
      <w:r>
        <w:lastRenderedPageBreak/>
        <w:t xml:space="preserve">The loss of perfect forward secrecy is not confined to </w:t>
      </w:r>
      <w:r w:rsidR="006E4E75">
        <w:t>h</w:t>
      </w:r>
      <w:r w:rsidR="00CE7074">
        <w:t xml:space="preserve">ybrid </w:t>
      </w:r>
      <w:r w:rsidR="0078605D">
        <w:t xml:space="preserve">encryption </w:t>
      </w:r>
      <w:r w:rsidR="00CE7074">
        <w:t>schemes</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5B4F6977"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sent, and these keys used to negotiate </w:t>
      </w:r>
      <w:r w:rsidR="00B748D6">
        <w:t xml:space="preserve">a </w:t>
      </w:r>
      <w:r w:rsidR="0052701B">
        <w:t xml:space="preserve">fresh </w:t>
      </w:r>
      <w:r w:rsidR="00C21291">
        <w:t>symmetric key</w:t>
      </w:r>
      <w:r w:rsidR="00A8588E">
        <w:t xml:space="preserve"> to</w:t>
      </w:r>
      <w:r w:rsidR="00C21291">
        <w:t xml:space="preserve"> encrypt and decrypt </w:t>
      </w:r>
      <w:r w:rsidR="005F63E2">
        <w:t xml:space="preserve">that 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EA47EE">
        <w:t>I</w:t>
      </w:r>
      <w:r w:rsidR="00C21291">
        <w:t xml:space="preserve">t is </w:t>
      </w:r>
      <w:r w:rsidR="00EA47EE">
        <w:t xml:space="preserve">now </w:t>
      </w:r>
      <w:r w:rsidR="00C21291">
        <w:t xml:space="preserve">scarcely worth </w:t>
      </w:r>
      <w:r w:rsidR="007B28B8">
        <w:t>an</w:t>
      </w:r>
      <w:r w:rsidR="006A3668">
        <w:t xml:space="preserve"> </w:t>
      </w:r>
      <w:r w:rsidR="00C21291">
        <w:t xml:space="preserve">attacker’s effort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6D2BB8">
        <w:t xml:space="preserve">that </w:t>
      </w:r>
      <w:r w:rsidR="005771DE">
        <w:t xml:space="preserve">is used to encrypt </w:t>
      </w:r>
      <w:r w:rsidR="007B28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7"/>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lastRenderedPageBreak/>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w:t>
      </w:r>
      <w:r w:rsidR="00235D72">
        <w:lastRenderedPageBreak/>
        <w:t xml:space="preserve">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9"/>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w:t>
      </w:r>
      <w:proofErr w:type="spellStart"/>
      <w:r w:rsidRPr="0096731A">
        <w:rPr>
          <w:i/>
          <w:iCs/>
          <w:vertAlign w:val="superscript"/>
        </w:rPr>
        <w:t>dA</w:t>
      </w:r>
      <w:proofErr w:type="spellEnd"/>
      <w:r w:rsidRPr="0096731A">
        <w:rPr>
          <w:i/>
          <w:iCs/>
        </w:rPr>
        <w:t xml:space="preserve"> -&gt; </w:t>
      </w:r>
      <w:bookmarkStart w:id="0" w:name="_Hlk62927692"/>
      <w:proofErr w:type="spellStart"/>
      <w:r w:rsidRPr="0096731A">
        <w:rPr>
          <w:i/>
          <w:iCs/>
        </w:rPr>
        <w:t>M</w:t>
      </w:r>
      <w:r w:rsidRPr="0096731A">
        <w:rPr>
          <w:i/>
          <w:iCs/>
          <w:vertAlign w:val="superscript"/>
        </w:rPr>
        <w:t>dB</w:t>
      </w:r>
      <w:bookmarkEnd w:id="0"/>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5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lastRenderedPageBreak/>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2"/>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xml:space="preserve">, which is published and widely </w:t>
      </w:r>
      <w:r w:rsidR="00AD4728">
        <w:lastRenderedPageBreak/>
        <w:t>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5"/>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6"/>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7"/>
      </w:r>
    </w:p>
    <w:p w14:paraId="176461F3" w14:textId="5BF5EBF2"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11B2" w14:textId="77777777" w:rsidR="00177FBA" w:rsidRDefault="00177FBA" w:rsidP="0090426E">
      <w:pPr>
        <w:spacing w:after="0" w:line="240" w:lineRule="auto"/>
      </w:pPr>
      <w:r>
        <w:separator/>
      </w:r>
    </w:p>
  </w:endnote>
  <w:endnote w:type="continuationSeparator" w:id="0">
    <w:p w14:paraId="053CD050" w14:textId="77777777" w:rsidR="00177FBA" w:rsidRDefault="00177FBA"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2B7B" w14:textId="77777777" w:rsidR="00177FBA" w:rsidRDefault="00177FBA" w:rsidP="0090426E">
      <w:pPr>
        <w:spacing w:after="0" w:line="240" w:lineRule="auto"/>
      </w:pPr>
      <w:r>
        <w:separator/>
      </w:r>
    </w:p>
  </w:footnote>
  <w:footnote w:type="continuationSeparator" w:id="0">
    <w:p w14:paraId="30E9E83A" w14:textId="77777777" w:rsidR="00177FBA" w:rsidRDefault="00177FBA"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4FC8772E" w:rsidR="00E677AC" w:rsidRDefault="00E677AC">
      <w:pPr>
        <w:pStyle w:val="FootnoteText"/>
      </w:pPr>
      <w:r>
        <w:rPr>
          <w:rStyle w:val="FootnoteReference"/>
        </w:rPr>
        <w:footnoteRef/>
      </w:r>
      <w:r>
        <w:t xml:space="preserve"> </w:t>
      </w:r>
      <w:r w:rsidR="00BB3297">
        <w:t xml:space="preserve">Indeed, </w:t>
      </w:r>
      <w:r w:rsidR="00871581">
        <w:t>th</w:t>
      </w:r>
      <w:r w:rsidR="00FB5171">
        <w:t>is</w:t>
      </w:r>
      <w:r w:rsidR="00871581">
        <w:t xml:space="preserve"> </w:t>
      </w:r>
      <w:r w:rsidR="00B94580" w:rsidRPr="00871581">
        <w:rPr>
          <w:i/>
          <w:iCs/>
        </w:rPr>
        <w:t>chicken-and-egg</w:t>
      </w:r>
      <w:r w:rsidR="00B94580">
        <w:t xml:space="preserve"> </w:t>
      </w:r>
      <w:r w:rsidR="00871581">
        <w:t xml:space="preserve">dilemma </w:t>
      </w:r>
      <w:r w:rsidR="00561351">
        <w:t>is</w:t>
      </w:r>
      <w:r w:rsidR="00D84622">
        <w:t xml:space="preserve"> </w:t>
      </w:r>
      <w:r w:rsidR="00146825">
        <w:t xml:space="preserve">precisely </w:t>
      </w:r>
      <w:r w:rsidR="00DD02DC">
        <w:t xml:space="preserve">what </w:t>
      </w:r>
      <w:r w:rsidR="00D84622">
        <w:t>Merkle</w:t>
      </w:r>
      <w:r w:rsidR="007A791C">
        <w:t>’s</w:t>
      </w:r>
      <w:r w:rsidR="0051520E">
        <w:t xml:space="preserve"> </w:t>
      </w:r>
      <w:r w:rsidR="007A791C">
        <w:t xml:space="preserve">paper </w:t>
      </w:r>
      <w:r w:rsidR="00A00BA1">
        <w:t>aimed</w:t>
      </w:r>
      <w:r w:rsidR="007A791C">
        <w:t xml:space="preserve"> </w:t>
      </w:r>
      <w:r w:rsidR="0051520E">
        <w:t>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proofErr w:type="spellStart"/>
      <w:r w:rsidRPr="008448E4">
        <w:rPr>
          <w:i/>
          <w:iCs/>
        </w:rPr>
        <w:t>M</w:t>
      </w:r>
      <w:r w:rsidRPr="008448E4">
        <w:rPr>
          <w:i/>
          <w:iCs/>
          <w:vertAlign w:val="superscript"/>
        </w:rPr>
        <w:t>de</w:t>
      </w:r>
      <w:proofErr w:type="spellEnd"/>
      <w:r>
        <w:t>—</w:t>
      </w:r>
      <w:r w:rsidR="00595AE9">
        <w:t xml:space="preserve">does </w:t>
      </w:r>
      <w:r w:rsidR="00931554">
        <w:t>no</w:t>
      </w:r>
      <w:r w:rsidR="00595AE9">
        <w:t>t</w:t>
      </w:r>
      <w:r w:rsidR="00931554">
        <w:t xml:space="preserve"> </w:t>
      </w:r>
      <w:r w:rsidR="00595AE9">
        <w:t>a</w:t>
      </w:r>
      <w:r>
        <w:t>ffect the results.</w:t>
      </w:r>
    </w:p>
  </w:footnote>
  <w:footnote w:id="31">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2">
    <w:p w14:paraId="2BF6D29A" w14:textId="736E6FE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1E2CDD13" w:rsidR="00E677AC" w:rsidRDefault="00E677AC">
      <w:pPr>
        <w:pStyle w:val="FootnoteText"/>
      </w:pPr>
      <w:r>
        <w:rPr>
          <w:rStyle w:val="FootnoteReference"/>
        </w:rPr>
        <w:footnoteRef/>
      </w:r>
      <w:r>
        <w:t xml:space="preserve"> For example, the </w:t>
      </w:r>
      <w:r w:rsidR="00713794">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r w:rsidR="009B6AAB">
        <w:t>GCD</w:t>
      </w:r>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1D25EE2D"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C597B04"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proofErr w:type="spellStart"/>
      <w:r w:rsidRPr="000875B4">
        <w:rPr>
          <w:i/>
          <w:iCs/>
        </w:rPr>
        <w:t>M</w:t>
      </w:r>
      <w:r w:rsidR="009D59EC" w:rsidRPr="009D59EC">
        <w:rPr>
          <w:rFonts w:cstheme="minorHAnsi"/>
          <w:i/>
          <w:iCs/>
          <w:vertAlign w:val="superscript"/>
        </w:rPr>
        <w:t>φ</w:t>
      </w:r>
      <w:proofErr w:type="spellEnd"/>
      <w:r w:rsidRPr="000875B4">
        <w:rPr>
          <w:i/>
          <w:iCs/>
          <w:vertAlign w:val="superscript"/>
        </w:rPr>
        <w: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42AFA79C"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00FC453E">
        <w:rPr>
          <w:rFonts w:cstheme="minorHAnsi"/>
          <w:i/>
          <w:iCs/>
        </w:rPr>
        <w:t>φ</w:t>
      </w:r>
      <w:r w:rsidRPr="007A32BC">
        <w:rPr>
          <w:i/>
          <w:iCs/>
        </w:rPr>
        <w:t xml:space="preserve">(n) = </w:t>
      </w:r>
      <w:r w:rsidR="00126DDA">
        <w:rPr>
          <w:rFonts w:cstheme="minorHAnsi"/>
          <w:i/>
          <w:iCs/>
        </w:rPr>
        <w:t>φ</w:t>
      </w:r>
      <w:r w:rsidRPr="007A32BC">
        <w:rPr>
          <w:i/>
          <w:iCs/>
        </w:rPr>
        <w:t>(p)*</w:t>
      </w:r>
      <w:r w:rsidR="00126DDA">
        <w:rPr>
          <w:rFonts w:cstheme="minorHAnsi"/>
          <w:i/>
          <w:iCs/>
        </w:rPr>
        <w:t>φ</w:t>
      </w:r>
      <w:r w:rsidRPr="007A32BC">
        <w:rPr>
          <w:i/>
          <w:iCs/>
        </w:rPr>
        <w: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5603CC3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w:t>
      </w:r>
      <w:r w:rsidR="00781075">
        <w:rPr>
          <w:rFonts w:cstheme="minorHAnsi"/>
          <w:i/>
          <w:iCs/>
        </w:rPr>
        <w:t>φ</w:t>
      </w:r>
      <w:r w:rsidRPr="00FF7519">
        <w:rPr>
          <w:i/>
          <w:iCs/>
        </w:rPr>
        <w: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w:t>
      </w:r>
      <w:r w:rsidR="00781075">
        <w:rPr>
          <w:rFonts w:cstheme="minorHAnsi"/>
          <w:i/>
          <w:iCs/>
        </w:rPr>
        <w:t>φ</w:t>
      </w:r>
      <w:r w:rsidRPr="009E4EE0">
        <w:rPr>
          <w:i/>
          <w:iCs/>
        </w:rPr>
        <w: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00781075">
        <w:rPr>
          <w:rFonts w:cstheme="minorHAnsi"/>
          <w:i/>
          <w:iCs/>
        </w:rPr>
        <w:t>φ</w:t>
      </w:r>
      <w:r w:rsidRPr="000A52DB">
        <w:rPr>
          <w:i/>
          <w:iCs/>
        </w:rPr>
        <w: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46">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47">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8">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9">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0">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1">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52">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3">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4">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5">
    <w:p w14:paraId="1936FB2A" w14:textId="0877B2CD" w:rsidR="00E677AC" w:rsidRDefault="00E677AC">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56">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7">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27"/>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9B8"/>
    <w:rsid w:val="00032E75"/>
    <w:rsid w:val="00032F14"/>
    <w:rsid w:val="00032F51"/>
    <w:rsid w:val="00033030"/>
    <w:rsid w:val="00033E3B"/>
    <w:rsid w:val="00033E4B"/>
    <w:rsid w:val="0003411D"/>
    <w:rsid w:val="000342E9"/>
    <w:rsid w:val="00034713"/>
    <w:rsid w:val="000349DC"/>
    <w:rsid w:val="000351A6"/>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C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1D2"/>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0F04"/>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64B"/>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8EF"/>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2CE"/>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07CE8"/>
    <w:rsid w:val="0011079F"/>
    <w:rsid w:val="001107C9"/>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381"/>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DF8"/>
    <w:rsid w:val="00153F4E"/>
    <w:rsid w:val="001545F4"/>
    <w:rsid w:val="00154B54"/>
    <w:rsid w:val="00154FC7"/>
    <w:rsid w:val="00155194"/>
    <w:rsid w:val="001556E9"/>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ADB"/>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3B7"/>
    <w:rsid w:val="00176E3E"/>
    <w:rsid w:val="0017728E"/>
    <w:rsid w:val="00177768"/>
    <w:rsid w:val="00177E3A"/>
    <w:rsid w:val="00177F6E"/>
    <w:rsid w:val="00177FBA"/>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0E"/>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696"/>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A5E"/>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023"/>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171C"/>
    <w:rsid w:val="00262145"/>
    <w:rsid w:val="00262339"/>
    <w:rsid w:val="0026261D"/>
    <w:rsid w:val="00262750"/>
    <w:rsid w:val="00262D9D"/>
    <w:rsid w:val="00262E92"/>
    <w:rsid w:val="00263526"/>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2B6"/>
    <w:rsid w:val="0026542A"/>
    <w:rsid w:val="00265521"/>
    <w:rsid w:val="00265EB4"/>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9F5"/>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CBC"/>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AC3"/>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A9"/>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5B1"/>
    <w:rsid w:val="002F76EB"/>
    <w:rsid w:val="002F778C"/>
    <w:rsid w:val="002F78EA"/>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C36"/>
    <w:rsid w:val="00372DBD"/>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02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11A"/>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6DEB"/>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70E"/>
    <w:rsid w:val="003F38E8"/>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477"/>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756"/>
    <w:rsid w:val="0046283B"/>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C28"/>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39D"/>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07E16"/>
    <w:rsid w:val="005100D0"/>
    <w:rsid w:val="00510463"/>
    <w:rsid w:val="005104FB"/>
    <w:rsid w:val="00510B6F"/>
    <w:rsid w:val="00510C58"/>
    <w:rsid w:val="00510E14"/>
    <w:rsid w:val="00510F89"/>
    <w:rsid w:val="00511374"/>
    <w:rsid w:val="005114D0"/>
    <w:rsid w:val="00511780"/>
    <w:rsid w:val="00511946"/>
    <w:rsid w:val="00511A68"/>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01B"/>
    <w:rsid w:val="00527773"/>
    <w:rsid w:val="00531006"/>
    <w:rsid w:val="005321DA"/>
    <w:rsid w:val="00532493"/>
    <w:rsid w:val="00532724"/>
    <w:rsid w:val="00533108"/>
    <w:rsid w:val="005332D9"/>
    <w:rsid w:val="0053377E"/>
    <w:rsid w:val="0053393F"/>
    <w:rsid w:val="00533AE8"/>
    <w:rsid w:val="00533D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06"/>
    <w:rsid w:val="00556897"/>
    <w:rsid w:val="00556E6E"/>
    <w:rsid w:val="00556E92"/>
    <w:rsid w:val="00556EDE"/>
    <w:rsid w:val="00556F07"/>
    <w:rsid w:val="005572A0"/>
    <w:rsid w:val="005577AA"/>
    <w:rsid w:val="0056008E"/>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C6D"/>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3E2"/>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7E6"/>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42"/>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1D3"/>
    <w:rsid w:val="006465CB"/>
    <w:rsid w:val="00646778"/>
    <w:rsid w:val="00646970"/>
    <w:rsid w:val="00646B0A"/>
    <w:rsid w:val="00646CF7"/>
    <w:rsid w:val="00646F68"/>
    <w:rsid w:val="00647089"/>
    <w:rsid w:val="00647127"/>
    <w:rsid w:val="00647228"/>
    <w:rsid w:val="006472D3"/>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B9A"/>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303B"/>
    <w:rsid w:val="00673168"/>
    <w:rsid w:val="00673734"/>
    <w:rsid w:val="006738CA"/>
    <w:rsid w:val="00674221"/>
    <w:rsid w:val="00674E3A"/>
    <w:rsid w:val="00675046"/>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95F"/>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594"/>
    <w:rsid w:val="006A5FC0"/>
    <w:rsid w:val="006A62E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A5F"/>
    <w:rsid w:val="006D5B4F"/>
    <w:rsid w:val="006D5BF5"/>
    <w:rsid w:val="006D5D0D"/>
    <w:rsid w:val="006D6357"/>
    <w:rsid w:val="006D67C8"/>
    <w:rsid w:val="006D6A89"/>
    <w:rsid w:val="006D6D60"/>
    <w:rsid w:val="006D6DC7"/>
    <w:rsid w:val="006D768A"/>
    <w:rsid w:val="006D7890"/>
    <w:rsid w:val="006D79C3"/>
    <w:rsid w:val="006D7A8A"/>
    <w:rsid w:val="006D7AAA"/>
    <w:rsid w:val="006D7F90"/>
    <w:rsid w:val="006E011A"/>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6F2F"/>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10F"/>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3B3"/>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72"/>
    <w:rsid w:val="007131DB"/>
    <w:rsid w:val="0071361D"/>
    <w:rsid w:val="00713765"/>
    <w:rsid w:val="00713794"/>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B0"/>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509"/>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CF5"/>
    <w:rsid w:val="00771DF1"/>
    <w:rsid w:val="00771F51"/>
    <w:rsid w:val="00772712"/>
    <w:rsid w:val="00772A26"/>
    <w:rsid w:val="00772F5D"/>
    <w:rsid w:val="00773338"/>
    <w:rsid w:val="0077384C"/>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2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91C"/>
    <w:rsid w:val="007A7B4D"/>
    <w:rsid w:val="007A7F09"/>
    <w:rsid w:val="007B01F2"/>
    <w:rsid w:val="007B02A4"/>
    <w:rsid w:val="007B0476"/>
    <w:rsid w:val="007B09AE"/>
    <w:rsid w:val="007B0E68"/>
    <w:rsid w:val="007B0E96"/>
    <w:rsid w:val="007B1270"/>
    <w:rsid w:val="007B1393"/>
    <w:rsid w:val="007B13B9"/>
    <w:rsid w:val="007B2087"/>
    <w:rsid w:val="007B20A9"/>
    <w:rsid w:val="007B28B8"/>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230"/>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3D3"/>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2558"/>
    <w:rsid w:val="008726C7"/>
    <w:rsid w:val="00872A3C"/>
    <w:rsid w:val="0087359A"/>
    <w:rsid w:val="008738C6"/>
    <w:rsid w:val="0087391A"/>
    <w:rsid w:val="008742B6"/>
    <w:rsid w:val="008742CE"/>
    <w:rsid w:val="00874396"/>
    <w:rsid w:val="00874FA5"/>
    <w:rsid w:val="0087540F"/>
    <w:rsid w:val="0087541D"/>
    <w:rsid w:val="008758DD"/>
    <w:rsid w:val="008759A3"/>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865"/>
    <w:rsid w:val="008B6E85"/>
    <w:rsid w:val="008B704D"/>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3F83"/>
    <w:rsid w:val="008F4457"/>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08BF"/>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85"/>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AAB"/>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9EC"/>
    <w:rsid w:val="009D5B73"/>
    <w:rsid w:val="009D5DC5"/>
    <w:rsid w:val="009D6673"/>
    <w:rsid w:val="009D6DC3"/>
    <w:rsid w:val="009D7428"/>
    <w:rsid w:val="009D77E1"/>
    <w:rsid w:val="009D78C2"/>
    <w:rsid w:val="009D79DB"/>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404"/>
    <w:rsid w:val="009F6860"/>
    <w:rsid w:val="009F6A6E"/>
    <w:rsid w:val="009F6F8A"/>
    <w:rsid w:val="009F71FB"/>
    <w:rsid w:val="009F77ED"/>
    <w:rsid w:val="009F7BC9"/>
    <w:rsid w:val="009F7CB7"/>
    <w:rsid w:val="00A00021"/>
    <w:rsid w:val="00A00854"/>
    <w:rsid w:val="00A00888"/>
    <w:rsid w:val="00A0098D"/>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1EE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0DB1"/>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88E"/>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140"/>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A52"/>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73B"/>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728"/>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0F5D"/>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09C"/>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1D30"/>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6B7C"/>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3D4E"/>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4B9"/>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294B"/>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580"/>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AB7"/>
    <w:rsid w:val="00BA0F60"/>
    <w:rsid w:val="00BA14B0"/>
    <w:rsid w:val="00BA16C0"/>
    <w:rsid w:val="00BA174A"/>
    <w:rsid w:val="00BA1990"/>
    <w:rsid w:val="00BA1EC8"/>
    <w:rsid w:val="00BA2191"/>
    <w:rsid w:val="00BA2580"/>
    <w:rsid w:val="00BA27F9"/>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743"/>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778"/>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2E2C"/>
    <w:rsid w:val="00C03362"/>
    <w:rsid w:val="00C03A3B"/>
    <w:rsid w:val="00C03ACF"/>
    <w:rsid w:val="00C03ADA"/>
    <w:rsid w:val="00C03B75"/>
    <w:rsid w:val="00C03F27"/>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6EE"/>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ECA"/>
    <w:rsid w:val="00CB7FCE"/>
    <w:rsid w:val="00CC030B"/>
    <w:rsid w:val="00CC04F6"/>
    <w:rsid w:val="00CC0CEB"/>
    <w:rsid w:val="00CC0DFD"/>
    <w:rsid w:val="00CC0FC8"/>
    <w:rsid w:val="00CC1043"/>
    <w:rsid w:val="00CC1156"/>
    <w:rsid w:val="00CC121C"/>
    <w:rsid w:val="00CC13AC"/>
    <w:rsid w:val="00CC2455"/>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0C8"/>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4DF"/>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2DC"/>
    <w:rsid w:val="00DD049D"/>
    <w:rsid w:val="00DD04CD"/>
    <w:rsid w:val="00DD1479"/>
    <w:rsid w:val="00DD1C86"/>
    <w:rsid w:val="00DD24F4"/>
    <w:rsid w:val="00DD2754"/>
    <w:rsid w:val="00DD288B"/>
    <w:rsid w:val="00DD2BF5"/>
    <w:rsid w:val="00DD2FD7"/>
    <w:rsid w:val="00DD331B"/>
    <w:rsid w:val="00DD342D"/>
    <w:rsid w:val="00DD34A3"/>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9B5"/>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0E3"/>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028"/>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ACF"/>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9"/>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C5B"/>
    <w:rsid w:val="00F07E7C"/>
    <w:rsid w:val="00F07F10"/>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6CA"/>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137"/>
    <w:rsid w:val="00F53B61"/>
    <w:rsid w:val="00F53CC2"/>
    <w:rsid w:val="00F54202"/>
    <w:rsid w:val="00F547AE"/>
    <w:rsid w:val="00F54871"/>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A7C"/>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08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0D4"/>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07D"/>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AB6"/>
    <w:rsid w:val="00FB3EAD"/>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53E"/>
    <w:rsid w:val="00FC4653"/>
    <w:rsid w:val="00FC486C"/>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246"/>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57357</TotalTime>
  <Pages>23</Pages>
  <Words>7870</Words>
  <Characters>44859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3665</cp:revision>
  <cp:lastPrinted>2021-10-15T14:20:00Z</cp:lastPrinted>
  <dcterms:created xsi:type="dcterms:W3CDTF">2021-01-28T00:16:00Z</dcterms:created>
  <dcterms:modified xsi:type="dcterms:W3CDTF">2023-02-04T21:56:00Z</dcterms:modified>
</cp:coreProperties>
</file>