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36F33AB0"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B51D30">
        <w:t>offered</w:t>
      </w:r>
      <w:r w:rsidR="0019692B">
        <w:t xml:space="preserve">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7AF511AF" w:rsidR="00EF2FB9" w:rsidRDefault="001262A7" w:rsidP="00EF2FB9">
      <w:pPr>
        <w:pStyle w:val="ListParagraph"/>
        <w:numPr>
          <w:ilvl w:val="0"/>
          <w:numId w:val="14"/>
        </w:numPr>
        <w:rPr>
          <w:i/>
          <w:iCs/>
        </w:rPr>
      </w:pPr>
      <w:r w:rsidRPr="001262A7">
        <w:rPr>
          <w:i/>
          <w:iCs/>
        </w:rPr>
        <w:t>M</w:t>
      </w:r>
      <w:r w:rsidR="00003327" w:rsidRPr="00003327">
        <w:rPr>
          <w:rFonts w:cstheme="minorHAnsi"/>
          <w:i/>
          <w:iCs/>
          <w:vertAlign w:val="superscript"/>
        </w:rPr>
        <w:t>φ</w:t>
      </w:r>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r w:rsidR="00781075" w:rsidRPr="001262A7">
        <w:rPr>
          <w:i/>
          <w:iCs/>
        </w:rPr>
        <w:t>M</w:t>
      </w:r>
      <w:r w:rsidR="00781075" w:rsidRPr="00003327">
        <w:rPr>
          <w:rFonts w:cstheme="minorHAnsi"/>
          <w:i/>
          <w:iCs/>
          <w:vertAlign w:val="superscript"/>
        </w:rPr>
        <w:t>φ</w:t>
      </w:r>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2F75B1" w:rsidRPr="001262A7">
        <w:rPr>
          <w:i/>
          <w:iCs/>
        </w:rPr>
        <w:t>M</w:t>
      </w:r>
      <w:r w:rsidR="002F75B1" w:rsidRPr="00003327">
        <w:rPr>
          <w:rFonts w:cstheme="minorHAnsi"/>
          <w:i/>
          <w:iCs/>
          <w:vertAlign w:val="superscript"/>
        </w:rPr>
        <w:t>φ</w:t>
      </w:r>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77777777" w:rsidR="00EB5ACF" w:rsidRDefault="00CE7DAB" w:rsidP="00F4051B">
      <w:r>
        <w:t xml:space="preserve">One reason </w:t>
      </w:r>
      <w:r w:rsidR="00CF7E3A">
        <w:t xml:space="preserve">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w:t>
      </w:r>
      <w:r>
        <w:t xml:space="preserve">Another reason is that message lengths must not exceed the size of the RSA modulus, thus adding even more </w:t>
      </w:r>
      <w:r w:rsidR="00270B83">
        <w:t xml:space="preserve">computational </w:t>
      </w:r>
      <w:r>
        <w:t xml:space="preserve">overhead to </w:t>
      </w:r>
      <w:r w:rsidR="006461D3">
        <w:t xml:space="preserve">segment larger </w:t>
      </w:r>
      <w:r w:rsidR="00270B83">
        <w:t>messages into modulus-sized pieces.</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690FC273"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7A2325">
        <w:t>protocols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E42425">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4EE6" w14:textId="77777777" w:rsidR="00482DAB" w:rsidRDefault="00482DAB" w:rsidP="0090426E">
      <w:pPr>
        <w:spacing w:after="0" w:line="240" w:lineRule="auto"/>
      </w:pPr>
      <w:r>
        <w:separator/>
      </w:r>
    </w:p>
  </w:endnote>
  <w:endnote w:type="continuationSeparator" w:id="0">
    <w:p w14:paraId="080337A0" w14:textId="77777777" w:rsidR="00482DAB" w:rsidRDefault="00482DA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4FAC" w14:textId="77777777" w:rsidR="00482DAB" w:rsidRDefault="00482DAB" w:rsidP="0090426E">
      <w:pPr>
        <w:spacing w:after="0" w:line="240" w:lineRule="auto"/>
      </w:pPr>
      <w:r>
        <w:separator/>
      </w:r>
    </w:p>
  </w:footnote>
  <w:footnote w:type="continuationSeparator" w:id="0">
    <w:p w14:paraId="005B6AD7" w14:textId="77777777" w:rsidR="00482DAB" w:rsidRDefault="00482DA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736E6FE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009D59EC" w:rsidRPr="009D59EC">
        <w:rPr>
          <w:rFonts w:cstheme="minorHAnsi"/>
          <w:i/>
          <w:iCs/>
          <w:vertAlign w:val="superscript"/>
        </w:rPr>
        <w:t>φ</w:t>
      </w:r>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35EAB1F4" w:rsidR="00E677AC" w:rsidRDefault="00E677AC">
      <w:pPr>
        <w:pStyle w:val="FootnoteText"/>
      </w:pPr>
      <w:r>
        <w:rPr>
          <w:rStyle w:val="FootnoteReference"/>
        </w:rPr>
        <w:footnoteRef/>
      </w:r>
      <w:r>
        <w:t xml:space="preserve"> RSA is </w:t>
      </w:r>
      <w:r w:rsidR="0019260E">
        <w:t>very much alive in the realm of digital signatures</w:t>
      </w:r>
      <w:r>
        <w:t xml:space="preserve">, however; </w:t>
      </w:r>
      <w:r w:rsidR="005B0E15">
        <w:t>principally</w:t>
      </w:r>
      <w:r w:rsidR="001D5640">
        <w:t xml:space="preserve"> </w:t>
      </w:r>
      <w:r>
        <w:t>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80"/>
    <w:rsid w:val="00086805"/>
    <w:rsid w:val="00086818"/>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6E9"/>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3B7"/>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18E5"/>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CF5"/>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2DC"/>
    <w:rsid w:val="00DD049D"/>
    <w:rsid w:val="00DD04CD"/>
    <w:rsid w:val="00DD1479"/>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20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57278</TotalTime>
  <Pages>24</Pages>
  <Words>7942</Words>
  <Characters>45276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3555</cp:revision>
  <cp:lastPrinted>2021-10-15T14:20:00Z</cp:lastPrinted>
  <dcterms:created xsi:type="dcterms:W3CDTF">2021-01-28T00:16:00Z</dcterms:created>
  <dcterms:modified xsi:type="dcterms:W3CDTF">2022-06-26T16:30:00Z</dcterms:modified>
</cp:coreProperties>
</file>