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1300"/>
        <w:gridCol w:w="1773"/>
        <w:gridCol w:w="2881"/>
        <w:gridCol w:w="3759"/>
        <w:gridCol w:w="2540"/>
        <w:gridCol w:w="969"/>
      </w:tblGrid>
      <w:tr w:rsidR="00053307" w:rsidRPr="00053307" w14:paraId="677059D1" w14:textId="77777777" w:rsidTr="00053307">
        <w:trPr>
          <w:trHeight w:val="780"/>
        </w:trPr>
        <w:tc>
          <w:tcPr>
            <w:tcW w:w="1300" w:type="dxa"/>
            <w:hideMark/>
          </w:tcPr>
          <w:p w14:paraId="23EA55CD" w14:textId="77777777" w:rsidR="00053307" w:rsidRPr="00053307" w:rsidRDefault="00053307" w:rsidP="00053307">
            <w:pPr>
              <w:rPr>
                <w:b/>
                <w:bCs/>
              </w:rPr>
            </w:pPr>
            <w:r w:rsidRPr="00053307">
              <w:rPr>
                <w:b/>
                <w:bCs/>
              </w:rPr>
              <w:t>No.</w:t>
            </w:r>
          </w:p>
        </w:tc>
        <w:tc>
          <w:tcPr>
            <w:tcW w:w="2880" w:type="dxa"/>
            <w:hideMark/>
          </w:tcPr>
          <w:p w14:paraId="6FEA5B7B" w14:textId="77777777" w:rsidR="00053307" w:rsidRPr="00053307" w:rsidRDefault="00053307" w:rsidP="00053307">
            <w:pPr>
              <w:rPr>
                <w:b/>
                <w:bCs/>
              </w:rPr>
            </w:pPr>
            <w:r w:rsidRPr="00053307">
              <w:rPr>
                <w:b/>
                <w:bCs/>
              </w:rPr>
              <w:t>Tipo de cáncer</w:t>
            </w:r>
          </w:p>
        </w:tc>
        <w:tc>
          <w:tcPr>
            <w:tcW w:w="4340" w:type="dxa"/>
            <w:hideMark/>
          </w:tcPr>
          <w:p w14:paraId="0CC47EDD" w14:textId="77777777" w:rsidR="00053307" w:rsidRPr="00053307" w:rsidRDefault="00053307" w:rsidP="00053307">
            <w:pPr>
              <w:rPr>
                <w:b/>
                <w:bCs/>
              </w:rPr>
            </w:pPr>
            <w:r w:rsidRPr="00053307">
              <w:rPr>
                <w:b/>
                <w:bCs/>
              </w:rPr>
              <w:t>Título</w:t>
            </w:r>
          </w:p>
        </w:tc>
        <w:tc>
          <w:tcPr>
            <w:tcW w:w="5120" w:type="dxa"/>
            <w:hideMark/>
          </w:tcPr>
          <w:p w14:paraId="69439D74" w14:textId="77777777" w:rsidR="00053307" w:rsidRPr="00053307" w:rsidRDefault="00053307" w:rsidP="00053307">
            <w:pPr>
              <w:rPr>
                <w:b/>
                <w:bCs/>
              </w:rPr>
            </w:pPr>
            <w:r w:rsidRPr="00053307">
              <w:rPr>
                <w:b/>
                <w:bCs/>
              </w:rPr>
              <w:t>Abstract</w:t>
            </w:r>
          </w:p>
        </w:tc>
        <w:tc>
          <w:tcPr>
            <w:tcW w:w="2860" w:type="dxa"/>
            <w:hideMark/>
          </w:tcPr>
          <w:p w14:paraId="61FC5BAE" w14:textId="77777777" w:rsidR="00053307" w:rsidRPr="00053307" w:rsidRDefault="00053307" w:rsidP="00053307">
            <w:pPr>
              <w:rPr>
                <w:b/>
                <w:bCs/>
              </w:rPr>
            </w:pPr>
            <w:r w:rsidRPr="00053307">
              <w:rPr>
                <w:b/>
                <w:bCs/>
              </w:rPr>
              <w:t>Autores</w:t>
            </w:r>
          </w:p>
        </w:tc>
        <w:tc>
          <w:tcPr>
            <w:tcW w:w="1300" w:type="dxa"/>
            <w:hideMark/>
          </w:tcPr>
          <w:p w14:paraId="29561BAC" w14:textId="77777777" w:rsidR="00053307" w:rsidRPr="00053307" w:rsidRDefault="00053307" w:rsidP="00053307">
            <w:pPr>
              <w:rPr>
                <w:b/>
                <w:bCs/>
              </w:rPr>
            </w:pPr>
            <w:r w:rsidRPr="00053307">
              <w:rPr>
                <w:b/>
                <w:bCs/>
              </w:rPr>
              <w:t>Año</w:t>
            </w:r>
          </w:p>
        </w:tc>
      </w:tr>
      <w:tr w:rsidR="00053307" w:rsidRPr="00053307" w14:paraId="56710F48" w14:textId="77777777" w:rsidTr="00053307">
        <w:trPr>
          <w:trHeight w:val="750"/>
        </w:trPr>
        <w:tc>
          <w:tcPr>
            <w:tcW w:w="1300" w:type="dxa"/>
            <w:noWrap/>
            <w:hideMark/>
          </w:tcPr>
          <w:p w14:paraId="5C3299F0" w14:textId="77777777" w:rsidR="00053307" w:rsidRPr="00053307" w:rsidRDefault="00053307" w:rsidP="00053307">
            <w:r w:rsidRPr="00053307">
              <w:t>4129</w:t>
            </w:r>
          </w:p>
        </w:tc>
        <w:tc>
          <w:tcPr>
            <w:tcW w:w="2880" w:type="dxa"/>
            <w:hideMark/>
          </w:tcPr>
          <w:p w14:paraId="1C48856D" w14:textId="77777777" w:rsidR="00053307" w:rsidRPr="00053307" w:rsidRDefault="00053307" w:rsidP="00053307">
            <w:r w:rsidRPr="00053307">
              <w:t>Piel</w:t>
            </w:r>
          </w:p>
        </w:tc>
        <w:tc>
          <w:tcPr>
            <w:tcW w:w="4340" w:type="dxa"/>
            <w:hideMark/>
          </w:tcPr>
          <w:p w14:paraId="25335607" w14:textId="77777777" w:rsidR="00053307" w:rsidRPr="00053307" w:rsidRDefault="00053307">
            <w:pPr>
              <w:rPr>
                <w:lang w:val="en-US"/>
              </w:rPr>
            </w:pPr>
            <w:r w:rsidRPr="00053307">
              <w:rPr>
                <w:lang w:val="en-US"/>
              </w:rPr>
              <w:t>Diagnosis melanoma with artificial intelligence systems: A meta-analysis study and systematic review</w:t>
            </w:r>
          </w:p>
        </w:tc>
        <w:tc>
          <w:tcPr>
            <w:tcW w:w="5120" w:type="dxa"/>
            <w:hideMark/>
          </w:tcPr>
          <w:p w14:paraId="3D78238F" w14:textId="77777777" w:rsidR="00053307" w:rsidRPr="00053307" w:rsidRDefault="00053307">
            <w:pPr>
              <w:rPr>
                <w:lang w:val="en-US"/>
              </w:rPr>
            </w:pPr>
            <w:r w:rsidRPr="00053307">
              <w:rPr>
                <w:lang w:val="en-US"/>
              </w:rPr>
              <w:t xml:space="preserve">BACKGROUND: One of the most promising and rapidly advancing research areas in recent years is using dermoscopic images for automatic diagnosis with artificial intelligence and machine learning methods. OBJECTIVES: This study aimed to synthesize the existing studies for the clinical use of applications made with artificial intelligence methods and to summarize the predictive performance of deep learning and hybrid models-based algorithms in all these studies with a large-scale meta-analysis. METHOD: The literature review was conducted between January 2006 and May 2024, and meta-analysis data were created by scanning the Web of Science (WOS), Scopus and MEDLINE databases. This study followed the Preferred Reporting Items for Systematic Reviews and Meta-Analysis (PRISMA) checklist. RESULTS: A total of 2722 articles were evaluated. Data from 78 diagnostic tests from 39 primary </w:t>
            </w:r>
            <w:r w:rsidRPr="00053307">
              <w:rPr>
                <w:lang w:val="en-US"/>
              </w:rPr>
              <w:lastRenderedPageBreak/>
              <w:t>studies meeting the inclusion and exclusion criteria were assessed. The pooled SROC overall model AUC was 0.96 [95% CI: 0.94-0.98], sensitivity was 0.89 [95% CI: 0.85-0.91] and specificity was 0.92 [95% CI: 0.90-0.94]. In the subgroup analyses, the pooled AUC was 0.98 [95% CI: 0.96-0.99] for HYBRID models. CONCLUSIONS: Recent studies have suggested that artificial intelligence algorithms and machine learning methods should be used extensively in medicine to assist physicians, especially in diagnosing melanoma. The ability of HYBRID model algorithms to predict diseases is promising. In particular, the performance of HYBRID models was found to be high. This information can assist clinicians in interpreting the most appropriate algorithms for diagnosing melanoma.</w:t>
            </w:r>
          </w:p>
        </w:tc>
        <w:tc>
          <w:tcPr>
            <w:tcW w:w="2860" w:type="dxa"/>
            <w:hideMark/>
          </w:tcPr>
          <w:p w14:paraId="44F8F6B2" w14:textId="77777777" w:rsidR="00053307" w:rsidRPr="00053307" w:rsidRDefault="00053307">
            <w:pPr>
              <w:rPr>
                <w:lang w:val="en-US"/>
              </w:rPr>
            </w:pPr>
            <w:r w:rsidRPr="00053307">
              <w:rPr>
                <w:lang w:val="en-US"/>
              </w:rPr>
              <w:lastRenderedPageBreak/>
              <w:t>Ertürk Zararsız, G. and Yerlitaş Taştan, S. I. and Çelik Gürbulak, E. and Erakcaoğlu, A. and Yılmaz Işıkhan, S. and Demirbaş, A. and Ertaş, R. and Eroğlu, İ and Korkmaz, S. and Elmas Ö, F. and Zararsız, G.</w:t>
            </w:r>
          </w:p>
        </w:tc>
        <w:tc>
          <w:tcPr>
            <w:tcW w:w="1300" w:type="dxa"/>
            <w:hideMark/>
          </w:tcPr>
          <w:p w14:paraId="1E1CEB06" w14:textId="77777777" w:rsidR="00053307" w:rsidRPr="00053307" w:rsidRDefault="00053307" w:rsidP="00053307">
            <w:r w:rsidRPr="00053307">
              <w:t>2025</w:t>
            </w:r>
          </w:p>
        </w:tc>
      </w:tr>
      <w:tr w:rsidR="00053307" w:rsidRPr="00053307" w14:paraId="5B10872A" w14:textId="77777777" w:rsidTr="00053307">
        <w:trPr>
          <w:trHeight w:val="750"/>
        </w:trPr>
        <w:tc>
          <w:tcPr>
            <w:tcW w:w="1300" w:type="dxa"/>
            <w:noWrap/>
            <w:hideMark/>
          </w:tcPr>
          <w:p w14:paraId="4A642FA5" w14:textId="77777777" w:rsidR="00053307" w:rsidRPr="00053307" w:rsidRDefault="00053307" w:rsidP="00053307">
            <w:r w:rsidRPr="00053307">
              <w:t>4132</w:t>
            </w:r>
          </w:p>
        </w:tc>
        <w:tc>
          <w:tcPr>
            <w:tcW w:w="2880" w:type="dxa"/>
            <w:hideMark/>
          </w:tcPr>
          <w:p w14:paraId="0084BBC4" w14:textId="77777777" w:rsidR="00053307" w:rsidRPr="00053307" w:rsidRDefault="00053307" w:rsidP="00053307">
            <w:r w:rsidRPr="00053307">
              <w:t>Piel</w:t>
            </w:r>
          </w:p>
        </w:tc>
        <w:tc>
          <w:tcPr>
            <w:tcW w:w="4340" w:type="dxa"/>
            <w:hideMark/>
          </w:tcPr>
          <w:p w14:paraId="7F23F41D" w14:textId="77777777" w:rsidR="00053307" w:rsidRPr="00053307" w:rsidRDefault="00053307">
            <w:pPr>
              <w:rPr>
                <w:lang w:val="en-US"/>
              </w:rPr>
            </w:pPr>
            <w:r w:rsidRPr="00053307">
              <w:rPr>
                <w:lang w:val="en-US"/>
              </w:rPr>
              <w:t xml:space="preserve">Comparison between visual inspection, dermoscopy, and reflectance confocal microscopy in the </w:t>
            </w:r>
            <w:r w:rsidRPr="00053307">
              <w:rPr>
                <w:lang w:val="en-US"/>
              </w:rPr>
              <w:lastRenderedPageBreak/>
              <w:t>diagnosis of lentigo maligna - a systematic review</w:t>
            </w:r>
          </w:p>
        </w:tc>
        <w:tc>
          <w:tcPr>
            <w:tcW w:w="5120" w:type="dxa"/>
            <w:hideMark/>
          </w:tcPr>
          <w:p w14:paraId="2158F94B" w14:textId="77777777" w:rsidR="00053307" w:rsidRPr="00053307" w:rsidRDefault="00053307">
            <w:pPr>
              <w:rPr>
                <w:lang w:val="en-US"/>
              </w:rPr>
            </w:pPr>
            <w:r w:rsidRPr="00053307">
              <w:rPr>
                <w:lang w:val="en-US"/>
              </w:rPr>
              <w:lastRenderedPageBreak/>
              <w:t xml:space="preserve">Lentigo maligna (LM) and lentigo maligna melanoma (LMM) are melanoma subtypes associated with chronic photoexposure, often located on areas such as the face </w:t>
            </w:r>
            <w:r w:rsidRPr="00053307">
              <w:rPr>
                <w:lang w:val="en-US"/>
              </w:rPr>
              <w:lastRenderedPageBreak/>
              <w:t xml:space="preserve">and neck. Early diagnosis of these lesions is challenging due to their similarity to other benign conditions. Non-invasive methods, such as visual inspection, dermoscopy (DMT), and reflectance confocal microscopy (RCM), have been employed to improve diagnostic accuracy and surgical margin definition. However, evidence on which technique is superior remains uncertain. This systematic review aimed to investigate whether DMT is more effective than other non-invasive methods, such as RCM and visual inspection, for the diagnosis of LM and LMM confirmed by histopathology. The literature research was conducted in PubMed, CINAHL, MEDLINE, and EMBASE databases without language and date of publication restrictions. Two independent dermatologists assessed the eligibility of the studies, extracted data, and performed a methodological quality and risk of bias analysis of the included studies (QUADAS-2). From 532 retrieved studies, 11 were </w:t>
            </w:r>
            <w:r w:rsidRPr="00053307">
              <w:rPr>
                <w:lang w:val="en-US"/>
              </w:rPr>
              <w:lastRenderedPageBreak/>
              <w:t>included in the final analysis. The included studies showed substantial heterogeneity in design, thresholds, outcomes, and reporting, which precluded quantitative analysis. Compared with histopathology, the diagnostic performance of non-invasive methods, such as visual inspection, DMT, and RCM, was inconclusive due to several limitations. For instance, we found strong evidence of selection biases, non-consecutive sampling, lack of randomization, unblinded evaluators, and under-reporting of sensitivity and specificity. Overall, current evidence does not support replacing histopathology for confirming LM and LMM diagnosis. Standardized study protocols and reporting in the field of non-invasive diagnosis of LM and LMM are needed.</w:t>
            </w:r>
          </w:p>
        </w:tc>
        <w:tc>
          <w:tcPr>
            <w:tcW w:w="2860" w:type="dxa"/>
            <w:hideMark/>
          </w:tcPr>
          <w:p w14:paraId="6D6081E4" w14:textId="77777777" w:rsidR="00053307" w:rsidRPr="00053307" w:rsidRDefault="00053307">
            <w:pPr>
              <w:rPr>
                <w:lang w:val="en-US"/>
              </w:rPr>
            </w:pPr>
            <w:r w:rsidRPr="00053307">
              <w:rPr>
                <w:lang w:val="en-US"/>
              </w:rPr>
              <w:lastRenderedPageBreak/>
              <w:t xml:space="preserve">Fanton Gallo, B. and Fogagnolo, L. and Ávila Ferreira, L. and Cintra, M. L. and Ingrid Amstalden, E. </w:t>
            </w:r>
            <w:r w:rsidRPr="00053307">
              <w:rPr>
                <w:lang w:val="en-US"/>
              </w:rPr>
              <w:t>M.</w:t>
            </w:r>
          </w:p>
        </w:tc>
        <w:tc>
          <w:tcPr>
            <w:tcW w:w="1300" w:type="dxa"/>
            <w:hideMark/>
          </w:tcPr>
          <w:p w14:paraId="2A640B41" w14:textId="77777777" w:rsidR="00053307" w:rsidRPr="00053307" w:rsidRDefault="00053307" w:rsidP="00053307">
            <w:r w:rsidRPr="00053307">
              <w:lastRenderedPageBreak/>
              <w:t>2026</w:t>
            </w:r>
          </w:p>
        </w:tc>
      </w:tr>
      <w:tr w:rsidR="00053307" w:rsidRPr="00053307" w14:paraId="6E3C849B" w14:textId="77777777" w:rsidTr="00053307">
        <w:trPr>
          <w:trHeight w:val="750"/>
        </w:trPr>
        <w:tc>
          <w:tcPr>
            <w:tcW w:w="1300" w:type="dxa"/>
            <w:noWrap/>
            <w:hideMark/>
          </w:tcPr>
          <w:p w14:paraId="241E4C32" w14:textId="77777777" w:rsidR="00053307" w:rsidRPr="00053307" w:rsidRDefault="00053307" w:rsidP="00053307">
            <w:r w:rsidRPr="00053307">
              <w:lastRenderedPageBreak/>
              <w:t>4135</w:t>
            </w:r>
          </w:p>
        </w:tc>
        <w:tc>
          <w:tcPr>
            <w:tcW w:w="2880" w:type="dxa"/>
            <w:hideMark/>
          </w:tcPr>
          <w:p w14:paraId="395DF042" w14:textId="77777777" w:rsidR="00053307" w:rsidRPr="00053307" w:rsidRDefault="00053307" w:rsidP="00053307">
            <w:r w:rsidRPr="00053307">
              <w:t>Piel</w:t>
            </w:r>
          </w:p>
        </w:tc>
        <w:tc>
          <w:tcPr>
            <w:tcW w:w="4340" w:type="dxa"/>
            <w:hideMark/>
          </w:tcPr>
          <w:p w14:paraId="63D6E280" w14:textId="77777777" w:rsidR="00053307" w:rsidRPr="00053307" w:rsidRDefault="00053307">
            <w:pPr>
              <w:rPr>
                <w:lang w:val="en-US"/>
              </w:rPr>
            </w:pPr>
            <w:r w:rsidRPr="00053307">
              <w:rPr>
                <w:lang w:val="en-US"/>
              </w:rPr>
              <w:t xml:space="preserve">Artificial Intelligence Applied to Non-Invasive Imaging Modalities in Identification of Nonmelanoma Skin Cancer: A Systematic </w:t>
            </w:r>
            <w:r w:rsidRPr="00053307">
              <w:rPr>
                <w:lang w:val="en-US"/>
              </w:rPr>
              <w:lastRenderedPageBreak/>
              <w:t>Review</w:t>
            </w:r>
          </w:p>
        </w:tc>
        <w:tc>
          <w:tcPr>
            <w:tcW w:w="5120" w:type="dxa"/>
            <w:hideMark/>
          </w:tcPr>
          <w:p w14:paraId="45BC3020" w14:textId="77777777" w:rsidR="00053307" w:rsidRPr="00053307" w:rsidRDefault="00053307">
            <w:pPr>
              <w:rPr>
                <w:lang w:val="en-US"/>
              </w:rPr>
            </w:pPr>
            <w:r w:rsidRPr="00053307">
              <w:rPr>
                <w:lang w:val="en-US"/>
              </w:rPr>
              <w:lastRenderedPageBreak/>
              <w:t xml:space="preserve">BACKGROUND: The objective of this study is to systematically analyze the current state of the literature regarding novel artificial intelligence (AI) machine learning models utilized in non-invasive </w:t>
            </w:r>
            <w:r w:rsidRPr="00053307">
              <w:rPr>
                <w:lang w:val="en-US"/>
              </w:rPr>
              <w:lastRenderedPageBreak/>
              <w:t xml:space="preserve">imaging for the early detection of nonmelanoma skin cancers. Furthermore, we aimed to assess their potential clinical relevance by evaluating the accuracy, sensitivity, and specificity of each algorithm and assessing for the risk of bias. METHODS: Two reviewers screened the MEDLINE, Cochrane, PubMed, and Embase databases for peer-reviewed studies that focused on AI-based skin cancer classification involving nonmelanoma skin cancers and were published between 2018 and 2023. The search terms included skin neoplasms, nonmelanoma, basal-cell carcinoma, squamous-cell carcinoma, diagnostic techniques and procedures, artificial intelligence, algorithms, computer systems, dermoscopy, reflectance confocal microscopy, and optical coherence tomography. Based on the search results, only studies that directly answered the review objectives were included and the efficacy measures for each were recorded. A QUADAS-2 risk assessment for bias in included studies was then conducted. </w:t>
            </w:r>
            <w:r w:rsidRPr="00053307">
              <w:rPr>
                <w:lang w:val="en-US"/>
              </w:rPr>
              <w:lastRenderedPageBreak/>
              <w:t>RESULTS: A total of 44 studies were included in our review; 40 utilizing dermoscopy, 3 using reflectance confocal microscopy (RCM), and 1 for hyperspectral epidermal imaging (HEI). The average accuracy of AI algorithms applied to all imaging modalities combined was 86.80%, with the same average for dermoscopy. Only one of the three studies applying AI to RCM measured accuracy, with a result of 87%. Accuracy was not measured in regard to AI based HEI interpretation. CONCLUSION: AI algorithms exhibited an overall favorable performance in the diagnosis of nonmelanoma skin cancer via noninvasive imaging techniques. Ultimately, further research is needed to isolate pooled diagnostic accuracy for nonmelanoma skin cancers as many testing datasets also include melanoma and other pigmented lesions.</w:t>
            </w:r>
          </w:p>
        </w:tc>
        <w:tc>
          <w:tcPr>
            <w:tcW w:w="2860" w:type="dxa"/>
            <w:hideMark/>
          </w:tcPr>
          <w:p w14:paraId="5F8F1D7B" w14:textId="77777777" w:rsidR="00053307" w:rsidRPr="00053307" w:rsidRDefault="00053307">
            <w:pPr>
              <w:rPr>
                <w:lang w:val="en-US"/>
              </w:rPr>
            </w:pPr>
            <w:r w:rsidRPr="00053307">
              <w:rPr>
                <w:lang w:val="en-US"/>
              </w:rPr>
              <w:lastRenderedPageBreak/>
              <w:t>Foltz, E. A. and Witkowski, A. and Becker, A. L. and Latour, E. and Lim, J. Y. and Hamilton, A. and Ludzik, J.</w:t>
            </w:r>
          </w:p>
        </w:tc>
        <w:tc>
          <w:tcPr>
            <w:tcW w:w="1300" w:type="dxa"/>
            <w:hideMark/>
          </w:tcPr>
          <w:p w14:paraId="106ADA11" w14:textId="77777777" w:rsidR="00053307" w:rsidRPr="00053307" w:rsidRDefault="00053307" w:rsidP="00053307">
            <w:r w:rsidRPr="00053307">
              <w:t>2024</w:t>
            </w:r>
          </w:p>
        </w:tc>
      </w:tr>
      <w:tr w:rsidR="00053307" w:rsidRPr="00053307" w14:paraId="03A29B74" w14:textId="77777777" w:rsidTr="00053307">
        <w:trPr>
          <w:trHeight w:val="750"/>
        </w:trPr>
        <w:tc>
          <w:tcPr>
            <w:tcW w:w="1300" w:type="dxa"/>
            <w:noWrap/>
            <w:hideMark/>
          </w:tcPr>
          <w:p w14:paraId="22B8249F" w14:textId="77777777" w:rsidR="00053307" w:rsidRPr="00053307" w:rsidRDefault="00053307" w:rsidP="00053307">
            <w:r w:rsidRPr="00053307">
              <w:lastRenderedPageBreak/>
              <w:t>4174</w:t>
            </w:r>
          </w:p>
        </w:tc>
        <w:tc>
          <w:tcPr>
            <w:tcW w:w="2880" w:type="dxa"/>
            <w:hideMark/>
          </w:tcPr>
          <w:p w14:paraId="0D61BA69" w14:textId="77777777" w:rsidR="00053307" w:rsidRPr="00053307" w:rsidRDefault="00053307" w:rsidP="00053307">
            <w:r w:rsidRPr="00053307">
              <w:t>Piel</w:t>
            </w:r>
          </w:p>
        </w:tc>
        <w:tc>
          <w:tcPr>
            <w:tcW w:w="4340" w:type="dxa"/>
            <w:hideMark/>
          </w:tcPr>
          <w:p w14:paraId="79390F07" w14:textId="77777777" w:rsidR="00053307" w:rsidRPr="00053307" w:rsidRDefault="00053307">
            <w:pPr>
              <w:rPr>
                <w:lang w:val="en-US"/>
              </w:rPr>
            </w:pPr>
            <w:r w:rsidRPr="00053307">
              <w:rPr>
                <w:lang w:val="en-US"/>
              </w:rPr>
              <w:t xml:space="preserve">Prospective Evidence on Artificial Intelligence-Assisted Melanoma </w:t>
            </w:r>
            <w:r w:rsidRPr="00053307">
              <w:rPr>
                <w:lang w:val="en-US"/>
              </w:rPr>
              <w:lastRenderedPageBreak/>
              <w:t>Diagnostics: A Systematic Review and Meta-Analysis</w:t>
            </w:r>
          </w:p>
        </w:tc>
        <w:tc>
          <w:tcPr>
            <w:tcW w:w="5120" w:type="dxa"/>
            <w:hideMark/>
          </w:tcPr>
          <w:p w14:paraId="1D028B49" w14:textId="77777777" w:rsidR="00053307" w:rsidRPr="00053307" w:rsidRDefault="00053307">
            <w:pPr>
              <w:rPr>
                <w:lang w:val="en-US"/>
              </w:rPr>
            </w:pPr>
            <w:r w:rsidRPr="00053307">
              <w:rPr>
                <w:lang w:val="en-US"/>
              </w:rPr>
              <w:lastRenderedPageBreak/>
              <w:t xml:space="preserve">IMPORTANCE: Dermoscopy is a standard of care for melanoma diagnostics, and artificial </w:t>
            </w:r>
            <w:r w:rsidRPr="00053307">
              <w:rPr>
                <w:lang w:val="en-US"/>
              </w:rPr>
              <w:lastRenderedPageBreak/>
              <w:t xml:space="preserve">intelligence (AI) systems are increasingly investigated as decision-support tools. Prospective evidence is essential to assess their performance compared to dermatologists. OBJECTIVES: To evaluate the diagnostic performance of dermatologists, AI systems, and dermatologists assisted by AI in prospective studies of melanoma detection, and to assess the readiness of AI for clinical use. DATA SOURCES: PubMed, Embase, Web of Science, and Google Scholar were searched from inception through July 9, 2025. STUDY SELECTION: Eligible studies were prospective, used dermoscopic images, and reported or allowed calculation of performance metrics for dermatologists, AI, or dermatologists assisted by AI against a histopathologic reference standard. Nondermoscopic comparators and retrospective designs were excluded. Studies with 20 or fewer histopathologically confirmed melanomas were excluded a priori from quantitative synthesis. DATA </w:t>
            </w:r>
            <w:r w:rsidRPr="00053307">
              <w:rPr>
                <w:lang w:val="en-US"/>
              </w:rPr>
              <w:lastRenderedPageBreak/>
              <w:t xml:space="preserve">EXTRACTION AND SYNTHESIS: Two reviewers independently screened and extracted data and discrepancies or missing values were clarified among all authors. Risk of bias and applicability were assessed with QUADAS-2 and QUADAS-C. Study-level sensitivity and specificity were summarized and plotted; head-to-head comparisons were analyzed descriptively. MAIN OUTCOMES AND MEASURES: Diagnostic outcomes were sensitivity, specificity, accuracy, and balanced accuracy for melanoma detection. RESULTS: Eleven prospective studies with a total of more than 2500 patients and 50 participant-dermatologists were included in the analyses. Dermatologists achieved a pooled sensitivity of 78.6% (95% CI, 67.5%-88.1%) and specificity of 75.2% (95% CI, 63.3%-84.3%), whereas AI alone reached 80.9% (95% CI, 63.6%-94.5%) sensitivity and 75.6% (95% CI, 64.5%-85.6%) specificity. In the single study reporting AI-assisted dermatologists, sensitivity was </w:t>
            </w:r>
            <w:r w:rsidRPr="00053307">
              <w:rPr>
                <w:lang w:val="en-US"/>
              </w:rPr>
              <w:lastRenderedPageBreak/>
              <w:t>91.9% and specificity was 83.7%. In direct clinical comparisons, AI demonstrated higher specificity and similar sensitivity. Most studies were at high risk of bias in patient selection and index test domains, primarily due to the preselection of lesions suspected of melanoma and binary classifications. CONCLUSIONS AND RELEVANCE: In the systematic review and meta-analysis of prospective settings, AI systems perform at comparable levels to dermatologists for melanoma diagnostics and may enhance performance when used as a decision-support tool. However, the frequent risk of bias and limited generalizability of current studies highlight the need for broader validation in unselected patient populations in the clinical setting.</w:t>
            </w:r>
          </w:p>
        </w:tc>
        <w:tc>
          <w:tcPr>
            <w:tcW w:w="2860" w:type="dxa"/>
            <w:hideMark/>
          </w:tcPr>
          <w:p w14:paraId="05A64039" w14:textId="77777777" w:rsidR="00053307" w:rsidRPr="00053307" w:rsidRDefault="00053307">
            <w:pPr>
              <w:rPr>
                <w:lang w:val="en-US"/>
              </w:rPr>
            </w:pPr>
            <w:r w:rsidRPr="00053307">
              <w:rPr>
                <w:lang w:val="en-US"/>
              </w:rPr>
              <w:lastRenderedPageBreak/>
              <w:t xml:space="preserve">Laiouar-Pedari, S. and Kühn, A. and Wies, C. and Garcia, C. N. and </w:t>
            </w:r>
            <w:r w:rsidRPr="00053307">
              <w:rPr>
                <w:lang w:val="en-US"/>
              </w:rPr>
              <w:t>Winterstein, J. T. and Heinlein, L. and Hoffsommer, A. and Chanda, T. and Haggenmüller, S. and Brinker, T. J.</w:t>
            </w:r>
          </w:p>
        </w:tc>
        <w:tc>
          <w:tcPr>
            <w:tcW w:w="1300" w:type="dxa"/>
            <w:hideMark/>
          </w:tcPr>
          <w:p w14:paraId="55FA6FDF" w14:textId="77777777" w:rsidR="00053307" w:rsidRPr="00053307" w:rsidRDefault="00053307" w:rsidP="00053307">
            <w:r w:rsidRPr="00053307">
              <w:lastRenderedPageBreak/>
              <w:t>2026</w:t>
            </w:r>
          </w:p>
        </w:tc>
      </w:tr>
      <w:tr w:rsidR="00053307" w:rsidRPr="00053307" w14:paraId="2B59BE7D" w14:textId="77777777" w:rsidTr="00053307">
        <w:trPr>
          <w:trHeight w:val="750"/>
        </w:trPr>
        <w:tc>
          <w:tcPr>
            <w:tcW w:w="1300" w:type="dxa"/>
            <w:noWrap/>
            <w:hideMark/>
          </w:tcPr>
          <w:p w14:paraId="103251AA" w14:textId="77777777" w:rsidR="00053307" w:rsidRPr="00053307" w:rsidRDefault="00053307" w:rsidP="00053307">
            <w:r w:rsidRPr="00053307">
              <w:lastRenderedPageBreak/>
              <w:t>4207</w:t>
            </w:r>
          </w:p>
        </w:tc>
        <w:tc>
          <w:tcPr>
            <w:tcW w:w="2880" w:type="dxa"/>
            <w:hideMark/>
          </w:tcPr>
          <w:p w14:paraId="757393C9" w14:textId="77777777" w:rsidR="00053307" w:rsidRPr="00053307" w:rsidRDefault="00053307" w:rsidP="00053307">
            <w:r w:rsidRPr="00053307">
              <w:t>Piel</w:t>
            </w:r>
          </w:p>
        </w:tc>
        <w:tc>
          <w:tcPr>
            <w:tcW w:w="4340" w:type="dxa"/>
            <w:hideMark/>
          </w:tcPr>
          <w:p w14:paraId="6DF98C97" w14:textId="77777777" w:rsidR="00053307" w:rsidRPr="00053307" w:rsidRDefault="00053307">
            <w:pPr>
              <w:rPr>
                <w:lang w:val="en-US"/>
              </w:rPr>
            </w:pPr>
            <w:r w:rsidRPr="00053307">
              <w:rPr>
                <w:lang w:val="en-US"/>
              </w:rPr>
              <w:t xml:space="preserve">How good are artificial intelligence tools at identifying benign skin lesions? A systematic review and meta-analysis of the specificity of </w:t>
            </w:r>
            <w:r w:rsidRPr="00053307">
              <w:rPr>
                <w:lang w:val="en-US"/>
              </w:rPr>
              <w:lastRenderedPageBreak/>
              <w:t>artificial intelligence tools in diagnosing suspicious skin lesions</w:t>
            </w:r>
          </w:p>
        </w:tc>
        <w:tc>
          <w:tcPr>
            <w:tcW w:w="5120" w:type="dxa"/>
            <w:hideMark/>
          </w:tcPr>
          <w:p w14:paraId="19935F64" w14:textId="77777777" w:rsidR="00053307" w:rsidRPr="00053307" w:rsidRDefault="00053307">
            <w:pPr>
              <w:rPr>
                <w:lang w:val="en-US"/>
              </w:rPr>
            </w:pPr>
            <w:r w:rsidRPr="00053307">
              <w:rPr>
                <w:lang w:val="en-US"/>
              </w:rPr>
              <w:lastRenderedPageBreak/>
              <w:t xml:space="preserve">BACKGROUND: Artificial intelligence (AI) is a transformative diagnostic tool in dermatology. As the prevalence of skin cancer rises and pressure on health services increases, there is </w:t>
            </w:r>
            <w:r w:rsidRPr="00053307">
              <w:rPr>
                <w:lang w:val="en-US"/>
              </w:rPr>
              <w:lastRenderedPageBreak/>
              <w:t xml:space="preserve">an increasing demand for efficient diagnostic tools. Therefore, it is highly relevant to evaluate the diagnostic abilities of AI tools with a focus on not just the sensitivity, but also the specificity, to reduce unnecessary referrals and skin biopsies for benign skin lesions. OBJECTIVES: To evaluate the effectiveness of AI tools in diagnosing benign skin lesions, with a primary focus on calculating the sensitivity and specificity of AI tools when analysing suspicious skin lesions. METHODS: A comprehensive search was conducted on multiple databases, adhering to the PRISMA 2020 guidelines. Studies with recorded sensitivity, specificity and diagnosis were included. Nine studies meeting the inclusion criteria were assessed. Data extracted included type of AI model used, sample size and important diagnostic metrics. Risk of bias was also assessed using the Quality Assessment of Diagnostic Accuracy Studies version 2 (QUADAS-2) framework. RESULTS: Across the included </w:t>
            </w:r>
            <w:r w:rsidRPr="00053307">
              <w:rPr>
                <w:lang w:val="en-US"/>
              </w:rPr>
              <w:lastRenderedPageBreak/>
              <w:t>studies, AI tools demonstrated a specificity of 70-95% with a pooled specificity of 82%, and a sensitivity ranging from 65% to 96% with a pooled sensitivity of 89% when analysing suspicious skin lesions as malignant vs. benign. CONCLUSIONS: AI tools possess significant potential to streamline dermatological diagnostics, especially in resource-restricted clinical setups. High sensitivity will minimize false negatives, which is crucial for early detection, and high specificity will allow the use of AI tools to autonomously discharge patients with benign skin lesions. However, there is a need for further optimization and training of AI models on more diverse datasets.</w:t>
            </w:r>
          </w:p>
        </w:tc>
        <w:tc>
          <w:tcPr>
            <w:tcW w:w="2860" w:type="dxa"/>
            <w:hideMark/>
          </w:tcPr>
          <w:p w14:paraId="45BF2D69" w14:textId="77777777" w:rsidR="00053307" w:rsidRPr="00053307" w:rsidRDefault="00053307">
            <w:pPr>
              <w:rPr>
                <w:lang w:val="en-US"/>
              </w:rPr>
            </w:pPr>
            <w:r w:rsidRPr="00053307">
              <w:rPr>
                <w:lang w:val="en-US"/>
              </w:rPr>
              <w:lastRenderedPageBreak/>
              <w:t>Nirula, S. and Gupta, S. and Aldridge, C.</w:t>
            </w:r>
          </w:p>
        </w:tc>
        <w:tc>
          <w:tcPr>
            <w:tcW w:w="1300" w:type="dxa"/>
            <w:hideMark/>
          </w:tcPr>
          <w:p w14:paraId="523DE3D2" w14:textId="77777777" w:rsidR="00053307" w:rsidRPr="00053307" w:rsidRDefault="00053307" w:rsidP="00053307">
            <w:r w:rsidRPr="00053307">
              <w:t>2026</w:t>
            </w:r>
          </w:p>
        </w:tc>
      </w:tr>
      <w:tr w:rsidR="00053307" w:rsidRPr="00053307" w14:paraId="542CF108" w14:textId="77777777" w:rsidTr="00053307">
        <w:trPr>
          <w:trHeight w:val="750"/>
        </w:trPr>
        <w:tc>
          <w:tcPr>
            <w:tcW w:w="1300" w:type="dxa"/>
            <w:noWrap/>
            <w:hideMark/>
          </w:tcPr>
          <w:p w14:paraId="2CED9B07" w14:textId="77777777" w:rsidR="00053307" w:rsidRPr="00053307" w:rsidRDefault="00053307" w:rsidP="00053307">
            <w:r w:rsidRPr="00053307">
              <w:lastRenderedPageBreak/>
              <w:t>4237</w:t>
            </w:r>
          </w:p>
        </w:tc>
        <w:tc>
          <w:tcPr>
            <w:tcW w:w="2880" w:type="dxa"/>
            <w:hideMark/>
          </w:tcPr>
          <w:p w14:paraId="32611850" w14:textId="77777777" w:rsidR="00053307" w:rsidRPr="00053307" w:rsidRDefault="00053307" w:rsidP="00053307">
            <w:r w:rsidRPr="00053307">
              <w:t>Piel</w:t>
            </w:r>
          </w:p>
        </w:tc>
        <w:tc>
          <w:tcPr>
            <w:tcW w:w="4340" w:type="dxa"/>
            <w:hideMark/>
          </w:tcPr>
          <w:p w14:paraId="51EE7473" w14:textId="77777777" w:rsidR="00053307" w:rsidRPr="00053307" w:rsidRDefault="00053307">
            <w:r w:rsidRPr="00053307">
              <w:rPr>
                <w:lang w:val="en-US"/>
              </w:rPr>
              <w:t xml:space="preserve">Is thermography an effective screening tool for differentiating benign and malignant skin lesions in the head and neck? </w:t>
            </w:r>
            <w:r w:rsidRPr="00053307">
              <w:t xml:space="preserve">A </w:t>
            </w:r>
            <w:proofErr w:type="spellStart"/>
            <w:r w:rsidRPr="00053307">
              <w:t>systematic</w:t>
            </w:r>
            <w:proofErr w:type="spellEnd"/>
            <w:r w:rsidRPr="00053307">
              <w:t xml:space="preserve"> review</w:t>
            </w:r>
          </w:p>
        </w:tc>
        <w:tc>
          <w:tcPr>
            <w:tcW w:w="5120" w:type="dxa"/>
            <w:hideMark/>
          </w:tcPr>
          <w:p w14:paraId="43F6533E" w14:textId="77777777" w:rsidR="00053307" w:rsidRPr="00053307" w:rsidRDefault="00053307">
            <w:pPr>
              <w:rPr>
                <w:lang w:val="en-US"/>
              </w:rPr>
            </w:pPr>
            <w:r w:rsidRPr="00053307">
              <w:rPr>
                <w:lang w:val="en-US"/>
              </w:rPr>
              <w:t xml:space="preserve">The aim of this study was to assess, through a systematic review, the status of infrared thermography (IRT) as a diagnostic tool for skin neoplasms of the head and neck region and in order to validate its effectiveness in differentiating benign and </w:t>
            </w:r>
            <w:r w:rsidRPr="00053307">
              <w:rPr>
                <w:lang w:val="en-US"/>
              </w:rPr>
              <w:lastRenderedPageBreak/>
              <w:t>malignant lesions. A search was carried out in the LILACS, PubMed/MEDLINE, SCOPUS, Web of Science and EMBASE databases including studies published between 2004 and 2024, written in the Latin-Roman alphabet. Accuracy studies with patients aged 18 years or over presenting benign and malignant lesions in the head and neck region that evaluated the performance of IRT in differentiating these lesions were included. Lesions of mesenchymal origin and studies that did not mention histopathological diagnosis were excluded. The systematic review protocol was registered in the PROSPERO database (CRD42023416079). Reviewers independently analyzed titles, abstracts, and full-texts. After extracting data, the risk of bias of the selected studies was assessed using the QUADAS -</w:t>
            </w:r>
            <w:r w:rsidRPr="00053307">
              <w:rPr>
                <w:rFonts w:ascii="Arial" w:hAnsi="Arial" w:cs="Arial"/>
                <w:lang w:val="en-US"/>
              </w:rPr>
              <w:t> </w:t>
            </w:r>
            <w:r w:rsidRPr="00053307">
              <w:rPr>
                <w:lang w:val="en-US"/>
              </w:rPr>
              <w:t xml:space="preserve">2 tool. Results were narratively synthesized and the certainty of evidence was measured using the GRADE approach. The search resulted in 1,587 records and three studies </w:t>
            </w:r>
            <w:r w:rsidRPr="00053307">
              <w:rPr>
                <w:lang w:val="en-US"/>
              </w:rPr>
              <w:lastRenderedPageBreak/>
              <w:t>were included. Only one of the assessed studies used static IRT, while the other two studies used cold thermal stress. All studies had an uncertain risk of bias. In general, studies have shown wide variation in the accuracy of IRT for differentiating between malignant and benign lesions, with a low level of certainty in the evidence for both specificity and sensitivity.</w:t>
            </w:r>
          </w:p>
        </w:tc>
        <w:tc>
          <w:tcPr>
            <w:tcW w:w="2860" w:type="dxa"/>
            <w:hideMark/>
          </w:tcPr>
          <w:p w14:paraId="5BE447D7" w14:textId="77777777" w:rsidR="00053307" w:rsidRPr="00053307" w:rsidRDefault="00053307">
            <w:pPr>
              <w:rPr>
                <w:lang w:val="en-US"/>
              </w:rPr>
            </w:pPr>
            <w:r w:rsidRPr="00053307">
              <w:rPr>
                <w:lang w:val="en-US"/>
              </w:rPr>
              <w:lastRenderedPageBreak/>
              <w:t>Silva, D. F. B. and Firmino, R. T. and Fugolin, A. P. P. and Melo, S. L. S. and Nóbrega, M. T. C. and de Melo, D. P.</w:t>
            </w:r>
          </w:p>
        </w:tc>
        <w:tc>
          <w:tcPr>
            <w:tcW w:w="1300" w:type="dxa"/>
            <w:hideMark/>
          </w:tcPr>
          <w:p w14:paraId="5FA4E689" w14:textId="77777777" w:rsidR="00053307" w:rsidRPr="00053307" w:rsidRDefault="00053307" w:rsidP="00053307">
            <w:r w:rsidRPr="00053307">
              <w:t>2024</w:t>
            </w:r>
          </w:p>
        </w:tc>
      </w:tr>
      <w:tr w:rsidR="00053307" w:rsidRPr="00053307" w14:paraId="7BBACEBD" w14:textId="77777777" w:rsidTr="00053307">
        <w:trPr>
          <w:trHeight w:val="750"/>
        </w:trPr>
        <w:tc>
          <w:tcPr>
            <w:tcW w:w="1300" w:type="dxa"/>
            <w:noWrap/>
            <w:hideMark/>
          </w:tcPr>
          <w:p w14:paraId="5B27A2E3" w14:textId="77777777" w:rsidR="00053307" w:rsidRPr="00053307" w:rsidRDefault="00053307" w:rsidP="00053307">
            <w:r w:rsidRPr="00053307">
              <w:lastRenderedPageBreak/>
              <w:t>4249</w:t>
            </w:r>
          </w:p>
        </w:tc>
        <w:tc>
          <w:tcPr>
            <w:tcW w:w="2880" w:type="dxa"/>
            <w:hideMark/>
          </w:tcPr>
          <w:p w14:paraId="1AA0B649" w14:textId="77777777" w:rsidR="00053307" w:rsidRPr="00053307" w:rsidRDefault="00053307" w:rsidP="00053307">
            <w:r w:rsidRPr="00053307">
              <w:t>Piel</w:t>
            </w:r>
          </w:p>
        </w:tc>
        <w:tc>
          <w:tcPr>
            <w:tcW w:w="4340" w:type="dxa"/>
            <w:hideMark/>
          </w:tcPr>
          <w:p w14:paraId="227DBD80" w14:textId="77777777" w:rsidR="00053307" w:rsidRPr="00053307" w:rsidRDefault="00053307">
            <w:pPr>
              <w:rPr>
                <w:lang w:val="en-US"/>
              </w:rPr>
            </w:pPr>
            <w:r w:rsidRPr="00053307">
              <w:rPr>
                <w:lang w:val="en-US"/>
              </w:rPr>
              <w:t>Equity and Generalizability of Artificial Intelligence for Skin-Lesion Diagnosis Using Clinical, Dermoscopic, and Smartphone Images: A Systematic Review and Meta-Analysis</w:t>
            </w:r>
          </w:p>
        </w:tc>
        <w:tc>
          <w:tcPr>
            <w:tcW w:w="5120" w:type="dxa"/>
            <w:hideMark/>
          </w:tcPr>
          <w:p w14:paraId="4CDBAD11" w14:textId="77777777" w:rsidR="00053307" w:rsidRPr="00053307" w:rsidRDefault="00053307">
            <w:pPr>
              <w:rPr>
                <w:lang w:val="en-US"/>
              </w:rPr>
            </w:pPr>
            <w:r w:rsidRPr="00053307">
              <w:rPr>
                <w:lang w:val="en-US"/>
              </w:rPr>
              <w:t xml:space="preserve">Background and Objectives: Artificial intelligence (AI) has shown promising performance in skin-lesion classification; however, its fairness, external validity, and real-world reliability remain uncertain. This systematic review and meta-analysis evaluated the diagnostic accuracy, equity, and generalizability of AI-based dermatology systems across diverse imaging modalities and clinical settings. Materials and Methods: A comprehensive search of PubMed, Embase, Web of Science, and ClinicalTrials.gov (inception-31 October 2025) identified diagnostic accuracy studies using clinical, dermoscopic, </w:t>
            </w:r>
            <w:r w:rsidRPr="00053307">
              <w:rPr>
                <w:lang w:val="en-US"/>
              </w:rPr>
              <w:lastRenderedPageBreak/>
              <w:t xml:space="preserve">or smartphone images. Eighteen studies (11 melanoma-focused; 7 mixed benign-malignant) met inclusion criteria. Six studies provided complete 2 × 2 contingency data for bivariate Reitsma HSROC modeling, while seven reported AUROC values with extractable variance. Risk of bias was assessed using QUADAS-2, and evidence certainty was graded using GRADE. Results: Across more than 70,000 test images, pooled sensitivity and specificity were 0.91 (95% CI 0.74-0.97) and 0.64 (95% CI 0.47-0.78), respectively, corresponding to an HSROC AUROC of 0.88 (95% CI 0.84-0.92). The AUROC-only meta-analysis yielded a similar pooled AUROC of 0.88 (95% CI 0.87-0.90). Diagnostic performance was highest in specialist settings (AUROC 0.90), followed by community care (0.85) and smartphone environments (0.81). Notably, performance was lower in darker skin tones (Fitzpatrick IV-VI: AUROC 0.82) compared with lighter skin tones (I-III: 0.89), indicating persistent </w:t>
            </w:r>
            <w:r w:rsidRPr="00053307">
              <w:rPr>
                <w:lang w:val="en-US"/>
              </w:rPr>
              <w:lastRenderedPageBreak/>
              <w:t>fairness gaps. Conclusions: AI-based dermatology systems achieve high diagnostic accuracy but demonstrate reduced performance in darker skin tones and non-specialist environments. These findings emphasize the need for diverse training datasets, skin-tone-stratified reporting, and rigorous external validation before broad clinical deployment.</w:t>
            </w:r>
          </w:p>
        </w:tc>
        <w:tc>
          <w:tcPr>
            <w:tcW w:w="2860" w:type="dxa"/>
            <w:hideMark/>
          </w:tcPr>
          <w:p w14:paraId="228B4FA7" w14:textId="77777777" w:rsidR="00053307" w:rsidRPr="00053307" w:rsidRDefault="00053307">
            <w:pPr>
              <w:rPr>
                <w:lang w:val="en-US"/>
              </w:rPr>
            </w:pPr>
            <w:r w:rsidRPr="00053307">
              <w:rPr>
                <w:lang w:val="en-US"/>
              </w:rPr>
              <w:lastRenderedPageBreak/>
              <w:t>Tjiu, J. W. and Lu, C. F.</w:t>
            </w:r>
          </w:p>
        </w:tc>
        <w:tc>
          <w:tcPr>
            <w:tcW w:w="1300" w:type="dxa"/>
            <w:hideMark/>
          </w:tcPr>
          <w:p w14:paraId="557B716A" w14:textId="77777777" w:rsidR="00053307" w:rsidRPr="00053307" w:rsidRDefault="00053307" w:rsidP="00053307">
            <w:r w:rsidRPr="00053307">
              <w:t>2025</w:t>
            </w:r>
          </w:p>
        </w:tc>
      </w:tr>
      <w:tr w:rsidR="00053307" w:rsidRPr="00053307" w14:paraId="3F1A510F" w14:textId="77777777" w:rsidTr="00053307">
        <w:trPr>
          <w:trHeight w:val="750"/>
        </w:trPr>
        <w:tc>
          <w:tcPr>
            <w:tcW w:w="1300" w:type="dxa"/>
            <w:noWrap/>
            <w:hideMark/>
          </w:tcPr>
          <w:p w14:paraId="489A23B1" w14:textId="77777777" w:rsidR="00053307" w:rsidRPr="00053307" w:rsidRDefault="00053307" w:rsidP="00053307">
            <w:r w:rsidRPr="00053307">
              <w:lastRenderedPageBreak/>
              <w:t>4267</w:t>
            </w:r>
          </w:p>
        </w:tc>
        <w:tc>
          <w:tcPr>
            <w:tcW w:w="2880" w:type="dxa"/>
            <w:hideMark/>
          </w:tcPr>
          <w:p w14:paraId="5C582107" w14:textId="77777777" w:rsidR="00053307" w:rsidRPr="00053307" w:rsidRDefault="00053307">
            <w:r w:rsidRPr="00053307">
              <w:t>Piel</w:t>
            </w:r>
          </w:p>
        </w:tc>
        <w:tc>
          <w:tcPr>
            <w:tcW w:w="4340" w:type="dxa"/>
            <w:hideMark/>
          </w:tcPr>
          <w:p w14:paraId="3BF800AE" w14:textId="77777777" w:rsidR="00053307" w:rsidRPr="00053307" w:rsidRDefault="00053307">
            <w:pPr>
              <w:rPr>
                <w:lang w:val="en-US"/>
              </w:rPr>
            </w:pPr>
            <w:r w:rsidRPr="00053307">
              <w:rPr>
                <w:lang w:val="en-US"/>
              </w:rPr>
              <w:t>Deep learning algorithms for melanoma detection using dermoscopic images: A systematic review and meta-analysis</w:t>
            </w:r>
          </w:p>
        </w:tc>
        <w:tc>
          <w:tcPr>
            <w:tcW w:w="5120" w:type="dxa"/>
            <w:hideMark/>
          </w:tcPr>
          <w:p w14:paraId="343EE5B5" w14:textId="77777777" w:rsidR="00053307" w:rsidRPr="00053307" w:rsidRDefault="00053307">
            <w:pPr>
              <w:rPr>
                <w:lang w:val="en-US"/>
              </w:rPr>
            </w:pPr>
            <w:r w:rsidRPr="00053307">
              <w:rPr>
                <w:lang w:val="en-US"/>
              </w:rPr>
              <w:t xml:space="preserve">BACKGROUND: Melanoma is a serious risk to human health and early identification is vital for treatment success. Deep learning (DL) has the potential to detect cancer using imaging technologies and many studies provide evidence that DL algorithms can achieve high accuracy in melanoma diagnostics. OBJECTIVES: To critically assess different DL performances in diagnosing melanoma using dermatoscopic images and discuss the relationship between dermatologists and DL. METHODS: Ovid-Medline, Embase, IEEE Xplore, and the Cochrane Library were systematically searched from </w:t>
            </w:r>
            <w:r w:rsidRPr="00053307">
              <w:rPr>
                <w:lang w:val="en-US"/>
              </w:rPr>
              <w:lastRenderedPageBreak/>
              <w:t xml:space="preserve">inception until 7th December 2021. Studies that reported diagnostic DL model performances in detecting melanoma using dermatoscopic images were included if they had specific outcomes and histopathologic confirmation. Binary diagnostic accuracy data and contingency tables were extracted to analyze outcomes of interest, which included sensitivity (SEN), specificity (SPE), and area under the curve (AUC). Subgroup analyses were performed according to human-machine comparison and cooperation. The study was registered in PROSPERO, CRD42022367824. RESULTS: 2309 records were initially retrieved, of which 37 studies met our inclusion criteria, and 27 provided sufficient data for meta-analytical synthesis. The pooled SEN was 82 % (range 77-86), SPE was 87 % (range 84-90), with an AUC of 0.92 (range 0.89-0.94). Human-machine comparison had pooled AUCs of 0.87 (0.84-0.90) and 0.83 (0.79-0.86) for DL and dermatologists, </w:t>
            </w:r>
            <w:r w:rsidRPr="00053307">
              <w:rPr>
                <w:lang w:val="en-US"/>
              </w:rPr>
              <w:lastRenderedPageBreak/>
              <w:t>respectively. Pooled AUCs were 0.90 (0.87-0.93), 0.80 (0.76-0.83), and 0.88 (0.85-0.91) for DL, and junior and senior dermatologists, respectively. Analyses of human-machine cooperation were 0.88 (0.85-0.91) for DL, 0.76 (0.72-0.79) for unassisted, and 0.87 (0.84-0.90) for DL-assisted dermatologists. CONCLUSIONS: Evidence suggests that DL algorithms are as accurate as senior dermatologists in melanoma diagnostics. Therefore, DL could be used to support dermatologists in diagnostic decision-making. Although, further high-quality, large-scale multicenter studies are required to address the specific challenges associated with medical AI-based diagnostics.</w:t>
            </w:r>
          </w:p>
        </w:tc>
        <w:tc>
          <w:tcPr>
            <w:tcW w:w="2860" w:type="dxa"/>
            <w:hideMark/>
          </w:tcPr>
          <w:p w14:paraId="6BFF2A11" w14:textId="77777777" w:rsidR="00053307" w:rsidRPr="00053307" w:rsidRDefault="00053307" w:rsidP="00053307">
            <w:pPr>
              <w:rPr>
                <w:lang w:val="en-US"/>
              </w:rPr>
            </w:pPr>
            <w:r w:rsidRPr="00053307">
              <w:rPr>
                <w:lang w:val="en-US"/>
              </w:rPr>
              <w:lastRenderedPageBreak/>
              <w:t>Ye, Z. and Zhang, D. and Zhao, Y. and Chen, M. and Wang, H. and Seery, S. and Qu, Y. and Xue, P. and Jiang, Y.</w:t>
            </w:r>
          </w:p>
        </w:tc>
        <w:tc>
          <w:tcPr>
            <w:tcW w:w="1300" w:type="dxa"/>
            <w:hideMark/>
          </w:tcPr>
          <w:p w14:paraId="36FDBBCC" w14:textId="77777777" w:rsidR="00053307" w:rsidRPr="00053307" w:rsidRDefault="00053307" w:rsidP="00053307">
            <w:r w:rsidRPr="00053307">
              <w:t>2024</w:t>
            </w:r>
          </w:p>
        </w:tc>
      </w:tr>
      <w:tr w:rsidR="00053307" w:rsidRPr="00053307" w14:paraId="60392DBA" w14:textId="77777777" w:rsidTr="00053307">
        <w:trPr>
          <w:trHeight w:val="750"/>
        </w:trPr>
        <w:tc>
          <w:tcPr>
            <w:tcW w:w="1300" w:type="dxa"/>
            <w:noWrap/>
            <w:hideMark/>
          </w:tcPr>
          <w:p w14:paraId="6FA47F05" w14:textId="77777777" w:rsidR="00053307" w:rsidRPr="00053307" w:rsidRDefault="00053307" w:rsidP="00053307">
            <w:r w:rsidRPr="00053307">
              <w:lastRenderedPageBreak/>
              <w:t>9679</w:t>
            </w:r>
          </w:p>
        </w:tc>
        <w:tc>
          <w:tcPr>
            <w:tcW w:w="2880" w:type="dxa"/>
            <w:hideMark/>
          </w:tcPr>
          <w:p w14:paraId="14A9C31A" w14:textId="77777777" w:rsidR="00053307" w:rsidRPr="00053307" w:rsidRDefault="00053307" w:rsidP="00053307">
            <w:r w:rsidRPr="00053307">
              <w:t>Piel</w:t>
            </w:r>
          </w:p>
        </w:tc>
        <w:tc>
          <w:tcPr>
            <w:tcW w:w="4340" w:type="dxa"/>
            <w:hideMark/>
          </w:tcPr>
          <w:p w14:paraId="4FAE7FA8" w14:textId="77777777" w:rsidR="00053307" w:rsidRPr="00053307" w:rsidRDefault="00053307">
            <w:pPr>
              <w:rPr>
                <w:lang w:val="en-US"/>
              </w:rPr>
            </w:pPr>
            <w:r w:rsidRPr="00053307">
              <w:rPr>
                <w:lang w:val="en-US"/>
              </w:rPr>
              <w:t>Diagnostic Accuracy of Dermoscopic Features in Acral Lentiginous Melanoma: A Systematic Review and Meta-Analysis</w:t>
            </w:r>
          </w:p>
        </w:tc>
        <w:tc>
          <w:tcPr>
            <w:tcW w:w="5120" w:type="dxa"/>
            <w:hideMark/>
          </w:tcPr>
          <w:p w14:paraId="7464273F" w14:textId="77777777" w:rsidR="00053307" w:rsidRPr="00053307" w:rsidRDefault="00053307">
            <w:pPr>
              <w:rPr>
                <w:lang w:val="en-US"/>
              </w:rPr>
            </w:pPr>
            <w:r w:rsidRPr="00053307">
              <w:rPr>
                <w:lang w:val="en-US"/>
              </w:rPr>
              <w:t xml:space="preserve">Importance: Acral lentiginous melanoma (ALM) is a rare but aggressive melanoma subtype. Distinguishing ALM from acral nevi remains difficult, underscoring the need for reliable dermoscopic criteria. Objective: To systematically evaluate </w:t>
            </w:r>
            <w:r w:rsidRPr="00053307">
              <w:rPr>
                <w:lang w:val="en-US"/>
              </w:rPr>
              <w:lastRenderedPageBreak/>
              <w:t xml:space="preserve">dermoscopic patterns that differentiate ALM from benign acral nevi. Data Sources: Embase, PubMed, Web of Science, MEDLINE, and the Cochrane Library were searched from January 1970 through March 2023 using controlled vocabulary (MeSH and Emtree) and natural language terms associated with acral melanoma, nevi, and diagnostic techniques. Searches were limited to English-language and human studies. Data analysis was conducted on November 1, 2024. Data Extraction and Synthesis: Following Preferred Reporting Items for Systematic Reviews and Meta-Analyses (PRISMA) guidelines, reviewers independently extracted study data. Pooled proportions and prevalence differences were assessed using random-effects models. Main Outcomes and Measures: The main outcome was the prevalence of dermoscopic features, including parallel ridge, parallel furrow, latticelike, multicomponent, and other pigmentation patterns, with pooled </w:t>
            </w:r>
            <w:r w:rsidRPr="00053307">
              <w:rPr>
                <w:lang w:val="en-US"/>
              </w:rPr>
              <w:lastRenderedPageBreak/>
              <w:t xml:space="preserve">differences between ALM and nevi. Results: Forty-one studies were included, comprising 8845 acral nevi (from 35 studies) and 801 ALMs (from 18 studies). The parallel ridge pattern was the most sensitive and specific feature for ALM (79.6% [95% CI, 71.4%-87.8%] vs 0.6% [95% CI, 0.3%-0.9%] in nevi; pooled difference, -77.3%; 95% CI, -85.0% to -69.6%; P &lt;.001). Multicomponent structures were also significantly associated with ALM (45.8% [95% CI, 19.3%-72.2%] vs 5.0% [95% CI, 3.7%-6.2%] in nevi; pooled difference, -38.5%; 95% CI, -65.7% to -11.2%; P =.01). Conversely, parallel furrow (51.8% [95% CI, 46.7%-56.8%] in nevi vs 8.9% [95% CI, 5.3%-12.5%] in ALM; pooled difference, 41.3%; 95% CI, 33.1%-49.5%; P &lt;.001) and latticelike patterns (13.0% [95% CI, 10.6%-15.5%] in nevi vs 2.7% [95% CI, 1.0%-4.5%] in ALM; pooled difference, 8.9%; 95% CI, 4.2%-13.6%; P &lt;.001) were significantly more common in nevi. Other features, including fibrillar, homogeneous, globular, </w:t>
            </w:r>
            <w:r w:rsidRPr="00053307">
              <w:rPr>
                <w:lang w:val="en-US"/>
              </w:rPr>
              <w:lastRenderedPageBreak/>
              <w:t>reticular, other, and nontypical patterns, showed inconsistent or nonsignificant associations. Conclusions and Relevance: While the parallel ridge and parallel furrow patterns remain key diagnostic indicators of ALM and benign acral lesions, this systematic review and meta-analysis establishes the additional diagnostic significance of multicomponent and latticelike features. Nearly 20% of ALM lacked the parallel ridge pattern, demonstrating the need for new specific features for melanoma diagnosis. These findings provide evidence-based benchmarks to potentially improve diagnostic accuracy, guide dermoscopy training, and enhance early detection of ALM.</w:t>
            </w:r>
          </w:p>
        </w:tc>
        <w:tc>
          <w:tcPr>
            <w:tcW w:w="2860" w:type="dxa"/>
            <w:hideMark/>
          </w:tcPr>
          <w:p w14:paraId="41428636" w14:textId="77777777" w:rsidR="00053307" w:rsidRPr="00053307" w:rsidRDefault="00053307">
            <w:pPr>
              <w:rPr>
                <w:lang w:val="en-US"/>
              </w:rPr>
            </w:pPr>
            <w:r w:rsidRPr="00053307">
              <w:rPr>
                <w:lang w:val="en-US"/>
              </w:rPr>
              <w:lastRenderedPageBreak/>
              <w:t xml:space="preserve">Okwara, C. J. and Black, T. A. and Haff, P. L. and Nammour, H. M. and Bassett, R. and Das, J. and Qian, J. H. and Schandua, H. P. and Teixeira, A. J. and Gonna, N. and Ahmad, </w:t>
            </w:r>
            <w:r w:rsidRPr="00053307">
              <w:rPr>
                <w:lang w:val="en-US"/>
              </w:rPr>
              <w:lastRenderedPageBreak/>
              <w:t>A. S. and Okoro, C. M. and Farris, D. P. and Nelson, K. C. and Doan, H. Q.</w:t>
            </w:r>
          </w:p>
        </w:tc>
        <w:tc>
          <w:tcPr>
            <w:tcW w:w="1300" w:type="dxa"/>
            <w:hideMark/>
          </w:tcPr>
          <w:p w14:paraId="302395DE" w14:textId="77777777" w:rsidR="00053307" w:rsidRPr="00053307" w:rsidRDefault="00053307" w:rsidP="00053307">
            <w:r w:rsidRPr="00053307">
              <w:lastRenderedPageBreak/>
              <w:t>2026</w:t>
            </w:r>
          </w:p>
        </w:tc>
      </w:tr>
      <w:tr w:rsidR="00053307" w:rsidRPr="00053307" w14:paraId="2F39BEC2" w14:textId="77777777" w:rsidTr="00053307">
        <w:trPr>
          <w:trHeight w:val="750"/>
        </w:trPr>
        <w:tc>
          <w:tcPr>
            <w:tcW w:w="1300" w:type="dxa"/>
            <w:noWrap/>
            <w:hideMark/>
          </w:tcPr>
          <w:p w14:paraId="0C9C2EBC" w14:textId="77777777" w:rsidR="00053307" w:rsidRPr="00053307" w:rsidRDefault="00053307" w:rsidP="00053307">
            <w:r w:rsidRPr="00053307">
              <w:lastRenderedPageBreak/>
              <w:t>9691</w:t>
            </w:r>
          </w:p>
        </w:tc>
        <w:tc>
          <w:tcPr>
            <w:tcW w:w="2880" w:type="dxa"/>
            <w:hideMark/>
          </w:tcPr>
          <w:p w14:paraId="5EB9A6EE" w14:textId="77777777" w:rsidR="00053307" w:rsidRPr="00053307" w:rsidRDefault="00053307">
            <w:r w:rsidRPr="00053307">
              <w:t>Piel</w:t>
            </w:r>
          </w:p>
        </w:tc>
        <w:tc>
          <w:tcPr>
            <w:tcW w:w="4340" w:type="dxa"/>
            <w:hideMark/>
          </w:tcPr>
          <w:p w14:paraId="1345E0FD" w14:textId="77777777" w:rsidR="00053307" w:rsidRPr="00053307" w:rsidRDefault="00053307">
            <w:pPr>
              <w:rPr>
                <w:lang w:val="en-US"/>
              </w:rPr>
            </w:pPr>
            <w:r w:rsidRPr="00053307">
              <w:rPr>
                <w:lang w:val="en-US"/>
              </w:rPr>
              <w:t xml:space="preserve">The Role of Artificial Intelligence With Deep Convolutional Neural Network in Screening Melanoma: A Systematic Review and Meta-Analyses of Quasi-Experimental Diagnostic </w:t>
            </w:r>
            <w:r w:rsidRPr="00053307">
              <w:rPr>
                <w:lang w:val="en-US"/>
              </w:rPr>
              <w:lastRenderedPageBreak/>
              <w:t>Studies</w:t>
            </w:r>
          </w:p>
        </w:tc>
        <w:tc>
          <w:tcPr>
            <w:tcW w:w="5120" w:type="dxa"/>
            <w:hideMark/>
          </w:tcPr>
          <w:p w14:paraId="7AD50C4B" w14:textId="77777777" w:rsidR="00053307" w:rsidRPr="00053307" w:rsidRDefault="00053307">
            <w:pPr>
              <w:rPr>
                <w:lang w:val="en-US"/>
              </w:rPr>
            </w:pPr>
            <w:r w:rsidRPr="00053307">
              <w:rPr>
                <w:lang w:val="en-US"/>
              </w:rPr>
              <w:lastRenderedPageBreak/>
              <w:t xml:space="preserve">INTRODUCTION: Detecting melanoma as one of the most common skin cancer with using artificial intelligence (AI), such as deep convolutional neural network (DCNN) have the potency to increase the accuracy of the diagnosis. The aim of this study is </w:t>
            </w:r>
            <w:r w:rsidRPr="00053307">
              <w:rPr>
                <w:lang w:val="en-US"/>
              </w:rPr>
              <w:lastRenderedPageBreak/>
              <w:t xml:space="preserve">to analyze the sensitivity, specificity, precision, and F1-score of DCNN in screening melanoma. METHODOLOGY: The authors followed the PRISMA 2020 guidelines to retrieve literature in the following databases: PubMed, EBSCOhost, Emerald, Wiley, and ScienceDirect. The study's inclusion criteria were human quasi-experimental investigated DCNN in screening melanoma. The analysis was conducted using RevMan 5.4 and Quality Assessment of Diagnostic Accuracy Studies 2 (QUADAS-2) to ensure the quality of the studies. RESULTS: Fifty-six of 2386 articles published in 2003 to 2023 were included and 24 studies were statistically analyzed. Various type of DCNN was used [artificial neural network (n=4); pigment network (n=4); atypical pigment network (n=1); ResNet (=8); AlexNet (n=3); visual geometry group </w:t>
            </w:r>
            <w:r w:rsidRPr="00053307">
              <w:rPr>
                <w:lang w:val="en-US"/>
              </w:rPr>
              <w:lastRenderedPageBreak/>
              <w:t xml:space="preserve">(n=7); inception (n=4); custom DCNN (n=4)]. The mean and median of total sample size in meta-analysis with melanoma subjects were (18,791; 2,157) </w:t>
            </w:r>
            <w:r w:rsidRPr="00053307">
              <w:rPr>
                <w:lang w:val="en-US"/>
              </w:rPr>
              <w:lastRenderedPageBreak/>
              <w:t>with (573; 261), respectively. Overall, QUADAS-2 showed low risk of bias. Diagnostic performance was observed with pooled sensitivity (0.881), pooled specificity (0.897), and pooled AUC (0.894). The precision and F1-score were ranging from 58% to 98.83% and 0.45 to 0.98. The forest plot and summary receiver operating characteristics curve (SROC) of each multiple in multiple analysis showed satisfactory results. CONCLUSIONS: DCNN showed significant result to screen melanoma in patients. It has the potential to help clinician in giving early screening.</w:t>
            </w:r>
          </w:p>
        </w:tc>
        <w:tc>
          <w:tcPr>
            <w:tcW w:w="2860" w:type="dxa"/>
            <w:hideMark/>
          </w:tcPr>
          <w:p w14:paraId="5A4596E6" w14:textId="77777777" w:rsidR="00053307" w:rsidRPr="00053307" w:rsidRDefault="00053307" w:rsidP="00053307">
            <w:pPr>
              <w:rPr>
                <w:lang w:val="en-US"/>
              </w:rPr>
            </w:pPr>
            <w:r w:rsidRPr="00053307">
              <w:rPr>
                <w:lang w:val="en-US"/>
              </w:rPr>
              <w:lastRenderedPageBreak/>
              <w:t xml:space="preserve">Maureen Miracle, S. and Rianto, L. and Kelvin, K. and Tandarto, K. and Setiadi, F. and Angela, A. and Brunner, T. M. and Darmawan, H. and Tanojo, H. and </w:t>
            </w:r>
            <w:r w:rsidRPr="00053307">
              <w:rPr>
                <w:lang w:val="en-US"/>
              </w:rPr>
              <w:lastRenderedPageBreak/>
              <w:t>Kupwiwat, R. and Hidajat, I. J. and Wanitphakdeedecha, R. and Yi, K. H.</w:t>
            </w:r>
          </w:p>
        </w:tc>
        <w:tc>
          <w:tcPr>
            <w:tcW w:w="1300" w:type="dxa"/>
            <w:hideMark/>
          </w:tcPr>
          <w:p w14:paraId="3ABAE6EC" w14:textId="77777777" w:rsidR="00053307" w:rsidRPr="00053307" w:rsidRDefault="00053307" w:rsidP="00053307">
            <w:r w:rsidRPr="00053307">
              <w:lastRenderedPageBreak/>
              <w:t>2026</w:t>
            </w:r>
          </w:p>
        </w:tc>
      </w:tr>
      <w:tr w:rsidR="00053307" w:rsidRPr="00053307" w14:paraId="33934777" w14:textId="77777777" w:rsidTr="00053307">
        <w:trPr>
          <w:trHeight w:val="750"/>
        </w:trPr>
        <w:tc>
          <w:tcPr>
            <w:tcW w:w="1300" w:type="dxa"/>
            <w:noWrap/>
            <w:hideMark/>
          </w:tcPr>
          <w:p w14:paraId="5557D5D8" w14:textId="77777777" w:rsidR="00053307" w:rsidRPr="00053307" w:rsidRDefault="00053307" w:rsidP="00053307">
            <w:r w:rsidRPr="00053307">
              <w:lastRenderedPageBreak/>
              <w:t>9749</w:t>
            </w:r>
          </w:p>
        </w:tc>
        <w:tc>
          <w:tcPr>
            <w:tcW w:w="2880" w:type="dxa"/>
            <w:hideMark/>
          </w:tcPr>
          <w:p w14:paraId="25B3903E" w14:textId="77777777" w:rsidR="00053307" w:rsidRPr="00053307" w:rsidRDefault="00053307" w:rsidP="00053307">
            <w:r w:rsidRPr="00053307">
              <w:t>Piel</w:t>
            </w:r>
          </w:p>
        </w:tc>
        <w:tc>
          <w:tcPr>
            <w:tcW w:w="4340" w:type="dxa"/>
            <w:hideMark/>
          </w:tcPr>
          <w:p w14:paraId="74B16D04" w14:textId="77777777" w:rsidR="00053307" w:rsidRPr="00053307" w:rsidRDefault="00053307">
            <w:pPr>
              <w:rPr>
                <w:lang w:val="en-US"/>
              </w:rPr>
            </w:pPr>
            <w:r w:rsidRPr="00053307">
              <w:rPr>
                <w:lang w:val="en-US"/>
              </w:rPr>
              <w:t xml:space="preserve">Skin Cancer Diagnosis by Lesion, Physician, and Examination Type: A Systematic </w:t>
            </w:r>
            <w:r w:rsidRPr="00053307">
              <w:rPr>
                <w:lang w:val="en-US"/>
              </w:rPr>
              <w:lastRenderedPageBreak/>
              <w:t>Review and Meta-Analysis</w:t>
            </w:r>
          </w:p>
        </w:tc>
        <w:tc>
          <w:tcPr>
            <w:tcW w:w="5120" w:type="dxa"/>
            <w:hideMark/>
          </w:tcPr>
          <w:p w14:paraId="55B03221" w14:textId="77777777" w:rsidR="00053307" w:rsidRPr="00053307" w:rsidRDefault="00053307">
            <w:pPr>
              <w:rPr>
                <w:lang w:val="en-US"/>
              </w:rPr>
            </w:pPr>
            <w:r w:rsidRPr="00053307">
              <w:rPr>
                <w:lang w:val="en-US"/>
              </w:rPr>
              <w:lastRenderedPageBreak/>
              <w:t xml:space="preserve">Importance: Skin cancer is the most common cancer in the US; accurate detection can minimize morbidity and mortality. Objective: </w:t>
            </w:r>
            <w:r w:rsidRPr="00053307">
              <w:rPr>
                <w:lang w:val="en-US"/>
              </w:rPr>
              <w:lastRenderedPageBreak/>
              <w:t xml:space="preserve">To assess the accuracy of skin cancer diagnosis by lesion type, physician specialty and experience, and physical examination method. Data Sources: PubMed, Embase, and Web of Science. Study Selection: </w:t>
            </w:r>
            <w:r w:rsidRPr="00053307">
              <w:rPr>
                <w:lang w:val="en-US"/>
              </w:rPr>
              <w:lastRenderedPageBreak/>
              <w:t xml:space="preserve">Cross-sectional and case-control studies, randomized clinical trials, and nonrandomized controlled trials that used dermatologists or primary care physicians (PCPs) to examine keratinocytic and/or melanocytic skin lesions were included. Data Extraction and Synthesis: Search terms, study objectives, and protocol methods were defined before study initiation. Data extraction was performed by a reviewer, with verification by a second reviewer. A mixed-effects model was used in the data analysis. Data analyses were performed from May 2022 to December 2023. Main Outcomes and Measures: Meta-analysis of diagnostic </w:t>
            </w:r>
            <w:r w:rsidRPr="00053307">
              <w:rPr>
                <w:lang w:val="en-US"/>
              </w:rPr>
              <w:lastRenderedPageBreak/>
              <w:t xml:space="preserve">accuracy comprised sensitivity and specificity by physician type (primary care physician or dermatologist; experienced or inexperienced) and examination method (in-person clinical examination and/or clinical images vs dermoscopy and/or dermoscopic images). Results: In all, 100 studies were included in the analysis. With experienced dermatologists using clinical examination and clinical images, the sensitivity and specificity for diagnosing keratinocytic carcinomas were 79.0% and 89.1%, respectively; using dermoscopy and dermoscopic images, sensitivity and specificity were 83.7% and 87.4%, and for PCPs, 81.4% and 80.1%. Experienced dermatologists had 2.5-fold higher odds of accurate diagnosis of keratinocytic carcinomas using in-person dermoscopy and dermoscopic images compared with in-person clinical examination and images. When </w:t>
            </w:r>
            <w:r w:rsidRPr="00053307">
              <w:rPr>
                <w:lang w:val="en-US"/>
              </w:rPr>
              <w:lastRenderedPageBreak/>
              <w:t xml:space="preserve">examining for melanoma using clinical examination and images, sensitivity and specificity were 76.9% and 89.1% for experienced dermatologists, 78.3% and 66.2% for inexperienced dermatologists, and 37.5% and 84.6% for PCPs, respectively; whereas when using dermoscopy and dermoscopic images, sensitivity and specificity were 85.7% and 81.3%, 78.0% and 69.5%, and 49.5% and 91.3%, respectively. Experienced dermatologists had 5.7-fold higher odds of accurate diagnosis of melanoma using dermoscopy compared with clinical examination. Compared with PCPs, experienced dermatologists had 13.3-fold higher odds of accurate diagnosis of melanoma using dermoscopic images. Conclusions and Relevance: The findings of this systematic review and meta-analysis indicate that there are significant differences in diagnostic accuracy </w:t>
            </w:r>
            <w:r w:rsidRPr="00053307">
              <w:rPr>
                <w:lang w:val="en-US"/>
              </w:rPr>
              <w:lastRenderedPageBreak/>
              <w:t>for skin cancer when comparing physician specialty and experience, and examination methods. These summary metrics of clinician diagnostic accuracy could be useful benchmarks for clinical trials, practitioner training, and the performance of emerging technologies.</w:t>
            </w:r>
          </w:p>
        </w:tc>
        <w:tc>
          <w:tcPr>
            <w:tcW w:w="2860" w:type="dxa"/>
            <w:hideMark/>
          </w:tcPr>
          <w:p w14:paraId="6380099B" w14:textId="77777777" w:rsidR="00053307" w:rsidRPr="00053307" w:rsidRDefault="00053307">
            <w:pPr>
              <w:rPr>
                <w:lang w:val="en-US"/>
              </w:rPr>
            </w:pPr>
            <w:r w:rsidRPr="00053307">
              <w:rPr>
                <w:lang w:val="en-US"/>
              </w:rPr>
              <w:lastRenderedPageBreak/>
              <w:t xml:space="preserve">Chen, J. Y. and Fernandez, K. and Fadadu, R. P. and Reddy, R. and Kim, M. O. and Tan, J. and Wei, </w:t>
            </w:r>
            <w:r w:rsidRPr="00053307">
              <w:rPr>
                <w:lang w:val="en-US"/>
              </w:rPr>
              <w:lastRenderedPageBreak/>
              <w:t>M. L.</w:t>
            </w:r>
          </w:p>
        </w:tc>
        <w:tc>
          <w:tcPr>
            <w:tcW w:w="1300" w:type="dxa"/>
            <w:hideMark/>
          </w:tcPr>
          <w:p w14:paraId="41FD758C" w14:textId="77777777" w:rsidR="00053307" w:rsidRPr="00053307" w:rsidRDefault="00053307" w:rsidP="00053307">
            <w:r w:rsidRPr="00053307">
              <w:lastRenderedPageBreak/>
              <w:t>2025</w:t>
            </w:r>
          </w:p>
        </w:tc>
      </w:tr>
      <w:tr w:rsidR="00053307" w:rsidRPr="00053307" w14:paraId="5B561AB3" w14:textId="77777777" w:rsidTr="00053307">
        <w:trPr>
          <w:trHeight w:val="750"/>
        </w:trPr>
        <w:tc>
          <w:tcPr>
            <w:tcW w:w="1300" w:type="dxa"/>
            <w:noWrap/>
            <w:hideMark/>
          </w:tcPr>
          <w:p w14:paraId="34295E46" w14:textId="77777777" w:rsidR="00053307" w:rsidRPr="00053307" w:rsidRDefault="00053307" w:rsidP="00053307">
            <w:r w:rsidRPr="00053307">
              <w:lastRenderedPageBreak/>
              <w:t>9754</w:t>
            </w:r>
          </w:p>
        </w:tc>
        <w:tc>
          <w:tcPr>
            <w:tcW w:w="2880" w:type="dxa"/>
            <w:hideMark/>
          </w:tcPr>
          <w:p w14:paraId="32126631" w14:textId="77777777" w:rsidR="00053307" w:rsidRPr="00053307" w:rsidRDefault="00053307" w:rsidP="00053307">
            <w:r w:rsidRPr="00053307">
              <w:t>Piel</w:t>
            </w:r>
          </w:p>
        </w:tc>
        <w:tc>
          <w:tcPr>
            <w:tcW w:w="4340" w:type="dxa"/>
            <w:hideMark/>
          </w:tcPr>
          <w:p w14:paraId="06E73993" w14:textId="77777777" w:rsidR="00053307" w:rsidRPr="00053307" w:rsidRDefault="00053307">
            <w:pPr>
              <w:rPr>
                <w:lang w:val="en-US"/>
              </w:rPr>
            </w:pPr>
            <w:r w:rsidRPr="00053307">
              <w:rPr>
                <w:lang w:val="en-US"/>
              </w:rPr>
              <w:t>European consensus-based interdisciplinary guideline for melanoma. Part 1: Diagnostics - Update 2024</w:t>
            </w:r>
          </w:p>
        </w:tc>
        <w:tc>
          <w:tcPr>
            <w:tcW w:w="5120" w:type="dxa"/>
            <w:hideMark/>
          </w:tcPr>
          <w:p w14:paraId="6F9872B9" w14:textId="77777777" w:rsidR="00053307" w:rsidRPr="00053307" w:rsidRDefault="00053307">
            <w:r w:rsidRPr="00053307">
              <w:rPr>
                <w:lang w:val="en-US"/>
              </w:rPr>
              <w:t xml:space="preserve">This guideline was developed in close collaboration with multidisciplinary experts from the European Association of Dermato-Oncology (EADO), the European Dermatology Forum (EDF) and the European Organization for Research and Treatment of Cancer (EORTC). Recommendations for the diagnosis and treatment of melanoma were developed on the basis of systematic literature research and consensus conferences. Cutaneous melanoma (CM) is the most dangerous form of skin tumor and accounts for 90 % of skin cancer mortality. The diagnosis of </w:t>
            </w:r>
            <w:r w:rsidRPr="00053307">
              <w:rPr>
                <w:lang w:val="en-US"/>
              </w:rPr>
              <w:lastRenderedPageBreak/>
              <w:t xml:space="preserve">melanoma can be made clinically and must always be confirmed by dermoscopy. If melanoma is suspected, a histopathological examination is always required. Sequential digital dermoscopy and whole-body photography can be used in high-risk patients to improve the detection of early-stage melanoma. If available, confocal reflectance microscopy can also improve the clinical diagnosis in special cases. Melanoma is classified according to the 8th version of the American Joint Committee on Cancer classification. For thin melanomas up to a tumor thickness of 0.8 mm, no further diagnostic imaging is required. From stage IB, lymph node sonography is recommended, but no further imaging examinations. From stage IIB/C, whole-body examinations with computed tomography or positron emission tomography CT in combination with magnetic resonance </w:t>
            </w:r>
            <w:r w:rsidRPr="00053307">
              <w:rPr>
                <w:lang w:val="en-US"/>
              </w:rPr>
              <w:lastRenderedPageBreak/>
              <w:t xml:space="preserve">imaging of the brain are recommended. From stage IIB/C and higher, a mutation test is recommended, especially for the BRAF V600 mutation. It is important to perform a structured follow-up to detect relapses and secondary primary melanomas as early as possible. A stage-based follow-up regimen is proposed, which in the experience of the guideline group covers the optimal requirements, although further studies may be considered. </w:t>
            </w:r>
            <w:proofErr w:type="spellStart"/>
            <w:r w:rsidRPr="00053307">
              <w:t>This</w:t>
            </w:r>
            <w:proofErr w:type="spellEnd"/>
            <w:r w:rsidRPr="00053307">
              <w:t xml:space="preserve"> </w:t>
            </w:r>
            <w:proofErr w:type="spellStart"/>
            <w:r w:rsidRPr="00053307">
              <w:t>guideline</w:t>
            </w:r>
            <w:proofErr w:type="spellEnd"/>
            <w:r w:rsidRPr="00053307">
              <w:t xml:space="preserve"> </w:t>
            </w:r>
            <w:proofErr w:type="spellStart"/>
            <w:r w:rsidRPr="00053307">
              <w:t>is</w:t>
            </w:r>
            <w:proofErr w:type="spellEnd"/>
            <w:r w:rsidRPr="00053307">
              <w:t xml:space="preserve"> </w:t>
            </w:r>
            <w:proofErr w:type="spellStart"/>
            <w:r w:rsidRPr="00053307">
              <w:t>valid</w:t>
            </w:r>
            <w:proofErr w:type="spellEnd"/>
            <w:r w:rsidRPr="00053307">
              <w:t xml:space="preserve"> </w:t>
            </w:r>
            <w:proofErr w:type="spellStart"/>
            <w:r w:rsidRPr="00053307">
              <w:t>until</w:t>
            </w:r>
            <w:proofErr w:type="spellEnd"/>
            <w:r w:rsidRPr="00053307">
              <w:t xml:space="preserve"> </w:t>
            </w:r>
            <w:proofErr w:type="spellStart"/>
            <w:r w:rsidRPr="00053307">
              <w:t>the</w:t>
            </w:r>
            <w:proofErr w:type="spellEnd"/>
            <w:r w:rsidRPr="00053307">
              <w:t xml:space="preserve"> </w:t>
            </w:r>
            <w:proofErr w:type="spellStart"/>
            <w:r w:rsidRPr="00053307">
              <w:t>end</w:t>
            </w:r>
            <w:proofErr w:type="spellEnd"/>
            <w:r w:rsidRPr="00053307">
              <w:t xml:space="preserve"> </w:t>
            </w:r>
            <w:proofErr w:type="spellStart"/>
            <w:r w:rsidRPr="00053307">
              <w:t>of</w:t>
            </w:r>
            <w:proofErr w:type="spellEnd"/>
            <w:r w:rsidRPr="00053307">
              <w:t xml:space="preserve"> 2026.</w:t>
            </w:r>
          </w:p>
        </w:tc>
        <w:tc>
          <w:tcPr>
            <w:tcW w:w="2860" w:type="dxa"/>
            <w:hideMark/>
          </w:tcPr>
          <w:p w14:paraId="4676177F" w14:textId="77777777" w:rsidR="00053307" w:rsidRPr="00053307" w:rsidRDefault="00053307">
            <w:pPr>
              <w:rPr>
                <w:lang w:val="en-US"/>
              </w:rPr>
            </w:pPr>
            <w:r w:rsidRPr="00053307">
              <w:rPr>
                <w:lang w:val="en-US"/>
              </w:rPr>
              <w:lastRenderedPageBreak/>
              <w:t xml:space="preserve">Garbe, C. and Amaral, T. and Peris, K. and Hauschild, A. and Arenberger, P. and Basset-Seguin, N. and Bastholt, L. and Bataille, V. and Brochez, L. and del Marmol, V. and Dréno, B. and Eggermont, A. M. M. and Fargnoli, M. C. and Forsea, A. M. and Höller, C. and Kaufmann, R. and Kelleners-Smeets, N. and Lallas, A. and Lebbé, C. and Leiter, U. and Longo, C. and Malvehy, J. and Moreno-Ramirez, D. and Nathan, P. and Pellacani, G. and Saiag, P. and Stockfleth, E. and Stratigos, A. J. and Van Akkooi, </w:t>
            </w:r>
            <w:r w:rsidRPr="00053307">
              <w:rPr>
                <w:lang w:val="en-US"/>
              </w:rPr>
              <w:lastRenderedPageBreak/>
              <w:t>A. C. J. and Vieira, R. and Zalaudek, I. and Lorigan, P. and Mandala, M.</w:t>
            </w:r>
          </w:p>
        </w:tc>
        <w:tc>
          <w:tcPr>
            <w:tcW w:w="1300" w:type="dxa"/>
            <w:hideMark/>
          </w:tcPr>
          <w:p w14:paraId="3B703961" w14:textId="77777777" w:rsidR="00053307" w:rsidRPr="00053307" w:rsidRDefault="00053307" w:rsidP="00053307">
            <w:r w:rsidRPr="00053307">
              <w:lastRenderedPageBreak/>
              <w:t>2025</w:t>
            </w:r>
          </w:p>
        </w:tc>
      </w:tr>
      <w:tr w:rsidR="00053307" w:rsidRPr="00053307" w14:paraId="6A92F75A" w14:textId="77777777" w:rsidTr="00053307">
        <w:trPr>
          <w:trHeight w:val="750"/>
        </w:trPr>
        <w:tc>
          <w:tcPr>
            <w:tcW w:w="1300" w:type="dxa"/>
            <w:noWrap/>
            <w:hideMark/>
          </w:tcPr>
          <w:p w14:paraId="114B246A" w14:textId="77777777" w:rsidR="00053307" w:rsidRPr="00053307" w:rsidRDefault="00053307" w:rsidP="00053307">
            <w:r w:rsidRPr="00053307">
              <w:lastRenderedPageBreak/>
              <w:t>9870</w:t>
            </w:r>
          </w:p>
        </w:tc>
        <w:tc>
          <w:tcPr>
            <w:tcW w:w="2880" w:type="dxa"/>
            <w:hideMark/>
          </w:tcPr>
          <w:p w14:paraId="0AC0B2C1" w14:textId="77777777" w:rsidR="00053307" w:rsidRPr="00053307" w:rsidRDefault="00053307" w:rsidP="00053307">
            <w:r w:rsidRPr="00053307">
              <w:t>Piel</w:t>
            </w:r>
          </w:p>
        </w:tc>
        <w:tc>
          <w:tcPr>
            <w:tcW w:w="4340" w:type="dxa"/>
            <w:hideMark/>
          </w:tcPr>
          <w:p w14:paraId="1D964B17" w14:textId="77777777" w:rsidR="00053307" w:rsidRPr="00053307" w:rsidRDefault="00053307">
            <w:pPr>
              <w:rPr>
                <w:lang w:val="en-US"/>
              </w:rPr>
            </w:pPr>
            <w:r w:rsidRPr="00053307">
              <w:rPr>
                <w:lang w:val="en-US"/>
              </w:rPr>
              <w:t>The impossibility of mortality evaluation of skin cancer screening in Germany based on health insurance data: a case–control study</w:t>
            </w:r>
          </w:p>
        </w:tc>
        <w:tc>
          <w:tcPr>
            <w:tcW w:w="5120" w:type="dxa"/>
            <w:hideMark/>
          </w:tcPr>
          <w:p w14:paraId="29CB74F1" w14:textId="77777777" w:rsidR="00053307" w:rsidRPr="00053307" w:rsidRDefault="00053307">
            <w:pPr>
              <w:rPr>
                <w:lang w:val="en-US"/>
              </w:rPr>
            </w:pPr>
            <w:r w:rsidRPr="00053307">
              <w:rPr>
                <w:lang w:val="en-US"/>
              </w:rPr>
              <w:t xml:space="preserve">Background: The aim of this paper was to perform a mortality evaluation of skin cancer screening (SCS) in Germany using General Local Health Insurance Fund (AOK) data. Methods: AOK-insured men and women aged 35–99 years who died of cutaneous malignant melanoma in 2015–2016 were identified. Controls were AOK-insured people who survived to the end of each case's year of </w:t>
            </w:r>
            <w:r w:rsidRPr="00053307">
              <w:rPr>
                <w:lang w:val="en-US"/>
              </w:rPr>
              <w:lastRenderedPageBreak/>
              <w:t xml:space="preserve">death. For each case, 10 controls were matched. The SCS history of each individual was reconstructed using the billing codes 01745 and 01746. Results: In total, 1037 melanoma deaths and 10,370 controls were included. Cumulative SCS prevalence increased among controls over calendar years, as expected (males and females, 2009: 13.5% and 12.5%; 2015: 52.1% and 55.1%). In contrast, among cases, cumulative SCS prevalence was already high in 2009 and did not show a monotonic increase over the years of diagnosis. Of the 1037 melanoma deaths, 224 (21.6%) had at least one SCS settled in the 12 months after diagnosis. Discussion: A mortality evaluation with health insurance data alone is not possible because SCS billing codes are not only used for real SCS but also for occasion-related diagnostic work-up of abnormal skin findings. A mortality evaluation with health insurance data requires an </w:t>
            </w:r>
            <w:r w:rsidRPr="00053307">
              <w:rPr>
                <w:lang w:val="en-US"/>
              </w:rPr>
              <w:lastRenderedPageBreak/>
              <w:t>individual linking with data of the screening physician and the cancer registries.</w:t>
            </w:r>
          </w:p>
        </w:tc>
        <w:tc>
          <w:tcPr>
            <w:tcW w:w="2860" w:type="dxa"/>
            <w:hideMark/>
          </w:tcPr>
          <w:p w14:paraId="7D52153E" w14:textId="77777777" w:rsidR="00053307" w:rsidRPr="00053307" w:rsidRDefault="00053307">
            <w:pPr>
              <w:rPr>
                <w:lang w:val="en-US"/>
              </w:rPr>
            </w:pPr>
            <w:r w:rsidRPr="00053307">
              <w:rPr>
                <w:lang w:val="en-US"/>
              </w:rPr>
              <w:lastRenderedPageBreak/>
              <w:t>Stang, A. and Schuldt, K. and Trocchi, P. and Neusser, S. and Speckemeier, C. and Pahmeier, K. and Wasem, J. and Lax, H. and Nonnemacher, M.</w:t>
            </w:r>
          </w:p>
        </w:tc>
        <w:tc>
          <w:tcPr>
            <w:tcW w:w="1300" w:type="dxa"/>
            <w:hideMark/>
          </w:tcPr>
          <w:p w14:paraId="5105E79B" w14:textId="77777777" w:rsidR="00053307" w:rsidRPr="00053307" w:rsidRDefault="00053307" w:rsidP="00053307">
            <w:r w:rsidRPr="00053307">
              <w:t>2022</w:t>
            </w:r>
          </w:p>
        </w:tc>
      </w:tr>
      <w:tr w:rsidR="00053307" w:rsidRPr="00053307" w14:paraId="0DA3FF6A" w14:textId="77777777" w:rsidTr="00053307">
        <w:trPr>
          <w:trHeight w:val="750"/>
        </w:trPr>
        <w:tc>
          <w:tcPr>
            <w:tcW w:w="1300" w:type="dxa"/>
            <w:noWrap/>
            <w:hideMark/>
          </w:tcPr>
          <w:p w14:paraId="232833EE" w14:textId="77777777" w:rsidR="00053307" w:rsidRPr="00053307" w:rsidRDefault="00053307" w:rsidP="00053307">
            <w:r w:rsidRPr="00053307">
              <w:lastRenderedPageBreak/>
              <w:t>9895</w:t>
            </w:r>
          </w:p>
        </w:tc>
        <w:tc>
          <w:tcPr>
            <w:tcW w:w="2880" w:type="dxa"/>
            <w:hideMark/>
          </w:tcPr>
          <w:p w14:paraId="585CEB14" w14:textId="77777777" w:rsidR="00053307" w:rsidRPr="00053307" w:rsidRDefault="00053307" w:rsidP="00053307">
            <w:r w:rsidRPr="00053307">
              <w:t>Piel</w:t>
            </w:r>
          </w:p>
        </w:tc>
        <w:tc>
          <w:tcPr>
            <w:tcW w:w="4340" w:type="dxa"/>
            <w:hideMark/>
          </w:tcPr>
          <w:p w14:paraId="7FB35240" w14:textId="77777777" w:rsidR="00053307" w:rsidRPr="00053307" w:rsidRDefault="00053307">
            <w:r w:rsidRPr="00053307">
              <w:rPr>
                <w:lang w:val="en-US"/>
              </w:rPr>
              <w:t xml:space="preserve">Are patients benefiting from participation in the German skin cancer screening programme? </w:t>
            </w:r>
            <w:r w:rsidRPr="00053307">
              <w:t xml:space="preserve">A </w:t>
            </w:r>
            <w:proofErr w:type="spellStart"/>
            <w:r w:rsidRPr="00053307">
              <w:t>large</w:t>
            </w:r>
            <w:proofErr w:type="spellEnd"/>
            <w:r w:rsidRPr="00053307">
              <w:t xml:space="preserve"> </w:t>
            </w:r>
            <w:proofErr w:type="spellStart"/>
            <w:r w:rsidRPr="00053307">
              <w:t>cohort</w:t>
            </w:r>
            <w:proofErr w:type="spellEnd"/>
            <w:r w:rsidRPr="00053307">
              <w:t xml:space="preserve"> </w:t>
            </w:r>
            <w:proofErr w:type="spellStart"/>
            <w:r w:rsidRPr="00053307">
              <w:t>study</w:t>
            </w:r>
            <w:proofErr w:type="spellEnd"/>
            <w:r w:rsidRPr="00053307">
              <w:t xml:space="preserve"> </w:t>
            </w:r>
            <w:proofErr w:type="spellStart"/>
            <w:r w:rsidRPr="00053307">
              <w:t>based</w:t>
            </w:r>
            <w:proofErr w:type="spellEnd"/>
            <w:r w:rsidRPr="00053307">
              <w:t xml:space="preserve"> </w:t>
            </w:r>
            <w:proofErr w:type="spellStart"/>
            <w:r w:rsidRPr="00053307">
              <w:t>on</w:t>
            </w:r>
            <w:proofErr w:type="spellEnd"/>
            <w:r w:rsidRPr="00053307">
              <w:t xml:space="preserve"> administrative data*</w:t>
            </w:r>
          </w:p>
        </w:tc>
        <w:tc>
          <w:tcPr>
            <w:tcW w:w="5120" w:type="dxa"/>
            <w:hideMark/>
          </w:tcPr>
          <w:p w14:paraId="1D676859" w14:textId="77777777" w:rsidR="00053307" w:rsidRPr="00053307" w:rsidRDefault="00053307">
            <w:pPr>
              <w:rPr>
                <w:lang w:val="en-US"/>
              </w:rPr>
            </w:pPr>
            <w:r w:rsidRPr="00053307">
              <w:rPr>
                <w:lang w:val="en-US"/>
              </w:rPr>
              <w:t xml:space="preserve">Background: The German programme for skin cancer screening was established in 2008 with the aim of reducing skin cancer mortality. However, the effectiveness and risk–benefit ratio of the programme remain unclear. Objectives: To compare the mortality rates of patients with melanoma who participate in a screening programme to those who do not. Methods: A retrospective cohort study, based on pseudonymized health insurance data of 1 431 327 individuals from Saxony, Germany, was conducted for the period 2010–2016. Patients with prevalent and incident melanoma were defined based on diagnosis, medical procedures and prescriptions. Patients who underwent screening and had a first diagnosis of melanoma within 2 years of screening </w:t>
            </w:r>
            <w:r w:rsidRPr="00053307">
              <w:rPr>
                <w:lang w:val="en-US"/>
              </w:rPr>
              <w:lastRenderedPageBreak/>
              <w:t xml:space="preserve">were assigned to the intervention group. Relative survival and Cox regression were used to assess potential differences in mortality. Results: We identified 4552 individuals with prevalent and 2475 individuals with incident melanoma. The percentage of screening participants (n = 1801) who had locoregional (4·2% vs. 13·5%) and/or distant metastases (4·3% vs. 8·0%), or who were treated with systemic anticancer therapies (11·6% vs. 21·8%) was lower vs. nonparticipants (n = 674). Screening participants had significantly better survival rates. The unadjusted Cox model gave a hazard ratio (HR) of 0·37 [95% confidence interval (CI) 0·30–0·46]. After adjusting for named confounders, the effect remained (HR 0·62, 95% CI 0·48–0·80). Conclusions: Patients who participated in the screening programme had lower mortality than those who had not undergone screening. However, these findings may </w:t>
            </w:r>
            <w:r w:rsidRPr="00053307">
              <w:rPr>
                <w:lang w:val="en-US"/>
              </w:rPr>
              <w:lastRenderedPageBreak/>
              <w:t>result from a healthy screen bias and/or overdiagnosis associated with screening, and not from the screening itself.</w:t>
            </w:r>
          </w:p>
        </w:tc>
        <w:tc>
          <w:tcPr>
            <w:tcW w:w="2860" w:type="dxa"/>
            <w:hideMark/>
          </w:tcPr>
          <w:p w14:paraId="231AE4FE" w14:textId="77777777" w:rsidR="00053307" w:rsidRPr="00053307" w:rsidRDefault="00053307">
            <w:pPr>
              <w:rPr>
                <w:lang w:val="en-US"/>
              </w:rPr>
            </w:pPr>
            <w:r w:rsidRPr="00053307">
              <w:rPr>
                <w:lang w:val="en-US"/>
              </w:rPr>
              <w:lastRenderedPageBreak/>
              <w:t>Datzmann, T. and Schoffer, O. and Meier, F. and Seidler, A. and Schmitt, J.</w:t>
            </w:r>
          </w:p>
        </w:tc>
        <w:tc>
          <w:tcPr>
            <w:tcW w:w="1300" w:type="dxa"/>
            <w:hideMark/>
          </w:tcPr>
          <w:p w14:paraId="59CFA2C3" w14:textId="77777777" w:rsidR="00053307" w:rsidRPr="00053307" w:rsidRDefault="00053307" w:rsidP="00053307">
            <w:r w:rsidRPr="00053307">
              <w:t>2022</w:t>
            </w:r>
          </w:p>
        </w:tc>
      </w:tr>
      <w:tr w:rsidR="00053307" w:rsidRPr="00053307" w14:paraId="10BB2875" w14:textId="77777777" w:rsidTr="00053307">
        <w:trPr>
          <w:trHeight w:val="750"/>
        </w:trPr>
        <w:tc>
          <w:tcPr>
            <w:tcW w:w="1300" w:type="dxa"/>
            <w:noWrap/>
            <w:hideMark/>
          </w:tcPr>
          <w:p w14:paraId="678A408D" w14:textId="77777777" w:rsidR="00053307" w:rsidRPr="00053307" w:rsidRDefault="00053307" w:rsidP="00053307">
            <w:r w:rsidRPr="00053307">
              <w:lastRenderedPageBreak/>
              <w:t>11661</w:t>
            </w:r>
          </w:p>
        </w:tc>
        <w:tc>
          <w:tcPr>
            <w:tcW w:w="2880" w:type="dxa"/>
            <w:hideMark/>
          </w:tcPr>
          <w:p w14:paraId="3DDB4028" w14:textId="77777777" w:rsidR="00053307" w:rsidRPr="00053307" w:rsidRDefault="00053307" w:rsidP="00053307">
            <w:r w:rsidRPr="00053307">
              <w:t>Piel</w:t>
            </w:r>
          </w:p>
        </w:tc>
        <w:tc>
          <w:tcPr>
            <w:tcW w:w="4340" w:type="dxa"/>
            <w:hideMark/>
          </w:tcPr>
          <w:p w14:paraId="1F391DB1" w14:textId="77777777" w:rsidR="00053307" w:rsidRPr="00053307" w:rsidRDefault="00053307">
            <w:pPr>
              <w:rPr>
                <w:lang w:val="en-US"/>
              </w:rPr>
            </w:pPr>
            <w:r w:rsidRPr="00053307">
              <w:rPr>
                <w:lang w:val="en-US"/>
              </w:rPr>
              <w:t>Diagnostic Accuracy of Novel Optical Imaging Techniques for Melanoma Detection: A Systematic Review and Meta-Analysis</w:t>
            </w:r>
          </w:p>
        </w:tc>
        <w:tc>
          <w:tcPr>
            <w:tcW w:w="5120" w:type="dxa"/>
            <w:hideMark/>
          </w:tcPr>
          <w:p w14:paraId="6D34DD00" w14:textId="77777777" w:rsidR="00053307" w:rsidRPr="00053307" w:rsidRDefault="00053307">
            <w:pPr>
              <w:rPr>
                <w:lang w:val="en-US"/>
              </w:rPr>
            </w:pPr>
            <w:r w:rsidRPr="00053307">
              <w:rPr>
                <w:lang w:val="en-US"/>
              </w:rPr>
              <w:t xml:space="preserve">The incidence of melanoma is increasing worldwide, requiring early detection to improve survival rates. Although dermoscopy is the standard non-invasive tool for diagnosing melanoma, it relies on experience and skill. Advances in optical imaging technologies and artificial intelligence have the potential to improve diagnostic accuracy. Our objective was to compare the diagnostic accuracy of novel non-invasive optical imaging techniques for melanoma detection. A systematic literature search was conducted in three databases (Medline, Embase, and CENTRAL) on November 15, 2023. Inclusion criteria focused on studies comparing the accuracy of optical imaging methods against histopathology. </w:t>
            </w:r>
            <w:r w:rsidRPr="00053307">
              <w:rPr>
                <w:lang w:val="en-US"/>
              </w:rPr>
              <w:lastRenderedPageBreak/>
              <w:t>Outcomes consisted of measures of diagnostic accuracy. Random-effects meta-analyses were performed for each method with 95% confidence intervals to summarize all relevant effect sizes. Of the 16,239 records, 141 articles met the inclusion criteria, of which 138 articles were eligible for the meta-analysis. Reflectance confocal microscopy (RCM) and dermoscopy combined with artificial intelligence (DSC</w:t>
            </w:r>
            <w:r w:rsidRPr="00053307">
              <w:rPr>
                <w:rFonts w:ascii="Arial" w:hAnsi="Arial" w:cs="Arial"/>
                <w:lang w:val="en-US"/>
              </w:rPr>
              <w:t> </w:t>
            </w:r>
            <w:r w:rsidRPr="00053307">
              <w:rPr>
                <w:lang w:val="en-US"/>
              </w:rPr>
              <w:t>+</w:t>
            </w:r>
            <w:r w:rsidRPr="00053307">
              <w:rPr>
                <w:rFonts w:ascii="Arial" w:hAnsi="Arial" w:cs="Arial"/>
                <w:lang w:val="en-US"/>
              </w:rPr>
              <w:t> </w:t>
            </w:r>
            <w:r w:rsidRPr="00053307">
              <w:rPr>
                <w:lang w:val="en-US"/>
              </w:rPr>
              <w:t>AI) had the highest sensitivity (0.93), with DSC</w:t>
            </w:r>
            <w:r w:rsidRPr="00053307">
              <w:rPr>
                <w:rFonts w:ascii="Arial" w:hAnsi="Arial" w:cs="Arial"/>
                <w:lang w:val="en-US"/>
              </w:rPr>
              <w:t> </w:t>
            </w:r>
            <w:r w:rsidRPr="00053307">
              <w:rPr>
                <w:lang w:val="en-US"/>
              </w:rPr>
              <w:t>+</w:t>
            </w:r>
            <w:r w:rsidRPr="00053307">
              <w:rPr>
                <w:rFonts w:ascii="Arial" w:hAnsi="Arial" w:cs="Arial"/>
                <w:lang w:val="en-US"/>
              </w:rPr>
              <w:t> </w:t>
            </w:r>
            <w:r w:rsidRPr="00053307">
              <w:rPr>
                <w:lang w:val="en-US"/>
              </w:rPr>
              <w:t>AI showing higher specificity (0.77 [0.70-0.83]) than RCM (0.749 [0.7475-0.7504]). Multispectral imaging combined with AI also showed high sensitivity (0.92 [0.82-0.97]) and relatively high specificity (0.80 [0.67-0.89]). Standalone dermoscopy exhibited balanced sensitivity (0.87 [0.84-0.90]) and specificity (0.82 [0.78-0.86]). In melanoma diagnosis, both RCM and DSC</w:t>
            </w:r>
            <w:r w:rsidRPr="00053307">
              <w:rPr>
                <w:rFonts w:ascii="Arial" w:hAnsi="Arial" w:cs="Arial"/>
                <w:lang w:val="en-US"/>
              </w:rPr>
              <w:t> </w:t>
            </w:r>
            <w:r w:rsidRPr="00053307">
              <w:rPr>
                <w:lang w:val="en-US"/>
              </w:rPr>
              <w:t>+</w:t>
            </w:r>
            <w:r w:rsidRPr="00053307">
              <w:rPr>
                <w:rFonts w:ascii="Arial" w:hAnsi="Arial" w:cs="Arial"/>
                <w:lang w:val="en-US"/>
              </w:rPr>
              <w:t> </w:t>
            </w:r>
            <w:r w:rsidRPr="00053307">
              <w:rPr>
                <w:lang w:val="en-US"/>
              </w:rPr>
              <w:t xml:space="preserve">AI can serve as second-step optical </w:t>
            </w:r>
            <w:r w:rsidRPr="00053307">
              <w:rPr>
                <w:lang w:val="en-US"/>
              </w:rPr>
              <w:lastRenderedPageBreak/>
              <w:t>evaluation methods for suspicious lesions following initial screening with DSC. By maintaining a strong emphasis on multimodal imaging, healthcare providers could improve early detection and outcomes for patients with melanoma.</w:t>
            </w:r>
          </w:p>
        </w:tc>
        <w:tc>
          <w:tcPr>
            <w:tcW w:w="2860" w:type="dxa"/>
            <w:hideMark/>
          </w:tcPr>
          <w:p w14:paraId="200F30B4" w14:textId="77777777" w:rsidR="00053307" w:rsidRPr="00053307" w:rsidRDefault="00053307">
            <w:pPr>
              <w:rPr>
                <w:lang w:val="en-US"/>
              </w:rPr>
            </w:pPr>
            <w:r w:rsidRPr="00053307">
              <w:rPr>
                <w:lang w:val="en-US"/>
              </w:rPr>
              <w:lastRenderedPageBreak/>
              <w:t>Varga, N. N. and Gulyas, L. and Meznerics, F. A. and Barkovskij-Jakobsen, K. S. and Banvolgyi, A. and Medvecz, M. and Kiss, N. and Varga, N. N. and Gulyas, L. and Meznerics, F. A. and Barkovskij-Jakobsen, K. S. and Szabo, B. and Hegyi, P. and Banvolgyi, A. and Medvecz, M. and Kiss, N. and Szabo, B. and Hegyi, P. and Hegyi, P.</w:t>
            </w:r>
          </w:p>
        </w:tc>
        <w:tc>
          <w:tcPr>
            <w:tcW w:w="1300" w:type="dxa"/>
            <w:hideMark/>
          </w:tcPr>
          <w:p w14:paraId="01CC2BDB" w14:textId="77777777" w:rsidR="00053307" w:rsidRPr="00053307" w:rsidRDefault="00053307" w:rsidP="00053307">
            <w:r w:rsidRPr="00053307">
              <w:t>2025</w:t>
            </w:r>
          </w:p>
        </w:tc>
      </w:tr>
      <w:tr w:rsidR="00053307" w:rsidRPr="00053307" w14:paraId="14C8D742" w14:textId="77777777" w:rsidTr="00053307">
        <w:trPr>
          <w:trHeight w:val="750"/>
        </w:trPr>
        <w:tc>
          <w:tcPr>
            <w:tcW w:w="1300" w:type="dxa"/>
            <w:noWrap/>
            <w:hideMark/>
          </w:tcPr>
          <w:p w14:paraId="770BD74F" w14:textId="77777777" w:rsidR="00053307" w:rsidRPr="00053307" w:rsidRDefault="00053307" w:rsidP="00053307">
            <w:r w:rsidRPr="00053307">
              <w:lastRenderedPageBreak/>
              <w:t>11676</w:t>
            </w:r>
          </w:p>
        </w:tc>
        <w:tc>
          <w:tcPr>
            <w:tcW w:w="2880" w:type="dxa"/>
            <w:hideMark/>
          </w:tcPr>
          <w:p w14:paraId="1C4FFB7F" w14:textId="77777777" w:rsidR="00053307" w:rsidRPr="00053307" w:rsidRDefault="00053307" w:rsidP="00053307">
            <w:r w:rsidRPr="00053307">
              <w:t>Piel</w:t>
            </w:r>
          </w:p>
        </w:tc>
        <w:tc>
          <w:tcPr>
            <w:tcW w:w="4340" w:type="dxa"/>
            <w:hideMark/>
          </w:tcPr>
          <w:p w14:paraId="436FEC1C" w14:textId="77777777" w:rsidR="00053307" w:rsidRPr="00053307" w:rsidRDefault="00053307">
            <w:r w:rsidRPr="00053307">
              <w:rPr>
                <w:lang w:val="en-US"/>
              </w:rPr>
              <w:t xml:space="preserve">Do Digital Visual Aids Improve Skin Self-Examination Behaviours? </w:t>
            </w:r>
            <w:r w:rsidRPr="00053307">
              <w:t xml:space="preserve">A </w:t>
            </w:r>
            <w:proofErr w:type="spellStart"/>
            <w:r w:rsidRPr="00053307">
              <w:t>Systematic</w:t>
            </w:r>
            <w:proofErr w:type="spellEnd"/>
            <w:r w:rsidRPr="00053307">
              <w:t xml:space="preserve"> Review</w:t>
            </w:r>
          </w:p>
        </w:tc>
        <w:tc>
          <w:tcPr>
            <w:tcW w:w="5120" w:type="dxa"/>
            <w:hideMark/>
          </w:tcPr>
          <w:p w14:paraId="37C1D81F" w14:textId="77777777" w:rsidR="00053307" w:rsidRPr="00053307" w:rsidRDefault="00053307">
            <w:pPr>
              <w:rPr>
                <w:lang w:val="en-US"/>
              </w:rPr>
            </w:pPr>
            <w:r w:rsidRPr="00053307">
              <w:rPr>
                <w:lang w:val="en-US"/>
              </w:rPr>
              <w:t xml:space="preserve">Digital visual aids like smartphone applications can potentially increase uptake and maintenance of Self-Skin Examination (SSE) behaviours, which is an essential secondary prevention strategy for early detection of skin cancer. This review aimed to understand whether digital visual aids with lesion monitoring functions improve SSE behaviours without negatively impacting health outcomes. A systematic search was performed using six databases for relevant literature published before June 2025. Studies were included if they used digital interventions that could monitor skin lesions and reported outcomes on SSE behaviours or their </w:t>
            </w:r>
            <w:r w:rsidRPr="00053307">
              <w:rPr>
                <w:lang w:val="en-US"/>
              </w:rPr>
              <w:lastRenderedPageBreak/>
              <w:t xml:space="preserve">antecedents, such as SSE knowledge, attitudes and intentions. Data were analysed following an adapted Technological Acceptance Model framework. Twenty studies conducted in the United States, the United Kingdom, or Australia involving 19 to 1,000 participants were included. Nineteen studies were randomised controlled trials (RCTs) or nested within RCTs, with one non-nested cross-sectional study. Interventions were delivered by smartphone and/or tablet applications, or websites. Studies found digital visual aids led to improved knowledge (n = 6), perceived usefulness (n = 5), ease of use (n = 7), attitudes towards SSE (n = 13), as well as intention to perform regular SSE (n = 5). Overall, there was a positive impact on health outcomes, with only two studies reporting an increase in anxiety and worry following the intervention. Three of seven studies demonstrated an increased likelihood of detecting malignant </w:t>
            </w:r>
            <w:r w:rsidRPr="00053307">
              <w:rPr>
                <w:lang w:val="en-US"/>
              </w:rPr>
              <w:lastRenderedPageBreak/>
              <w:t>skin lesions when monitoring using digitally aided SSE. There is potential for digital visual aids to improve SSE behaviours. However, it is important to address barriers to the use of digital visual aids for SSE and to improve their integration with clinical care.</w:t>
            </w:r>
          </w:p>
        </w:tc>
        <w:tc>
          <w:tcPr>
            <w:tcW w:w="2860" w:type="dxa"/>
            <w:hideMark/>
          </w:tcPr>
          <w:p w14:paraId="228CF0F5" w14:textId="77777777" w:rsidR="00053307" w:rsidRPr="00053307" w:rsidRDefault="00053307">
            <w:pPr>
              <w:rPr>
                <w:lang w:val="en-US"/>
              </w:rPr>
            </w:pPr>
            <w:r w:rsidRPr="00053307">
              <w:rPr>
                <w:lang w:val="en-US"/>
              </w:rPr>
              <w:lastRenderedPageBreak/>
              <w:t>Abdalla, H. and Joyce, J. and Hussain, N. A. B. and Janda, M.</w:t>
            </w:r>
          </w:p>
        </w:tc>
        <w:tc>
          <w:tcPr>
            <w:tcW w:w="1300" w:type="dxa"/>
            <w:hideMark/>
          </w:tcPr>
          <w:p w14:paraId="1404BCBA" w14:textId="77777777" w:rsidR="00053307" w:rsidRPr="00053307" w:rsidRDefault="00053307" w:rsidP="00053307">
            <w:r w:rsidRPr="00053307">
              <w:t>2026</w:t>
            </w:r>
          </w:p>
        </w:tc>
      </w:tr>
      <w:tr w:rsidR="00053307" w:rsidRPr="00053307" w14:paraId="0581C4C3" w14:textId="77777777" w:rsidTr="00053307">
        <w:trPr>
          <w:trHeight w:val="750"/>
        </w:trPr>
        <w:tc>
          <w:tcPr>
            <w:tcW w:w="1300" w:type="dxa"/>
            <w:noWrap/>
            <w:hideMark/>
          </w:tcPr>
          <w:p w14:paraId="77F6AE7A" w14:textId="77777777" w:rsidR="00053307" w:rsidRPr="00053307" w:rsidRDefault="00053307" w:rsidP="00053307">
            <w:r w:rsidRPr="00053307">
              <w:lastRenderedPageBreak/>
              <w:t>11714</w:t>
            </w:r>
          </w:p>
        </w:tc>
        <w:tc>
          <w:tcPr>
            <w:tcW w:w="2880" w:type="dxa"/>
            <w:hideMark/>
          </w:tcPr>
          <w:p w14:paraId="4D9084AB" w14:textId="77777777" w:rsidR="00053307" w:rsidRPr="00053307" w:rsidRDefault="00053307" w:rsidP="00053307">
            <w:r w:rsidRPr="00053307">
              <w:t>Piel</w:t>
            </w:r>
          </w:p>
        </w:tc>
        <w:tc>
          <w:tcPr>
            <w:tcW w:w="4340" w:type="dxa"/>
            <w:hideMark/>
          </w:tcPr>
          <w:p w14:paraId="3C3E61D3" w14:textId="77777777" w:rsidR="00053307" w:rsidRPr="00053307" w:rsidRDefault="00053307">
            <w:pPr>
              <w:rPr>
                <w:lang w:val="en-US"/>
              </w:rPr>
            </w:pPr>
            <w:r w:rsidRPr="00053307">
              <w:rPr>
                <w:lang w:val="en-US"/>
              </w:rPr>
              <w:t>Sensitivity and Specificity for Skin Cancer Diagnosis in Primary Care Providers: a Systematic Literature Review and Meta-analysis of Educational Interventions and Diagnostic Algorithms</w:t>
            </w:r>
          </w:p>
        </w:tc>
        <w:tc>
          <w:tcPr>
            <w:tcW w:w="5120" w:type="dxa"/>
            <w:hideMark/>
          </w:tcPr>
          <w:p w14:paraId="403B9CFD" w14:textId="77777777" w:rsidR="00053307" w:rsidRPr="00053307" w:rsidRDefault="00053307">
            <w:pPr>
              <w:rPr>
                <w:lang w:val="en-US"/>
              </w:rPr>
            </w:pPr>
            <w:r w:rsidRPr="00053307">
              <w:rPr>
                <w:lang w:val="en-US"/>
              </w:rPr>
              <w:t xml:space="preserve">BACKGROUND: In areas without convenient access to dermatology care, primary care providers (PCPs) serve as an important patient resource for early skin cancer detection. To determine the most effective strategy for skin cancer detection training in PCPs, we conducted a systematic review of educational interventions and performed a meta-analysis on sensitivity and specificity outcomes in PCPs. OBJECTIVES: To summarize data on skin cancer sensitivity and specificity outcomes for PCP-targeted training programs and diagnostic algorithms. Our PCP cohort included practicing </w:t>
            </w:r>
            <w:r w:rsidRPr="00053307">
              <w:rPr>
                <w:lang w:val="en-US"/>
              </w:rPr>
              <w:lastRenderedPageBreak/>
              <w:t xml:space="preserve">physicians, trainee physicians, and advanced practice practitioners. METHODS: A literature search was performed in MEDLINE, Embase, Web of Science, and the Cochrane Library for relevant English-language articles published worldwide from 2000 onward. Results were screened for eligibility, and overlapping datasets were reconciled. Data extracted included the educational intervention, diagnostic algorithm, and outcomes of interest (sensitivity and specificity). Outcomes were pooled across interventions that taught the same diagnostic algorithm. A bivariate model was fit to compare different interventions/algorithms. This review followed the PRISMA guidelines. RESULTS: In total, 21 articles were included in this review, encompassing over 58,610 assessments of skin lesions by about 1529 participants worldwide. Training programs that implemented the </w:t>
            </w:r>
            <w:r w:rsidRPr="00053307">
              <w:rPr>
                <w:lang w:val="en-US"/>
              </w:rPr>
              <w:lastRenderedPageBreak/>
              <w:t>triage-amalgamated dermoscopic algorithm (TADA) demonstrated high pooled sensitivity (91.7%) and high pooled specificity (81.4%) among PCPs. CONCLUSIONS AND RELEVANCE: Overall, this systematic review and meta-analysis showed that dermoscopy training in PCPs was generally associated with gains in skin cancer sensitivity without loss of specificity. Clinically, this correlates with fewer skin cancers overlooked by PCPs and fewer excisions of benign lesions.</w:t>
            </w:r>
          </w:p>
        </w:tc>
        <w:tc>
          <w:tcPr>
            <w:tcW w:w="2860" w:type="dxa"/>
            <w:hideMark/>
          </w:tcPr>
          <w:p w14:paraId="4A027EBC" w14:textId="77777777" w:rsidR="00053307" w:rsidRPr="00053307" w:rsidRDefault="00053307">
            <w:pPr>
              <w:rPr>
                <w:lang w:val="en-US"/>
              </w:rPr>
            </w:pPr>
            <w:r w:rsidRPr="00053307">
              <w:rPr>
                <w:lang w:val="en-US"/>
              </w:rPr>
              <w:lastRenderedPageBreak/>
              <w:t>Gonna, N. and Tran, T. and Bassett, R. L. and Farris, D. P. and Nelson, K. C.</w:t>
            </w:r>
          </w:p>
        </w:tc>
        <w:tc>
          <w:tcPr>
            <w:tcW w:w="1300" w:type="dxa"/>
            <w:hideMark/>
          </w:tcPr>
          <w:p w14:paraId="5CC4D08E" w14:textId="77777777" w:rsidR="00053307" w:rsidRPr="00053307" w:rsidRDefault="00053307" w:rsidP="00053307">
            <w:r w:rsidRPr="00053307">
              <w:t>2022</w:t>
            </w:r>
          </w:p>
        </w:tc>
      </w:tr>
      <w:tr w:rsidR="00053307" w:rsidRPr="00053307" w14:paraId="12E70E67" w14:textId="77777777" w:rsidTr="00053307">
        <w:trPr>
          <w:trHeight w:val="750"/>
        </w:trPr>
        <w:tc>
          <w:tcPr>
            <w:tcW w:w="1300" w:type="dxa"/>
            <w:noWrap/>
            <w:hideMark/>
          </w:tcPr>
          <w:p w14:paraId="5E6612E7" w14:textId="77777777" w:rsidR="00053307" w:rsidRPr="00053307" w:rsidRDefault="00053307" w:rsidP="00053307">
            <w:r w:rsidRPr="00053307">
              <w:lastRenderedPageBreak/>
              <w:t>11720</w:t>
            </w:r>
          </w:p>
        </w:tc>
        <w:tc>
          <w:tcPr>
            <w:tcW w:w="2880" w:type="dxa"/>
            <w:hideMark/>
          </w:tcPr>
          <w:p w14:paraId="0CF00C40" w14:textId="77777777" w:rsidR="00053307" w:rsidRPr="00053307" w:rsidRDefault="00053307" w:rsidP="00053307">
            <w:r w:rsidRPr="00053307">
              <w:t>Piel</w:t>
            </w:r>
          </w:p>
        </w:tc>
        <w:tc>
          <w:tcPr>
            <w:tcW w:w="4340" w:type="dxa"/>
            <w:hideMark/>
          </w:tcPr>
          <w:p w14:paraId="7012AF0A" w14:textId="77777777" w:rsidR="00053307" w:rsidRPr="00053307" w:rsidRDefault="00053307">
            <w:pPr>
              <w:rPr>
                <w:lang w:val="en-US"/>
              </w:rPr>
            </w:pPr>
            <w:r w:rsidRPr="00053307">
              <w:rPr>
                <w:lang w:val="en-US"/>
              </w:rPr>
              <w:t>Blood-based circulating microRNAs as diagnostic biomarkers in cutaneous melanoma: a systematic review and meta-analysis</w:t>
            </w:r>
          </w:p>
        </w:tc>
        <w:tc>
          <w:tcPr>
            <w:tcW w:w="5120" w:type="dxa"/>
            <w:hideMark/>
          </w:tcPr>
          <w:p w14:paraId="17D210E4" w14:textId="77777777" w:rsidR="00053307" w:rsidRPr="00053307" w:rsidRDefault="00053307">
            <w:pPr>
              <w:rPr>
                <w:lang w:val="en-US"/>
              </w:rPr>
            </w:pPr>
            <w:r w:rsidRPr="00053307">
              <w:rPr>
                <w:lang w:val="en-US"/>
              </w:rPr>
              <w:t xml:space="preserve">With the ever-increasing incidence of cutaneous melanoma (CM), early detection has become pivotal for ensuring patient survival. MicroRNAs (miRNAs) are promising diagnostic biomarkers owing to their stability and wide availability in various body fluids. This systematic review and meta-analysis evaluated the diagnostic performance of blood-based circulating free miRNAs and extracellular vesicle </w:t>
            </w:r>
            <w:r w:rsidRPr="00053307">
              <w:rPr>
                <w:lang w:val="en-US"/>
              </w:rPr>
              <w:lastRenderedPageBreak/>
              <w:t xml:space="preserve">(EV)-derived miRNAs for CM. The study protocol was registered in PROSPERO (CRD420251125262). A total of 557 records were identified, with 11 studies included in the systematic review and 10 in the meta-analysis. Diagnostic performance was evaluated for all studies combined, and separately for individual miRNA and miRNA combinations. The bivariate model showed a pooled sensitivity of 0.86, specificity of 0.85, and diagnostic odds ratio (DOR) of 33.52. Separate analyses indicated that individual miRNAs yielded sensitivity, specificity, and DOR values of 0.80, 0.78, and 13.71, respectively. On the other hand, miRNA combinations achieved superior accuracy with a sensitivity of 0.91, specificity of 0.89, and DOR of 84.05. Subgroup analysis demonstrated that the plasma samples outperformed the other sample sources. Overall, circulating miRNAs exhibit strong potential as </w:t>
            </w:r>
            <w:r w:rsidRPr="00053307">
              <w:rPr>
                <w:lang w:val="en-US"/>
              </w:rPr>
              <w:lastRenderedPageBreak/>
              <w:t>noninvasive diagnostic biomarkers for CM.</w:t>
            </w:r>
          </w:p>
        </w:tc>
        <w:tc>
          <w:tcPr>
            <w:tcW w:w="2860" w:type="dxa"/>
            <w:hideMark/>
          </w:tcPr>
          <w:p w14:paraId="70DEB0D9" w14:textId="77777777" w:rsidR="00053307" w:rsidRPr="00053307" w:rsidRDefault="00053307">
            <w:pPr>
              <w:rPr>
                <w:lang w:val="en-US"/>
              </w:rPr>
            </w:pPr>
            <w:r w:rsidRPr="00053307">
              <w:rPr>
                <w:lang w:val="en-US"/>
              </w:rPr>
              <w:lastRenderedPageBreak/>
              <w:t>Pramono, H. and Ekowati, A. L. and Pinandyo, S. H. and Siswanto, F. M.</w:t>
            </w:r>
          </w:p>
        </w:tc>
        <w:tc>
          <w:tcPr>
            <w:tcW w:w="1300" w:type="dxa"/>
            <w:hideMark/>
          </w:tcPr>
          <w:p w14:paraId="2A33739D" w14:textId="77777777" w:rsidR="00053307" w:rsidRPr="00053307" w:rsidRDefault="00053307" w:rsidP="00053307">
            <w:r w:rsidRPr="00053307">
              <w:t>2026</w:t>
            </w:r>
          </w:p>
        </w:tc>
      </w:tr>
    </w:tbl>
    <w:p w14:paraId="4CC4EB92" w14:textId="77777777" w:rsidR="000438E6" w:rsidRDefault="000438E6"/>
    <w:sectPr w:rsidR="000438E6" w:rsidSect="00053307">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752B8"/>
    <w:multiLevelType w:val="multilevel"/>
    <w:tmpl w:val="26AE67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ABA5148"/>
    <w:multiLevelType w:val="multilevel"/>
    <w:tmpl w:val="3F425522"/>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720"/>
      </w:pPr>
      <w:rPr>
        <w:rFonts w:hint="default"/>
      </w:rPr>
    </w:lvl>
    <w:lvl w:ilvl="2">
      <w:start w:val="1"/>
      <w:numFmt w:val="decimal"/>
      <w:lvlText w:val="%1.%2.%3"/>
      <w:lvlJc w:val="left"/>
      <w:pPr>
        <w:ind w:left="1362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880" w:hanging="2880"/>
      </w:pPr>
      <w:rPr>
        <w:rFonts w:hint="default"/>
      </w:rPr>
    </w:lvl>
    <w:lvl w:ilvl="8">
      <w:start w:val="1"/>
      <w:numFmt w:val="decimal"/>
      <w:isLgl/>
      <w:lvlText w:val="%1.%2.%3.%4.%5.%6.%7.%8.%9"/>
      <w:lvlJc w:val="left"/>
      <w:pPr>
        <w:ind w:left="2880" w:hanging="2880"/>
      </w:pPr>
      <w:rPr>
        <w:rFonts w:hint="default"/>
      </w:rPr>
    </w:lvl>
  </w:abstractNum>
  <w:num w:numId="1" w16cid:durableId="1591235641">
    <w:abstractNumId w:val="1"/>
  </w:num>
  <w:num w:numId="2" w16cid:durableId="112951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stylePaneFormatFilter w:val="C724" w:allStyles="0" w:customStyles="0" w:latentStyles="1" w:stylesInUse="0" w:headingStyles="1" w:numberingStyles="0" w:tableStyles="0" w:directFormattingOnRuns="1" w:directFormattingOnParagraphs="1" w:directFormattingOnNumbering="1" w:directFormattingOnTables="0" w:clearFormatting="0" w:top3HeadingStyles="0" w:visibleStyles="1" w:alternateStyleNames="1"/>
  <w:stylePaneSortMethod w:val="00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53307"/>
    <w:rsid w:val="000004DD"/>
    <w:rsid w:val="00002C14"/>
    <w:rsid w:val="00003A07"/>
    <w:rsid w:val="0000532A"/>
    <w:rsid w:val="00015246"/>
    <w:rsid w:val="0001719C"/>
    <w:rsid w:val="0002405B"/>
    <w:rsid w:val="00026B10"/>
    <w:rsid w:val="00031049"/>
    <w:rsid w:val="0003623A"/>
    <w:rsid w:val="00042758"/>
    <w:rsid w:val="00042F5F"/>
    <w:rsid w:val="000438E6"/>
    <w:rsid w:val="00050B2C"/>
    <w:rsid w:val="00053185"/>
    <w:rsid w:val="00053307"/>
    <w:rsid w:val="00053810"/>
    <w:rsid w:val="00060358"/>
    <w:rsid w:val="00060C41"/>
    <w:rsid w:val="0006137F"/>
    <w:rsid w:val="00067091"/>
    <w:rsid w:val="00073976"/>
    <w:rsid w:val="00074536"/>
    <w:rsid w:val="00076853"/>
    <w:rsid w:val="000778D0"/>
    <w:rsid w:val="00080358"/>
    <w:rsid w:val="00084156"/>
    <w:rsid w:val="000925F3"/>
    <w:rsid w:val="000A09BF"/>
    <w:rsid w:val="000A74AA"/>
    <w:rsid w:val="000A7AA8"/>
    <w:rsid w:val="000A7DB0"/>
    <w:rsid w:val="000B26FC"/>
    <w:rsid w:val="000B6D03"/>
    <w:rsid w:val="000C49CC"/>
    <w:rsid w:val="000C5819"/>
    <w:rsid w:val="000C71B2"/>
    <w:rsid w:val="000C7461"/>
    <w:rsid w:val="000D31AE"/>
    <w:rsid w:val="000D4031"/>
    <w:rsid w:val="000D7076"/>
    <w:rsid w:val="000D7FE2"/>
    <w:rsid w:val="000E0811"/>
    <w:rsid w:val="000E116F"/>
    <w:rsid w:val="000E1813"/>
    <w:rsid w:val="000E1C3E"/>
    <w:rsid w:val="000E6B49"/>
    <w:rsid w:val="000F4B18"/>
    <w:rsid w:val="001058D2"/>
    <w:rsid w:val="001126F5"/>
    <w:rsid w:val="00112AE8"/>
    <w:rsid w:val="001130C3"/>
    <w:rsid w:val="00113723"/>
    <w:rsid w:val="00124686"/>
    <w:rsid w:val="001310BE"/>
    <w:rsid w:val="00132F67"/>
    <w:rsid w:val="00137FCD"/>
    <w:rsid w:val="00150DCD"/>
    <w:rsid w:val="0015345D"/>
    <w:rsid w:val="00154970"/>
    <w:rsid w:val="001607EA"/>
    <w:rsid w:val="0016254E"/>
    <w:rsid w:val="0016258C"/>
    <w:rsid w:val="00171815"/>
    <w:rsid w:val="00171941"/>
    <w:rsid w:val="001765CD"/>
    <w:rsid w:val="00177AA9"/>
    <w:rsid w:val="00181FBC"/>
    <w:rsid w:val="00195FA6"/>
    <w:rsid w:val="001A0991"/>
    <w:rsid w:val="001A404B"/>
    <w:rsid w:val="001B277E"/>
    <w:rsid w:val="001B67B3"/>
    <w:rsid w:val="001C34B3"/>
    <w:rsid w:val="001C480C"/>
    <w:rsid w:val="001C7F64"/>
    <w:rsid w:val="001D170D"/>
    <w:rsid w:val="001D59B5"/>
    <w:rsid w:val="001E06D1"/>
    <w:rsid w:val="001E470F"/>
    <w:rsid w:val="001E69B0"/>
    <w:rsid w:val="001E759D"/>
    <w:rsid w:val="001E77DB"/>
    <w:rsid w:val="001F59AD"/>
    <w:rsid w:val="00202D71"/>
    <w:rsid w:val="00203D26"/>
    <w:rsid w:val="00203F39"/>
    <w:rsid w:val="0020568D"/>
    <w:rsid w:val="002106D0"/>
    <w:rsid w:val="00213622"/>
    <w:rsid w:val="00220C66"/>
    <w:rsid w:val="00222C24"/>
    <w:rsid w:val="002305D7"/>
    <w:rsid w:val="00247F63"/>
    <w:rsid w:val="00260455"/>
    <w:rsid w:val="002617E9"/>
    <w:rsid w:val="00261A50"/>
    <w:rsid w:val="002630C6"/>
    <w:rsid w:val="00265F91"/>
    <w:rsid w:val="00270C74"/>
    <w:rsid w:val="00271C00"/>
    <w:rsid w:val="00272379"/>
    <w:rsid w:val="00272736"/>
    <w:rsid w:val="002727B3"/>
    <w:rsid w:val="00273859"/>
    <w:rsid w:val="00284E64"/>
    <w:rsid w:val="00291086"/>
    <w:rsid w:val="00294B0E"/>
    <w:rsid w:val="002A6CCB"/>
    <w:rsid w:val="002B0A3C"/>
    <w:rsid w:val="002B39A0"/>
    <w:rsid w:val="002B4164"/>
    <w:rsid w:val="002B4F19"/>
    <w:rsid w:val="002B54D2"/>
    <w:rsid w:val="002C1166"/>
    <w:rsid w:val="002C4206"/>
    <w:rsid w:val="002C6221"/>
    <w:rsid w:val="002C68CF"/>
    <w:rsid w:val="002C6CFF"/>
    <w:rsid w:val="002D2D76"/>
    <w:rsid w:val="002D6D2D"/>
    <w:rsid w:val="002E1279"/>
    <w:rsid w:val="002F4FA0"/>
    <w:rsid w:val="002F51CF"/>
    <w:rsid w:val="002F5984"/>
    <w:rsid w:val="0030029C"/>
    <w:rsid w:val="00310CDF"/>
    <w:rsid w:val="0031316F"/>
    <w:rsid w:val="00327D8B"/>
    <w:rsid w:val="003309F6"/>
    <w:rsid w:val="00335AD2"/>
    <w:rsid w:val="00337472"/>
    <w:rsid w:val="00350BAA"/>
    <w:rsid w:val="00351A8E"/>
    <w:rsid w:val="0035363F"/>
    <w:rsid w:val="00361C09"/>
    <w:rsid w:val="00364CC2"/>
    <w:rsid w:val="00366161"/>
    <w:rsid w:val="003664EC"/>
    <w:rsid w:val="00374FA1"/>
    <w:rsid w:val="003754B0"/>
    <w:rsid w:val="00376EB9"/>
    <w:rsid w:val="003854DD"/>
    <w:rsid w:val="003869F6"/>
    <w:rsid w:val="003905D1"/>
    <w:rsid w:val="00392215"/>
    <w:rsid w:val="00393C83"/>
    <w:rsid w:val="0039455C"/>
    <w:rsid w:val="0039536F"/>
    <w:rsid w:val="0039552F"/>
    <w:rsid w:val="00397140"/>
    <w:rsid w:val="00397593"/>
    <w:rsid w:val="003A0766"/>
    <w:rsid w:val="003A0FCB"/>
    <w:rsid w:val="003A2A87"/>
    <w:rsid w:val="003A52C9"/>
    <w:rsid w:val="003A792E"/>
    <w:rsid w:val="003B27E3"/>
    <w:rsid w:val="003B54FF"/>
    <w:rsid w:val="003C234F"/>
    <w:rsid w:val="003C51F7"/>
    <w:rsid w:val="003D0852"/>
    <w:rsid w:val="003D3302"/>
    <w:rsid w:val="003D3D07"/>
    <w:rsid w:val="003D5A00"/>
    <w:rsid w:val="003D5D03"/>
    <w:rsid w:val="003E4DE3"/>
    <w:rsid w:val="003F0E0E"/>
    <w:rsid w:val="0040244C"/>
    <w:rsid w:val="00404875"/>
    <w:rsid w:val="00405DC3"/>
    <w:rsid w:val="00427201"/>
    <w:rsid w:val="00427A14"/>
    <w:rsid w:val="00431768"/>
    <w:rsid w:val="00433B20"/>
    <w:rsid w:val="00434A32"/>
    <w:rsid w:val="00434F94"/>
    <w:rsid w:val="00435C20"/>
    <w:rsid w:val="00440E3B"/>
    <w:rsid w:val="00443E43"/>
    <w:rsid w:val="0044782C"/>
    <w:rsid w:val="00451804"/>
    <w:rsid w:val="00452905"/>
    <w:rsid w:val="004530A9"/>
    <w:rsid w:val="00461D27"/>
    <w:rsid w:val="00463587"/>
    <w:rsid w:val="00463AFA"/>
    <w:rsid w:val="00463D1B"/>
    <w:rsid w:val="00472728"/>
    <w:rsid w:val="00472A4B"/>
    <w:rsid w:val="00475212"/>
    <w:rsid w:val="00485AB1"/>
    <w:rsid w:val="00490EAD"/>
    <w:rsid w:val="004941B6"/>
    <w:rsid w:val="004A2036"/>
    <w:rsid w:val="004A3189"/>
    <w:rsid w:val="004A5020"/>
    <w:rsid w:val="004A6913"/>
    <w:rsid w:val="004B7906"/>
    <w:rsid w:val="004C07F5"/>
    <w:rsid w:val="004C6C04"/>
    <w:rsid w:val="004D373F"/>
    <w:rsid w:val="004D4408"/>
    <w:rsid w:val="004D57D1"/>
    <w:rsid w:val="004F1BA3"/>
    <w:rsid w:val="004F222B"/>
    <w:rsid w:val="004F4A57"/>
    <w:rsid w:val="00502DC5"/>
    <w:rsid w:val="00511FF3"/>
    <w:rsid w:val="00516D17"/>
    <w:rsid w:val="00525A99"/>
    <w:rsid w:val="0053593C"/>
    <w:rsid w:val="00536167"/>
    <w:rsid w:val="00550BB6"/>
    <w:rsid w:val="005520C4"/>
    <w:rsid w:val="005578D7"/>
    <w:rsid w:val="0056120C"/>
    <w:rsid w:val="005619D1"/>
    <w:rsid w:val="00562BFC"/>
    <w:rsid w:val="00577064"/>
    <w:rsid w:val="00577251"/>
    <w:rsid w:val="00587621"/>
    <w:rsid w:val="00590AC0"/>
    <w:rsid w:val="00591FD0"/>
    <w:rsid w:val="005922FA"/>
    <w:rsid w:val="005A00E1"/>
    <w:rsid w:val="005A0D2D"/>
    <w:rsid w:val="005A1EE8"/>
    <w:rsid w:val="005A24CD"/>
    <w:rsid w:val="005A6A4C"/>
    <w:rsid w:val="005A7BCA"/>
    <w:rsid w:val="005B2486"/>
    <w:rsid w:val="005B3958"/>
    <w:rsid w:val="005B6C57"/>
    <w:rsid w:val="005B789E"/>
    <w:rsid w:val="005C0163"/>
    <w:rsid w:val="005C123A"/>
    <w:rsid w:val="005C3FFB"/>
    <w:rsid w:val="005C66A7"/>
    <w:rsid w:val="005D44E3"/>
    <w:rsid w:val="005D6AF1"/>
    <w:rsid w:val="005E087D"/>
    <w:rsid w:val="005E31DC"/>
    <w:rsid w:val="005E4C06"/>
    <w:rsid w:val="005F3D30"/>
    <w:rsid w:val="00601EBB"/>
    <w:rsid w:val="006020A4"/>
    <w:rsid w:val="00603121"/>
    <w:rsid w:val="0061396E"/>
    <w:rsid w:val="00632F25"/>
    <w:rsid w:val="00642CE9"/>
    <w:rsid w:val="00643393"/>
    <w:rsid w:val="0064593D"/>
    <w:rsid w:val="006529C3"/>
    <w:rsid w:val="00653228"/>
    <w:rsid w:val="006555A5"/>
    <w:rsid w:val="00655ABE"/>
    <w:rsid w:val="00655C60"/>
    <w:rsid w:val="00660DB3"/>
    <w:rsid w:val="00661FE6"/>
    <w:rsid w:val="00664AFB"/>
    <w:rsid w:val="00664D54"/>
    <w:rsid w:val="006711D6"/>
    <w:rsid w:val="006845DD"/>
    <w:rsid w:val="00684761"/>
    <w:rsid w:val="00692311"/>
    <w:rsid w:val="00692D20"/>
    <w:rsid w:val="00693A45"/>
    <w:rsid w:val="00696591"/>
    <w:rsid w:val="006A2CFE"/>
    <w:rsid w:val="006A4BC9"/>
    <w:rsid w:val="006A4C7C"/>
    <w:rsid w:val="006B6599"/>
    <w:rsid w:val="006C2979"/>
    <w:rsid w:val="006C2EC4"/>
    <w:rsid w:val="006C691B"/>
    <w:rsid w:val="006C6E68"/>
    <w:rsid w:val="006D0AC4"/>
    <w:rsid w:val="006D4749"/>
    <w:rsid w:val="006E1B5D"/>
    <w:rsid w:val="006E3F9F"/>
    <w:rsid w:val="006F5245"/>
    <w:rsid w:val="007043A4"/>
    <w:rsid w:val="00707626"/>
    <w:rsid w:val="00715DAC"/>
    <w:rsid w:val="00716436"/>
    <w:rsid w:val="007216B8"/>
    <w:rsid w:val="007278DB"/>
    <w:rsid w:val="00730B90"/>
    <w:rsid w:val="007503F0"/>
    <w:rsid w:val="00750E2B"/>
    <w:rsid w:val="0075697A"/>
    <w:rsid w:val="007570EA"/>
    <w:rsid w:val="0076222A"/>
    <w:rsid w:val="00765B4E"/>
    <w:rsid w:val="00770E62"/>
    <w:rsid w:val="00771ED8"/>
    <w:rsid w:val="0077327F"/>
    <w:rsid w:val="00780EEB"/>
    <w:rsid w:val="00782F5D"/>
    <w:rsid w:val="007A060F"/>
    <w:rsid w:val="007A2124"/>
    <w:rsid w:val="007B11CC"/>
    <w:rsid w:val="007B79B4"/>
    <w:rsid w:val="007C5114"/>
    <w:rsid w:val="007D3443"/>
    <w:rsid w:val="007D3637"/>
    <w:rsid w:val="007D7C88"/>
    <w:rsid w:val="007E2396"/>
    <w:rsid w:val="007E3192"/>
    <w:rsid w:val="007E3AE1"/>
    <w:rsid w:val="007F20D0"/>
    <w:rsid w:val="007F4546"/>
    <w:rsid w:val="008025FC"/>
    <w:rsid w:val="00804C31"/>
    <w:rsid w:val="00812205"/>
    <w:rsid w:val="00822809"/>
    <w:rsid w:val="00831188"/>
    <w:rsid w:val="00835C5D"/>
    <w:rsid w:val="00840104"/>
    <w:rsid w:val="00843DA2"/>
    <w:rsid w:val="00860AB5"/>
    <w:rsid w:val="0086199E"/>
    <w:rsid w:val="00863075"/>
    <w:rsid w:val="008640AD"/>
    <w:rsid w:val="00865E6F"/>
    <w:rsid w:val="008661EB"/>
    <w:rsid w:val="008675E0"/>
    <w:rsid w:val="00871E7A"/>
    <w:rsid w:val="00872BCD"/>
    <w:rsid w:val="0088240C"/>
    <w:rsid w:val="008835F1"/>
    <w:rsid w:val="0088488F"/>
    <w:rsid w:val="008853A5"/>
    <w:rsid w:val="00885B59"/>
    <w:rsid w:val="008879BB"/>
    <w:rsid w:val="00891CDA"/>
    <w:rsid w:val="00894090"/>
    <w:rsid w:val="00894863"/>
    <w:rsid w:val="008A1133"/>
    <w:rsid w:val="008B3F7C"/>
    <w:rsid w:val="008D0D11"/>
    <w:rsid w:val="008D2F8D"/>
    <w:rsid w:val="008E05E5"/>
    <w:rsid w:val="008E5327"/>
    <w:rsid w:val="008F03AC"/>
    <w:rsid w:val="008F05C7"/>
    <w:rsid w:val="008F2D3C"/>
    <w:rsid w:val="008F5940"/>
    <w:rsid w:val="008F7289"/>
    <w:rsid w:val="00904457"/>
    <w:rsid w:val="00910A5B"/>
    <w:rsid w:val="00912FBC"/>
    <w:rsid w:val="00913E6B"/>
    <w:rsid w:val="00914DE4"/>
    <w:rsid w:val="0091683F"/>
    <w:rsid w:val="009203C6"/>
    <w:rsid w:val="009331F7"/>
    <w:rsid w:val="0093409B"/>
    <w:rsid w:val="00934B47"/>
    <w:rsid w:val="00935CA5"/>
    <w:rsid w:val="00940DE6"/>
    <w:rsid w:val="00941E5E"/>
    <w:rsid w:val="00943813"/>
    <w:rsid w:val="0094573E"/>
    <w:rsid w:val="00952856"/>
    <w:rsid w:val="00957BE7"/>
    <w:rsid w:val="00960630"/>
    <w:rsid w:val="009713C6"/>
    <w:rsid w:val="009733E6"/>
    <w:rsid w:val="00973FDF"/>
    <w:rsid w:val="0097499C"/>
    <w:rsid w:val="0097742F"/>
    <w:rsid w:val="00982AE4"/>
    <w:rsid w:val="00985E3E"/>
    <w:rsid w:val="00990CAB"/>
    <w:rsid w:val="00990D81"/>
    <w:rsid w:val="0099130B"/>
    <w:rsid w:val="009B55BC"/>
    <w:rsid w:val="009B7076"/>
    <w:rsid w:val="009C0836"/>
    <w:rsid w:val="009E3850"/>
    <w:rsid w:val="009E4406"/>
    <w:rsid w:val="009E6706"/>
    <w:rsid w:val="009F0780"/>
    <w:rsid w:val="009F235C"/>
    <w:rsid w:val="009F5ED2"/>
    <w:rsid w:val="009F63FD"/>
    <w:rsid w:val="009F6A77"/>
    <w:rsid w:val="00A014E5"/>
    <w:rsid w:val="00A01EA3"/>
    <w:rsid w:val="00A032D2"/>
    <w:rsid w:val="00A0536F"/>
    <w:rsid w:val="00A06C71"/>
    <w:rsid w:val="00A07092"/>
    <w:rsid w:val="00A07D20"/>
    <w:rsid w:val="00A10710"/>
    <w:rsid w:val="00A2273A"/>
    <w:rsid w:val="00A30A6E"/>
    <w:rsid w:val="00A40482"/>
    <w:rsid w:val="00A4112F"/>
    <w:rsid w:val="00A42B16"/>
    <w:rsid w:val="00A51C83"/>
    <w:rsid w:val="00A55956"/>
    <w:rsid w:val="00A5622E"/>
    <w:rsid w:val="00A603D0"/>
    <w:rsid w:val="00A73CB0"/>
    <w:rsid w:val="00A7724A"/>
    <w:rsid w:val="00A82960"/>
    <w:rsid w:val="00A85567"/>
    <w:rsid w:val="00A8646E"/>
    <w:rsid w:val="00A911B5"/>
    <w:rsid w:val="00A974DA"/>
    <w:rsid w:val="00A97B5D"/>
    <w:rsid w:val="00AA10EB"/>
    <w:rsid w:val="00AA620F"/>
    <w:rsid w:val="00AA6686"/>
    <w:rsid w:val="00AB2606"/>
    <w:rsid w:val="00AB299E"/>
    <w:rsid w:val="00AB4398"/>
    <w:rsid w:val="00AB6AA4"/>
    <w:rsid w:val="00AC0307"/>
    <w:rsid w:val="00AC3BAF"/>
    <w:rsid w:val="00AC502B"/>
    <w:rsid w:val="00AD2CFE"/>
    <w:rsid w:val="00AD3DE8"/>
    <w:rsid w:val="00AE25B8"/>
    <w:rsid w:val="00AF28EF"/>
    <w:rsid w:val="00AF3CEE"/>
    <w:rsid w:val="00B05A66"/>
    <w:rsid w:val="00B0778D"/>
    <w:rsid w:val="00B11FEE"/>
    <w:rsid w:val="00B130BC"/>
    <w:rsid w:val="00B17164"/>
    <w:rsid w:val="00B1734C"/>
    <w:rsid w:val="00B325B7"/>
    <w:rsid w:val="00B326D1"/>
    <w:rsid w:val="00B36D5E"/>
    <w:rsid w:val="00B436EB"/>
    <w:rsid w:val="00B446E1"/>
    <w:rsid w:val="00B449E1"/>
    <w:rsid w:val="00B46627"/>
    <w:rsid w:val="00B52BCB"/>
    <w:rsid w:val="00B60BDF"/>
    <w:rsid w:val="00B610ED"/>
    <w:rsid w:val="00B622E3"/>
    <w:rsid w:val="00B63A74"/>
    <w:rsid w:val="00B6418D"/>
    <w:rsid w:val="00B64ADA"/>
    <w:rsid w:val="00B674EF"/>
    <w:rsid w:val="00BA437F"/>
    <w:rsid w:val="00BA4B38"/>
    <w:rsid w:val="00BA76FF"/>
    <w:rsid w:val="00BA780C"/>
    <w:rsid w:val="00BA7FEF"/>
    <w:rsid w:val="00BC00F6"/>
    <w:rsid w:val="00BC2696"/>
    <w:rsid w:val="00BC70A7"/>
    <w:rsid w:val="00BD0903"/>
    <w:rsid w:val="00BE0A03"/>
    <w:rsid w:val="00BE135B"/>
    <w:rsid w:val="00BE1D0C"/>
    <w:rsid w:val="00BE29C1"/>
    <w:rsid w:val="00BE2F7B"/>
    <w:rsid w:val="00BE3D0D"/>
    <w:rsid w:val="00BE4141"/>
    <w:rsid w:val="00BE4186"/>
    <w:rsid w:val="00BE44D8"/>
    <w:rsid w:val="00BF065B"/>
    <w:rsid w:val="00BF48AF"/>
    <w:rsid w:val="00C01487"/>
    <w:rsid w:val="00C01A75"/>
    <w:rsid w:val="00C038D3"/>
    <w:rsid w:val="00C06F04"/>
    <w:rsid w:val="00C15026"/>
    <w:rsid w:val="00C1585B"/>
    <w:rsid w:val="00C224B3"/>
    <w:rsid w:val="00C23602"/>
    <w:rsid w:val="00C329DA"/>
    <w:rsid w:val="00C430AD"/>
    <w:rsid w:val="00C44D3A"/>
    <w:rsid w:val="00C564A5"/>
    <w:rsid w:val="00C72A97"/>
    <w:rsid w:val="00C7786D"/>
    <w:rsid w:val="00C77B27"/>
    <w:rsid w:val="00C822DD"/>
    <w:rsid w:val="00C845D1"/>
    <w:rsid w:val="00C84AF4"/>
    <w:rsid w:val="00C84D43"/>
    <w:rsid w:val="00C858BE"/>
    <w:rsid w:val="00C85FBE"/>
    <w:rsid w:val="00C86943"/>
    <w:rsid w:val="00C90C02"/>
    <w:rsid w:val="00C948E6"/>
    <w:rsid w:val="00C95962"/>
    <w:rsid w:val="00C95DA2"/>
    <w:rsid w:val="00CA0750"/>
    <w:rsid w:val="00CA07C2"/>
    <w:rsid w:val="00CA1AE2"/>
    <w:rsid w:val="00CA4008"/>
    <w:rsid w:val="00CB3AAD"/>
    <w:rsid w:val="00CB6E37"/>
    <w:rsid w:val="00CB74E8"/>
    <w:rsid w:val="00CB7937"/>
    <w:rsid w:val="00CB7D1C"/>
    <w:rsid w:val="00CC112F"/>
    <w:rsid w:val="00CC3572"/>
    <w:rsid w:val="00CC7238"/>
    <w:rsid w:val="00CE1CBE"/>
    <w:rsid w:val="00CE236E"/>
    <w:rsid w:val="00CE2715"/>
    <w:rsid w:val="00CE3830"/>
    <w:rsid w:val="00CE3F96"/>
    <w:rsid w:val="00CE63D6"/>
    <w:rsid w:val="00CF5548"/>
    <w:rsid w:val="00D005E6"/>
    <w:rsid w:val="00D06997"/>
    <w:rsid w:val="00D06C01"/>
    <w:rsid w:val="00D16394"/>
    <w:rsid w:val="00D174C8"/>
    <w:rsid w:val="00D21199"/>
    <w:rsid w:val="00D27A33"/>
    <w:rsid w:val="00D3342D"/>
    <w:rsid w:val="00D35F22"/>
    <w:rsid w:val="00D37D59"/>
    <w:rsid w:val="00D400B7"/>
    <w:rsid w:val="00D44542"/>
    <w:rsid w:val="00D569F3"/>
    <w:rsid w:val="00D61339"/>
    <w:rsid w:val="00D61D6A"/>
    <w:rsid w:val="00D64658"/>
    <w:rsid w:val="00D676B4"/>
    <w:rsid w:val="00D7021A"/>
    <w:rsid w:val="00D7052B"/>
    <w:rsid w:val="00D70EA4"/>
    <w:rsid w:val="00D72BCD"/>
    <w:rsid w:val="00D76391"/>
    <w:rsid w:val="00D773CB"/>
    <w:rsid w:val="00D9526C"/>
    <w:rsid w:val="00D95956"/>
    <w:rsid w:val="00D974BC"/>
    <w:rsid w:val="00DA4B57"/>
    <w:rsid w:val="00DA5D1F"/>
    <w:rsid w:val="00DB0715"/>
    <w:rsid w:val="00DB188B"/>
    <w:rsid w:val="00DB6E7C"/>
    <w:rsid w:val="00DC23DE"/>
    <w:rsid w:val="00DC6925"/>
    <w:rsid w:val="00DC77CB"/>
    <w:rsid w:val="00DE02D0"/>
    <w:rsid w:val="00DE4B63"/>
    <w:rsid w:val="00E032FC"/>
    <w:rsid w:val="00E045AE"/>
    <w:rsid w:val="00E10484"/>
    <w:rsid w:val="00E11294"/>
    <w:rsid w:val="00E24DD5"/>
    <w:rsid w:val="00E27EE6"/>
    <w:rsid w:val="00E33224"/>
    <w:rsid w:val="00E364DA"/>
    <w:rsid w:val="00E44BC6"/>
    <w:rsid w:val="00E525A7"/>
    <w:rsid w:val="00E528A0"/>
    <w:rsid w:val="00E56631"/>
    <w:rsid w:val="00E60006"/>
    <w:rsid w:val="00E64BAD"/>
    <w:rsid w:val="00E7000B"/>
    <w:rsid w:val="00E701BD"/>
    <w:rsid w:val="00E70544"/>
    <w:rsid w:val="00E73734"/>
    <w:rsid w:val="00E76F84"/>
    <w:rsid w:val="00E810DE"/>
    <w:rsid w:val="00E8174D"/>
    <w:rsid w:val="00E81F66"/>
    <w:rsid w:val="00E8665F"/>
    <w:rsid w:val="00E90116"/>
    <w:rsid w:val="00E909A0"/>
    <w:rsid w:val="00EA0443"/>
    <w:rsid w:val="00EA187B"/>
    <w:rsid w:val="00EA31E4"/>
    <w:rsid w:val="00EA7AAF"/>
    <w:rsid w:val="00EB01CE"/>
    <w:rsid w:val="00EB0C4B"/>
    <w:rsid w:val="00EB6EEC"/>
    <w:rsid w:val="00EB6F7D"/>
    <w:rsid w:val="00EC079D"/>
    <w:rsid w:val="00EC19B3"/>
    <w:rsid w:val="00EC385D"/>
    <w:rsid w:val="00EC3BD5"/>
    <w:rsid w:val="00EC4460"/>
    <w:rsid w:val="00EE23F8"/>
    <w:rsid w:val="00EF0C4C"/>
    <w:rsid w:val="00EF3DD4"/>
    <w:rsid w:val="00F00D87"/>
    <w:rsid w:val="00F02DF7"/>
    <w:rsid w:val="00F06B8E"/>
    <w:rsid w:val="00F115E5"/>
    <w:rsid w:val="00F129CB"/>
    <w:rsid w:val="00F160BD"/>
    <w:rsid w:val="00F174D0"/>
    <w:rsid w:val="00F26C21"/>
    <w:rsid w:val="00F36324"/>
    <w:rsid w:val="00F4102B"/>
    <w:rsid w:val="00F41A97"/>
    <w:rsid w:val="00F443D3"/>
    <w:rsid w:val="00F453AD"/>
    <w:rsid w:val="00F469BF"/>
    <w:rsid w:val="00F5042C"/>
    <w:rsid w:val="00F51295"/>
    <w:rsid w:val="00F51DE2"/>
    <w:rsid w:val="00F526C8"/>
    <w:rsid w:val="00F56DD9"/>
    <w:rsid w:val="00F570DF"/>
    <w:rsid w:val="00F57DE2"/>
    <w:rsid w:val="00F6373F"/>
    <w:rsid w:val="00F658D8"/>
    <w:rsid w:val="00F66BE9"/>
    <w:rsid w:val="00F71555"/>
    <w:rsid w:val="00F7394C"/>
    <w:rsid w:val="00F76B00"/>
    <w:rsid w:val="00F967E4"/>
    <w:rsid w:val="00FA6371"/>
    <w:rsid w:val="00FB137F"/>
    <w:rsid w:val="00FB60FA"/>
    <w:rsid w:val="00FB7132"/>
    <w:rsid w:val="00FB79E6"/>
    <w:rsid w:val="00FC0B73"/>
    <w:rsid w:val="00FC228E"/>
    <w:rsid w:val="00FD3091"/>
    <w:rsid w:val="00FD542C"/>
    <w:rsid w:val="00FF38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45A46"/>
  <w15:chartTrackingRefBased/>
  <w15:docId w15:val="{028BC94E-9A29-4890-8725-D5731636F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5AE"/>
    <w:pPr>
      <w:spacing w:after="160" w:line="278" w:lineRule="auto"/>
      <w:jc w:val="both"/>
    </w:pPr>
    <w:rPr>
      <w:rFonts w:ascii="Verdana" w:eastAsiaTheme="minorEastAsia" w:hAnsi="Verdana" w:cstheme="minorBidi"/>
      <w:sz w:val="20"/>
      <w:szCs w:val="24"/>
      <w:lang w:eastAsia="es-CO"/>
    </w:rPr>
  </w:style>
  <w:style w:type="paragraph" w:styleId="Ttulo1">
    <w:name w:val="heading 1"/>
    <w:basedOn w:val="Normal"/>
    <w:next w:val="Normal"/>
    <w:link w:val="Ttulo1Car"/>
    <w:autoRedefine/>
    <w:uiPriority w:val="9"/>
    <w:qFormat/>
    <w:rsid w:val="000F4B18"/>
    <w:pPr>
      <w:keepNext/>
      <w:keepLines/>
      <w:numPr>
        <w:numId w:val="1"/>
      </w:numPr>
      <w:spacing w:before="200"/>
      <w:outlineLvl w:val="0"/>
    </w:pPr>
    <w:rPr>
      <w:rFonts w:eastAsiaTheme="majorEastAsia" w:cstheme="majorBidi"/>
      <w:b/>
      <w:caps/>
      <w:color w:val="2F5496" w:themeColor="accent1" w:themeShade="BF"/>
      <w:szCs w:val="32"/>
    </w:rPr>
  </w:style>
  <w:style w:type="paragraph" w:styleId="Ttulo2">
    <w:name w:val="heading 2"/>
    <w:basedOn w:val="Normal"/>
    <w:next w:val="Normal"/>
    <w:link w:val="Ttulo2Car"/>
    <w:autoRedefine/>
    <w:uiPriority w:val="9"/>
    <w:unhideWhenUsed/>
    <w:qFormat/>
    <w:rsid w:val="000F4B18"/>
    <w:pPr>
      <w:keepNext/>
      <w:keepLines/>
      <w:numPr>
        <w:ilvl w:val="1"/>
        <w:numId w:val="1"/>
      </w:numPr>
      <w:outlineLvl w:val="1"/>
    </w:pPr>
    <w:rPr>
      <w:rFonts w:asciiTheme="majorHAnsi" w:eastAsiaTheme="majorEastAsia" w:hAnsiTheme="majorHAnsi" w:cstheme="majorBidi"/>
      <w:color w:val="70AD47" w:themeColor="accent6"/>
      <w:szCs w:val="32"/>
    </w:rPr>
  </w:style>
  <w:style w:type="paragraph" w:styleId="Ttulo3">
    <w:name w:val="heading 3"/>
    <w:basedOn w:val="Ttulo2"/>
    <w:next w:val="Normal"/>
    <w:link w:val="Ttulo3Car"/>
    <w:autoRedefine/>
    <w:uiPriority w:val="9"/>
    <w:unhideWhenUsed/>
    <w:qFormat/>
    <w:rsid w:val="0016254E"/>
    <w:pPr>
      <w:numPr>
        <w:ilvl w:val="2"/>
        <w:numId w:val="2"/>
      </w:numPr>
      <w:spacing w:before="160" w:after="80" w:line="288" w:lineRule="auto"/>
      <w:outlineLvl w:val="2"/>
    </w:pPr>
    <w:rPr>
      <w:rFonts w:ascii="Verdana" w:hAnsi="Verdana"/>
      <w:color w:val="753BBD"/>
      <w:kern w:val="0"/>
      <w:lang w:val="es-MX" w:eastAsia="en-US"/>
    </w:rPr>
  </w:style>
  <w:style w:type="paragraph" w:styleId="Ttulo4">
    <w:name w:val="heading 4"/>
    <w:basedOn w:val="Normal"/>
    <w:next w:val="Normal"/>
    <w:link w:val="Ttulo4Car"/>
    <w:uiPriority w:val="9"/>
    <w:semiHidden/>
    <w:unhideWhenUsed/>
    <w:qFormat/>
    <w:rsid w:val="000533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053307"/>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0533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053307"/>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053307"/>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053307"/>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2">
    <w:name w:val="Titulo 2"/>
    <w:basedOn w:val="Normal"/>
    <w:autoRedefine/>
    <w:qFormat/>
    <w:rsid w:val="00D21199"/>
    <w:pPr>
      <w:spacing w:line="360" w:lineRule="auto"/>
      <w:outlineLvl w:val="1"/>
    </w:pPr>
    <w:rPr>
      <w:rFonts w:eastAsia="Times New Roman"/>
      <w:b/>
      <w:lang w:eastAsia="es-ES"/>
      <w14:ligatures w14:val="none"/>
    </w:rPr>
  </w:style>
  <w:style w:type="character" w:customStyle="1" w:styleId="Ttulo1Car">
    <w:name w:val="Título 1 Car"/>
    <w:basedOn w:val="Fuentedeprrafopredeter"/>
    <w:link w:val="Ttulo1"/>
    <w:uiPriority w:val="9"/>
    <w:rsid w:val="000F4B18"/>
    <w:rPr>
      <w:rFonts w:ascii="Arial" w:eastAsiaTheme="majorEastAsia" w:hAnsi="Arial" w:cstheme="majorBidi"/>
      <w:b/>
      <w:caps/>
      <w:color w:val="2F5496" w:themeColor="accent1" w:themeShade="BF"/>
      <w:szCs w:val="32"/>
      <w:lang w:val="es-ES"/>
    </w:rPr>
  </w:style>
  <w:style w:type="character" w:customStyle="1" w:styleId="Ttulo2Car">
    <w:name w:val="Título 2 Car"/>
    <w:basedOn w:val="Fuentedeprrafopredeter"/>
    <w:link w:val="Ttulo2"/>
    <w:uiPriority w:val="9"/>
    <w:rsid w:val="000F4B18"/>
    <w:rPr>
      <w:rFonts w:asciiTheme="majorHAnsi" w:eastAsiaTheme="majorEastAsia" w:hAnsiTheme="majorHAnsi" w:cstheme="majorBidi"/>
      <w:color w:val="70AD47" w:themeColor="accent6"/>
      <w:szCs w:val="32"/>
      <w:lang w:val="es-ES"/>
    </w:rPr>
  </w:style>
  <w:style w:type="paragraph" w:styleId="Descripcin">
    <w:name w:val="caption"/>
    <w:basedOn w:val="Normal"/>
    <w:next w:val="Normal"/>
    <w:autoRedefine/>
    <w:uiPriority w:val="35"/>
    <w:unhideWhenUsed/>
    <w:qFormat/>
    <w:rsid w:val="000F4B18"/>
    <w:rPr>
      <w:b/>
      <w:i/>
      <w:iCs/>
      <w:color w:val="44546A" w:themeColor="text2"/>
      <w:sz w:val="18"/>
      <w:szCs w:val="18"/>
    </w:rPr>
  </w:style>
  <w:style w:type="paragraph" w:styleId="Cita">
    <w:name w:val="Quote"/>
    <w:basedOn w:val="Normal"/>
    <w:next w:val="Normal"/>
    <w:link w:val="CitaCar"/>
    <w:autoRedefine/>
    <w:uiPriority w:val="29"/>
    <w:qFormat/>
    <w:rsid w:val="0016258C"/>
    <w:pPr>
      <w:contextualSpacing/>
    </w:pPr>
    <w:rPr>
      <w:rFonts w:cs="Times New Roman"/>
      <w:i/>
      <w:iCs/>
      <w:sz w:val="18"/>
    </w:rPr>
  </w:style>
  <w:style w:type="character" w:customStyle="1" w:styleId="CitaCar">
    <w:name w:val="Cita Car"/>
    <w:basedOn w:val="Fuentedeprrafopredeter"/>
    <w:link w:val="Cita"/>
    <w:uiPriority w:val="29"/>
    <w:rsid w:val="0016258C"/>
    <w:rPr>
      <w:rFonts w:ascii="Arial" w:hAnsi="Arial"/>
      <w:i/>
      <w:iCs/>
      <w:sz w:val="18"/>
    </w:rPr>
  </w:style>
  <w:style w:type="character" w:customStyle="1" w:styleId="TituloTabla">
    <w:name w:val="Titulo Tabla"/>
    <w:basedOn w:val="Fuerte"/>
    <w:rsid w:val="00C822DD"/>
    <w:rPr>
      <w:rFonts w:ascii="Verdana" w:hAnsi="Verdana"/>
      <w:b/>
      <w:bCs w:val="0"/>
      <w:sz w:val="18"/>
    </w:rPr>
  </w:style>
  <w:style w:type="character" w:styleId="Fuerte">
    <w:name w:val="Strong"/>
    <w:basedOn w:val="Fuentedeprrafopredeter"/>
    <w:uiPriority w:val="22"/>
    <w:qFormat/>
    <w:rsid w:val="00C822DD"/>
    <w:rPr>
      <w:b/>
      <w:bCs/>
    </w:rPr>
  </w:style>
  <w:style w:type="character" w:customStyle="1" w:styleId="Ttulo3Car">
    <w:name w:val="Título 3 Car"/>
    <w:basedOn w:val="Fuentedeprrafopredeter"/>
    <w:link w:val="Ttulo3"/>
    <w:uiPriority w:val="9"/>
    <w:rsid w:val="0016254E"/>
    <w:rPr>
      <w:rFonts w:ascii="Verdana" w:eastAsiaTheme="majorEastAsia" w:hAnsi="Verdana" w:cstheme="majorBidi"/>
      <w:color w:val="753BBD"/>
      <w:kern w:val="0"/>
      <w:szCs w:val="32"/>
      <w:lang w:val="es-MX"/>
    </w:rPr>
  </w:style>
  <w:style w:type="character" w:customStyle="1" w:styleId="Ttulo4Car">
    <w:name w:val="Título 4 Car"/>
    <w:basedOn w:val="Fuentedeprrafopredeter"/>
    <w:link w:val="Ttulo4"/>
    <w:uiPriority w:val="9"/>
    <w:semiHidden/>
    <w:rsid w:val="00053307"/>
    <w:rPr>
      <w:rFonts w:asciiTheme="minorHAnsi" w:eastAsiaTheme="majorEastAsia" w:hAnsiTheme="minorHAnsi" w:cstheme="majorBidi"/>
      <w:i/>
      <w:iCs/>
      <w:color w:val="2F5496" w:themeColor="accent1" w:themeShade="BF"/>
      <w:sz w:val="20"/>
      <w:szCs w:val="24"/>
      <w:lang w:eastAsia="es-CO"/>
    </w:rPr>
  </w:style>
  <w:style w:type="character" w:customStyle="1" w:styleId="Ttulo5Car">
    <w:name w:val="Título 5 Car"/>
    <w:basedOn w:val="Fuentedeprrafopredeter"/>
    <w:link w:val="Ttulo5"/>
    <w:uiPriority w:val="9"/>
    <w:semiHidden/>
    <w:rsid w:val="00053307"/>
    <w:rPr>
      <w:rFonts w:asciiTheme="minorHAnsi" w:eastAsiaTheme="majorEastAsia" w:hAnsiTheme="minorHAnsi" w:cstheme="majorBidi"/>
      <w:color w:val="2F5496" w:themeColor="accent1" w:themeShade="BF"/>
      <w:sz w:val="20"/>
      <w:szCs w:val="24"/>
      <w:lang w:eastAsia="es-CO"/>
    </w:rPr>
  </w:style>
  <w:style w:type="character" w:customStyle="1" w:styleId="Ttulo6Car">
    <w:name w:val="Título 6 Car"/>
    <w:basedOn w:val="Fuentedeprrafopredeter"/>
    <w:link w:val="Ttulo6"/>
    <w:uiPriority w:val="9"/>
    <w:semiHidden/>
    <w:rsid w:val="00053307"/>
    <w:rPr>
      <w:rFonts w:asciiTheme="minorHAnsi" w:eastAsiaTheme="majorEastAsia" w:hAnsiTheme="minorHAnsi" w:cstheme="majorBidi"/>
      <w:i/>
      <w:iCs/>
      <w:color w:val="595959" w:themeColor="text1" w:themeTint="A6"/>
      <w:sz w:val="20"/>
      <w:szCs w:val="24"/>
      <w:lang w:eastAsia="es-CO"/>
    </w:rPr>
  </w:style>
  <w:style w:type="character" w:customStyle="1" w:styleId="Ttulo7Car">
    <w:name w:val="Título 7 Car"/>
    <w:basedOn w:val="Fuentedeprrafopredeter"/>
    <w:link w:val="Ttulo7"/>
    <w:uiPriority w:val="9"/>
    <w:semiHidden/>
    <w:rsid w:val="00053307"/>
    <w:rPr>
      <w:rFonts w:asciiTheme="minorHAnsi" w:eastAsiaTheme="majorEastAsia" w:hAnsiTheme="minorHAnsi" w:cstheme="majorBidi"/>
      <w:color w:val="595959" w:themeColor="text1" w:themeTint="A6"/>
      <w:sz w:val="20"/>
      <w:szCs w:val="24"/>
      <w:lang w:eastAsia="es-CO"/>
    </w:rPr>
  </w:style>
  <w:style w:type="character" w:customStyle="1" w:styleId="Ttulo8Car">
    <w:name w:val="Título 8 Car"/>
    <w:basedOn w:val="Fuentedeprrafopredeter"/>
    <w:link w:val="Ttulo8"/>
    <w:uiPriority w:val="9"/>
    <w:semiHidden/>
    <w:rsid w:val="00053307"/>
    <w:rPr>
      <w:rFonts w:asciiTheme="minorHAnsi" w:eastAsiaTheme="majorEastAsia" w:hAnsiTheme="minorHAnsi" w:cstheme="majorBidi"/>
      <w:i/>
      <w:iCs/>
      <w:color w:val="272727" w:themeColor="text1" w:themeTint="D8"/>
      <w:sz w:val="20"/>
      <w:szCs w:val="24"/>
      <w:lang w:eastAsia="es-CO"/>
    </w:rPr>
  </w:style>
  <w:style w:type="character" w:customStyle="1" w:styleId="Ttulo9Car">
    <w:name w:val="Título 9 Car"/>
    <w:basedOn w:val="Fuentedeprrafopredeter"/>
    <w:link w:val="Ttulo9"/>
    <w:uiPriority w:val="9"/>
    <w:semiHidden/>
    <w:rsid w:val="00053307"/>
    <w:rPr>
      <w:rFonts w:asciiTheme="minorHAnsi" w:eastAsiaTheme="majorEastAsia" w:hAnsiTheme="minorHAnsi" w:cstheme="majorBidi"/>
      <w:color w:val="272727" w:themeColor="text1" w:themeTint="D8"/>
      <w:sz w:val="20"/>
      <w:szCs w:val="24"/>
      <w:lang w:eastAsia="es-CO"/>
    </w:rPr>
  </w:style>
  <w:style w:type="paragraph" w:styleId="Ttulo">
    <w:name w:val="Title"/>
    <w:basedOn w:val="Normal"/>
    <w:next w:val="Normal"/>
    <w:link w:val="TtuloCar"/>
    <w:uiPriority w:val="10"/>
    <w:qFormat/>
    <w:rsid w:val="00053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3307"/>
    <w:rPr>
      <w:rFonts w:asciiTheme="majorHAnsi" w:eastAsiaTheme="majorEastAsia" w:hAnsiTheme="majorHAnsi" w:cstheme="majorBidi"/>
      <w:spacing w:val="-10"/>
      <w:kern w:val="28"/>
      <w:sz w:val="56"/>
      <w:szCs w:val="56"/>
      <w:lang w:eastAsia="es-CO"/>
    </w:rPr>
  </w:style>
  <w:style w:type="paragraph" w:styleId="Subttulo">
    <w:name w:val="Subtitle"/>
    <w:basedOn w:val="Normal"/>
    <w:next w:val="Normal"/>
    <w:link w:val="SubttuloCar"/>
    <w:uiPriority w:val="11"/>
    <w:qFormat/>
    <w:rsid w:val="000533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3307"/>
    <w:rPr>
      <w:rFonts w:asciiTheme="minorHAnsi" w:eastAsiaTheme="majorEastAsia" w:hAnsiTheme="minorHAnsi" w:cstheme="majorBidi"/>
      <w:color w:val="595959" w:themeColor="text1" w:themeTint="A6"/>
      <w:spacing w:val="15"/>
      <w:sz w:val="28"/>
      <w:szCs w:val="28"/>
      <w:lang w:eastAsia="es-CO"/>
    </w:rPr>
  </w:style>
  <w:style w:type="paragraph" w:styleId="Prrafodelista">
    <w:name w:val="List Paragraph"/>
    <w:basedOn w:val="Normal"/>
    <w:uiPriority w:val="34"/>
    <w:qFormat/>
    <w:rsid w:val="00053307"/>
    <w:pPr>
      <w:ind w:left="720"/>
      <w:contextualSpacing/>
    </w:pPr>
  </w:style>
  <w:style w:type="character" w:styleId="nfasisintenso">
    <w:name w:val="Intense Emphasis"/>
    <w:basedOn w:val="Fuentedeprrafopredeter"/>
    <w:uiPriority w:val="21"/>
    <w:qFormat/>
    <w:rsid w:val="00053307"/>
    <w:rPr>
      <w:i/>
      <w:iCs/>
      <w:color w:val="2F5496" w:themeColor="accent1" w:themeShade="BF"/>
    </w:rPr>
  </w:style>
  <w:style w:type="paragraph" w:styleId="Citadestacada">
    <w:name w:val="Intense Quote"/>
    <w:basedOn w:val="Normal"/>
    <w:next w:val="Normal"/>
    <w:link w:val="CitadestacadaCar"/>
    <w:uiPriority w:val="30"/>
    <w:qFormat/>
    <w:rsid w:val="00053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53307"/>
    <w:rPr>
      <w:rFonts w:ascii="Verdana" w:eastAsiaTheme="minorEastAsia" w:hAnsi="Verdana" w:cstheme="minorBidi"/>
      <w:i/>
      <w:iCs/>
      <w:color w:val="2F5496" w:themeColor="accent1" w:themeShade="BF"/>
      <w:sz w:val="20"/>
      <w:szCs w:val="24"/>
      <w:lang w:eastAsia="es-CO"/>
    </w:rPr>
  </w:style>
  <w:style w:type="character" w:styleId="Referenciaintensa">
    <w:name w:val="Intense Reference"/>
    <w:basedOn w:val="Fuentedeprrafopredeter"/>
    <w:uiPriority w:val="32"/>
    <w:qFormat/>
    <w:rsid w:val="00053307"/>
    <w:rPr>
      <w:b/>
      <w:bCs/>
      <w:smallCaps/>
      <w:color w:val="2F5496" w:themeColor="accent1" w:themeShade="BF"/>
      <w:spacing w:val="5"/>
    </w:rPr>
  </w:style>
  <w:style w:type="table" w:styleId="Tablaconcuadrcula">
    <w:name w:val="Table Grid"/>
    <w:basedOn w:val="Tablanormal"/>
    <w:uiPriority w:val="39"/>
    <w:rsid w:val="000533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EED17-36EB-48DA-B3BE-57B321EE6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5780</Words>
  <Characters>34509</Characters>
  <Application>Microsoft Office Word</Application>
  <DocSecurity>0</DocSecurity>
  <Lines>958</Lines>
  <Paragraphs>296</Paragraphs>
  <ScaleCrop>false</ScaleCrop>
  <Company/>
  <LinksUpToDate>false</LinksUpToDate>
  <CharactersWithSpaces>39993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Rocio Chavez</dc:creator>
  <cp:keywords/>
  <dc:description/>
  <cp:lastModifiedBy>Diana Rocio Chavez</cp:lastModifiedBy>
  <cp:revision>1</cp:revision>
  <dcterms:created xsi:type="dcterms:W3CDTF">2026-10-20T03:00:00Z</dcterms:created>
  <dcterms:modified xsi:type="dcterms:W3CDTF">2026-10-20T03:02:00Z</dcterms:modified>
</cp:coreProperties>
</file>