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480" w:after="240"/>
        <w:jc w:val="center"/>
      </w:pPr>
      <w:r>
        <w:rPr>
          <w:b/>
          <w:color w:val="1B2C3E"/>
          <w:sz w:val="48"/>
        </w:rPr>
        <w:t>Control Arquitectónico Obligatorio y Manual de Imagen Urbana</w:t>
      </w:r>
    </w:p>
    <w:p>
      <w:pPr>
        <w:spacing w:after="160"/>
      </w:pPr>
      <w:r>
        <w:rPr/>
      </w:r>
      <w:r>
        <w:rPr>
          <w:b/>
        </w:rPr>
        <w:t>Fraccionamiento Solé — El Toro</w:t>
      </w:r>
      <w:r>
        <w:rPr/>
      </w:r>
      <w:r>
        <w:t xml:space="preserve"> </w:t>
      </w:r>
      <w:r>
        <w:rPr>
          <w:i/>
        </w:rPr>
        <w:t>Propuesta de Reforma al Reglamento</w:t>
      </w:r>
    </w:p>
    <w:p>
      <w:pPr>
        <w:spacing w:after="160"/>
      </w:pPr>
      <w:r>
        <w:rPr/>
      </w:r>
      <w:r>
        <w:rPr>
          <w:b/>
        </w:rPr>
        <w:t>Presentado por:</w:t>
      </w:r>
      <w:r>
        <w:rPr/>
        <w:t xml:space="preserve"> Daniel Chávez Flores · Circuito de los Robles 136-B</w:t>
      </w:r>
      <w:r>
        <w:t xml:space="preserve"> </w:t>
      </w:r>
      <w:r>
        <w:rPr/>
      </w:r>
      <w:r>
        <w:rPr>
          <w:b/>
        </w:rPr>
        <w:t>Contacto:</w:t>
      </w:r>
      <w:r>
        <w:rPr/>
        <w:t xml:space="preserve"> Tel. 444-105-8700 · dchavezf@gmail.com</w:t>
      </w:r>
      <w:r>
        <w:t xml:space="preserve"> </w:t>
      </w:r>
      <w:r>
        <w:rPr/>
      </w:r>
      <w:r>
        <w:rPr>
          <w:b/>
        </w:rPr>
        <w:t>Calidad:</w:t>
      </w:r>
      <w:r>
        <w:rPr/>
        <w:t xml:space="preserve"> Condómino del Fraccionamiento Solé</w:t>
      </w:r>
      <w:r>
        <w:t xml:space="preserve"> </w:t>
      </w:r>
      <w:r>
        <w:rPr/>
      </w:r>
      <w:r>
        <w:rPr>
          <w:b/>
        </w:rPr>
        <w:t>Fecha:</w:t>
      </w:r>
      <w:r>
        <w:rPr/>
        <w:t xml:space="preserve"> Junio 2026, San Luis Potosí, S.L.P.</w:t>
      </w:r>
      <w:r>
        <w:t xml:space="preserve"> </w:t>
      </w:r>
      <w:r>
        <w:rPr/>
      </w:r>
      <w:r>
        <w:rPr>
          <w:b/>
        </w:rPr>
        <w:t>Fundamento:</w:t>
      </w:r>
      <w:r>
        <w:rPr/>
        <w:t xml:space="preserve"> Art. 99 del Reglamento Interno </w:t>
      </w:r>
      <w:r>
        <w:rPr>
          <w:i/>
        </w:rPr>
        <w:t>(«LOS CONDÓMINOS podrán convocar a ASAMBLEA GENERAL DE CONDÓMINOS [...] cuando representen por lo menos el 25% del total de los CONDÓMINOS»)</w:t>
      </w:r>
    </w:p>
    <w:p>
      <w:pPr>
        <w:pStyle w:val="Heading1"/>
        <w:pageBreakBefore/>
        <w:spacing w:before="480" w:after="240"/>
        <w:jc w:val="center"/>
      </w:pPr>
      <w:r>
        <w:rPr>
          <w:b/>
          <w:color w:val="1B2C3E"/>
          <w:sz w:val="48"/>
        </w:rPr>
        <w:t>Notas</w:t>
      </w:r>
    </w:p>
    <w:p>
      <w:pPr>
        <w:pBdr>
          <w:left w:val="single" w:sz="20" w:space="8" w:color="DD6B20"/>
        </w:pBdr>
        <w:shd w:val="clear" w:color="auto" w:fill="FFF3E0"/>
      </w:pPr>
      <w:r>
        <w:rPr>
          <w:b/>
        </w:rPr>
        <w:t xml:space="preserve">  IMPORTANTE</w:t>
      </w:r>
    </w:p>
    <w:p>
      <w:pPr>
        <w:pBdr>
          <w:left w:val="single" w:sz="20" w:space="8" w:color="DD6B20"/>
        </w:pBdr>
        <w:shd w:val="clear" w:color="auto" w:fill="FFF3E0"/>
      </w:pPr>
      <w:r>
        <w:rPr/>
        <w:t>Esta propuesta no tiene efecto vinculante por sí misma. Solo la Asamblea General de Condóminos puede aprobarla, modificarla o rechazarla. Cualquier condómino puede proponer cambios antes de la votación.</w:t>
      </w:r>
    </w:p>
    <w:p>
      <w:pPr>
        <w:pBdr>
          <w:bottom w:val="single" w:sz="6" w:space="1" w:color="E2E8F0"/>
        </w:pBdr>
      </w:pPr>
    </w:p>
    <w:p>
      <w:pPr>
        <w:pBdr>
          <w:left w:val="single" w:sz="20" w:space="8" w:color="3182CE"/>
        </w:pBdr>
        <w:shd w:val="clear" w:color="auto" w:fill="EBF4FF"/>
      </w:pPr>
      <w:r>
        <w:rPr>
          <w:b/>
        </w:rPr>
        <w:t xml:space="preserve">  NOTA</w:t>
      </w:r>
    </w:p>
    <w:p>
      <w:pPr>
        <w:pBdr>
          <w:left w:val="single" w:sz="20" w:space="8" w:color="3182CE"/>
        </w:pBdr>
        <w:shd w:val="clear" w:color="auto" w:fill="EBF4FF"/>
      </w:pPr>
      <w:r>
        <w:rPr/>
      </w:r>
      <w:r>
        <w:rPr>
          <w:b/>
        </w:rPr>
        <w:t>Estado actual: recolección de firmas en curso</w:t>
      </w:r>
      <w:r>
        <w:rPr/>
      </w:r>
    </w:p>
    <w:p>
      <w:pPr>
        <w:pBdr>
          <w:left w:val="single" w:sz="20" w:space="8" w:color="3182CE"/>
        </w:pBdr>
        <w:shd w:val="clear" w:color="auto" w:fill="EBF4FF"/>
      </w:pPr>
      <w:r>
        <w:rPr/>
        <w:t xml:space="preserve">Para convocar a Asamblea conforme al Art. 99, se requiere el respaldo de al menos el </w:t>
      </w:r>
      <w:r>
        <w:rPr>
          <w:b/>
        </w:rPr>
        <w:t>25% de los condóminos del Fraccionamiento Solé</w:t>
      </w:r>
      <w:r>
        <w:rPr/>
        <w:t>. Actualmente estamos en proceso de recolectar esas firmas.</w:t>
      </w:r>
    </w:p>
    <w:p>
      <w:pPr>
        <w:pBdr>
          <w:left w:val="single" w:sz="20" w:space="8" w:color="3182CE"/>
        </w:pBdr>
        <w:shd w:val="clear" w:color="auto" w:fill="EBF4FF"/>
      </w:pPr>
      <w:r>
        <w:rPr/>
        <w:t>Si después de leer esta propuesta consideras que vale la pena llevarla a votación — aunque no estés de acuerdo con todo — puedes sumarte al proceso de convocatoria. Tu firma no aprueba la propuesta: solo pide que la Asamblea se celebre para que todos puedan opinar y votar.</w:t>
      </w:r>
    </w:p>
    <w:p>
      <w:pPr>
        <w:pBdr>
          <w:left w:val="single" w:sz="20" w:space="8" w:color="3182CE"/>
        </w:pBdr>
        <w:shd w:val="clear" w:color="auto" w:fill="EBF4FF"/>
      </w:pPr>
      <w:r>
        <w:rPr/>
      </w:r>
      <w:r>
        <w:rPr>
          <w:b/>
        </w:rPr>
        <w:t>Para sumarte o hacer llegar tus comentarios:</w:t>
      </w:r>
      <w:r>
        <w:rPr/>
      </w:r>
      <w:r>
        <w:t xml:space="preserve"> </w:t>
      </w:r>
      <w:r>
        <w:rPr/>
        <w:t>Daniel Chávez Flores · Tel. 444-105-8700 · dchavezf@gmail.com · Circuito de los Robles 136-B</w:t>
      </w:r>
    </w:p>
    <w:p>
      <w:pPr>
        <w:pBdr>
          <w:bottom w:val="single" w:sz="6" w:space="1" w:color="E2E8F0"/>
        </w:pBdr>
      </w:pPr>
    </w:p>
    <w:p>
      <w:pPr>
        <w:pStyle w:val="Heading1"/>
        <w:pageBreakBefore/>
        <w:spacing w:before="480" w:after="240"/>
        <w:jc w:val="center"/>
      </w:pPr>
      <w:r>
        <w:rPr>
          <w:b/>
          <w:color w:val="1B2C3E"/>
          <w:sz w:val="48"/>
        </w:rPr>
        <w:t>Cómo está organizado este documento</w:t>
      </w:r>
    </w:p>
    <w:p>
      <w:pPr>
        <w:spacing w:after="160"/>
      </w:pPr>
      <w:r>
        <w:rPr/>
        <w:t>Este material está dividido en tres partes. Puedes leerlas en orden o ir directamente a la que más te interese.</w:t>
      </w:r>
    </w:p>
    <w:p>
      <w:pPr>
        <w:pStyle w:val="Heading2"/>
        <w:spacing w:before="360" w:after="180"/>
      </w:pPr>
      <w:r>
        <w:rPr>
          <w:b/>
          <w:color w:val="1B2C3E"/>
          <w:sz w:val="36"/>
        </w:rPr>
        <w:t>Parte 1 — Introducción y resumen</w:t>
      </w:r>
    </w:p>
    <w:p>
      <w:pPr>
        <w:spacing w:after="160"/>
      </w:pPr>
      <w:r>
        <w:rPr/>
      </w:r>
      <w:r>
        <w:rPr>
          <w:b/>
        </w:rPr>
        <w:t>Para quién:</w:t>
      </w:r>
      <w:r>
        <w:rPr/>
        <w:t xml:space="preserve"> cualquier vecino que quiera entender de qué se trata antes de decidir si profundizar.</w:t>
      </w:r>
    </w:p>
    <w:p>
      <w:pPr>
        <w:spacing w:after="160"/>
      </w:pPr>
      <w:r>
        <w:rPr/>
        <w:t>Explica por qué la imagen del fraccionamiento tiene valor económico concreto, qué problema específico tiene el Reglamento actual, y resume en una página las cinco propuestas de cambio con su situación actual y el resultado esperado de cada una.</w:t>
      </w:r>
    </w:p>
    <w:p>
      <w:pPr>
        <w:spacing w:after="160"/>
      </w:pPr>
      <w:r>
        <w:rPr/>
      </w:r>
      <w:r>
        <w:rPr>
          <w:b/>
        </w:rPr>
        <w:t>Al terminar esta parte sabrás:</w:t>
      </w:r>
      <w:r>
        <w:rPr/>
        <w:t xml:space="preserve"> qué se propone, por qué importa y cuánto puede valer la diferencia en el valor de tu casa.</w:t>
      </w:r>
    </w:p>
    <w:p>
      <w:pPr>
        <w:pStyle w:val="Heading2"/>
        <w:spacing w:before="360" w:after="180"/>
      </w:pPr>
      <w:r>
        <w:rPr>
          <w:b/>
          <w:color w:val="1B2C3E"/>
          <w:sz w:val="36"/>
        </w:rPr>
        <w:t>Parte 2 — La propuesta explicada a fondo</w:t>
      </w:r>
    </w:p>
    <w:p>
      <w:pPr>
        <w:spacing w:after="160"/>
      </w:pPr>
      <w:r>
        <w:rPr/>
      </w:r>
      <w:r>
        <w:rPr>
          <w:b/>
        </w:rPr>
        <w:t>Para quién:</w:t>
      </w:r>
      <w:r>
        <w:rPr/>
        <w:t xml:space="preserve"> vecinos que quieran entender cómo funciona el sistema propuesto, con qué respaldo legal se sostiene, qué beneficios concretos trae y qué pasa en situaciones específicas.</w:t>
      </w:r>
    </w:p>
    <w:p>
      <w:pPr>
        <w:spacing w:after="160"/>
      </w:pPr>
      <w:r>
        <w:rPr/>
        <w:t>Cubre el sustento en la Ley de Condominio del Estado de SLP y el Código Civil Federal, el detalle de cada uno de los tres pilares del sistema (Consejo, Manual, clasificación de obras), los beneficios documentados con fuentes verificables, ejemplos numéricos de casos reales como obras ya existentes sin autorización o compraventas con historial incompleto, y respuestas a las 14 preguntas más frecuentes.</w:t>
      </w:r>
    </w:p>
    <w:p>
      <w:pPr>
        <w:spacing w:after="160"/>
      </w:pPr>
      <w:r>
        <w:rPr/>
      </w:r>
      <w:r>
        <w:rPr>
          <w:b/>
        </w:rPr>
        <w:t>Al terminar esta parte sabrás:</w:t>
      </w:r>
      <w:r>
        <w:rPr/>
        <w:t xml:space="preserve"> cómo funciona cada pieza del sistema, qué dice la ley al respecto, y qué pasa en tu caso específico.</w:t>
      </w:r>
    </w:p>
    <w:p>
      <w:pPr>
        <w:pStyle w:val="Heading2"/>
        <w:spacing w:before="360" w:after="180"/>
      </w:pPr>
      <w:r>
        <w:rPr>
          <w:b/>
          <w:color w:val="1B2C3E"/>
          <w:sz w:val="36"/>
        </w:rPr>
        <w:t>Parte 3 — Texto normativo para votación</w:t>
      </w:r>
    </w:p>
    <w:p>
      <w:pPr>
        <w:spacing w:after="160"/>
      </w:pPr>
      <w:r>
        <w:rPr/>
      </w:r>
      <w:r>
        <w:rPr>
          <w:b/>
        </w:rPr>
        <w:t>Para quién:</w:t>
      </w:r>
      <w:r>
        <w:rPr/>
        <w:t xml:space="preserve"> vecinos que quieran revisar exactamente qué se estaría aprobando en Asamblea, palabra por palabra.</w:t>
      </w:r>
    </w:p>
    <w:p>
      <w:pPr>
        <w:spacing w:after="160"/>
      </w:pPr>
      <w:r>
        <w:rPr/>
        <w:t>Reúne los documentos de referencia que respaldan la propuesta: el texto íntegro de los cinco artículos para modificar el Reglamento (A al E), los formatos oficiales sugeridos para operar el nuevo sistema y los manuales de proceso que describen cómo se autorizarían las obras en la práctica. Los formatos y manuales no son parte del Reglamento en sí, pero muestran cómo funcionaría el sistema en la vida cotidiana.</w:t>
      </w:r>
    </w:p>
    <w:p>
      <w:pPr>
        <w:spacing w:after="160"/>
      </w:pPr>
      <w:r>
        <w:rPr/>
        <w:t xml:space="preserve">También se incluye una propuesta de actualización al </w:t>
      </w:r>
      <w:r>
        <w:rPr>
          <w:b/>
        </w:rPr>
        <w:t>Catálogo de Multas</w:t>
      </w:r>
      <w:r>
        <w:rPr/>
        <w:t xml:space="preserve"> vigente. El catálogo actual tiene un solo concepto genérico para obras sin autorización ($1,000 fijos), sin distinción entre una obra menor y una ampliación estructural. La propuesta lo desglosa por categoría de obra y reexpresa todos los montos en </w:t>
      </w:r>
      <w:r>
        <w:rPr>
          <w:b/>
        </w:rPr>
        <w:t>UMAs (Unidades de Medida y Actualización)</w:t>
      </w:r>
      <w:r>
        <w:rPr/>
        <w:t xml:space="preserve"> — la unidad oficial que publica el INEGI cada febrero — de modo que las multas se actualicen automáticamente con la inflación sin necesidad de reformar el documento ni convocar a Asamblea. Esta actualización del catálogo no modifica el Reglamento; requiere aprobación de la administración y el Comité de Representantes.</w:t>
      </w:r>
    </w:p>
    <w:p>
      <w:pPr>
        <w:spacing w:after="160"/>
      </w:pPr>
      <w:r>
        <w:rPr/>
      </w:r>
      <w:r>
        <w:rPr>
          <w:b/>
        </w:rPr>
        <w:t>Al terminar esta parte sabrás:</w:t>
      </w:r>
      <w:r>
        <w:rPr/>
        <w:t xml:space="preserve"> exactamente qué estarías votando, cómo operaría el sistema una vez aprobado y qué cambios se proponen al esquema de sanciones para que sean proporcionales y duraderos.</w:t>
      </w:r>
      <w:r>
        <w:t xml:space="preserve"> </w:t>
      </w:r>
      <w:r>
        <w:rPr/>
        <w:t>|</w:t>
      </w:r>
    </w:p>
    <w:p>
      <w:pPr>
        <w:pStyle w:val="Heading2"/>
        <w:spacing w:before="360" w:after="180"/>
      </w:pPr>
      <w:r>
        <w:rPr>
          <w:b/>
          <w:color w:val="1B2C3E"/>
          <w:sz w:val="36"/>
        </w:rPr>
        <w:t>Parte 4 — Material de referencia</w:t>
      </w:r>
    </w:p>
    <w:p>
      <w:pPr>
        <w:spacing w:after="160"/>
      </w:pPr>
      <w:r>
        <w:rPr/>
      </w:r>
      <w:r>
        <w:rPr>
          <w:b/>
        </w:rPr>
        <w:t>Para quién:</w:t>
      </w:r>
      <w:r>
        <w:rPr/>
        <w:t xml:space="preserve"> vecinos que quieran profundizar en dudas específicas, verificar los términos técnicos o consultar la normatividad que respalda la propuesta.</w:t>
      </w:r>
    </w:p>
    <w:p>
      <w:pPr>
        <w:spacing w:after="160"/>
      </w:pPr>
      <w:r>
        <w:rPr/>
        <w:t xml:space="preserve">Reúne tres recursos de consulta: las </w:t>
      </w:r>
      <w:r>
        <w:rPr>
          <w:b/>
        </w:rPr>
        <w:t>Preguntas Frecuentes</w:t>
      </w:r>
      <w:r>
        <w:rPr/>
        <w:t xml:space="preserve"> que anticipan las dudas más comunes sobre autoridad, costos, imparcialidad y casos límite; el </w:t>
      </w:r>
      <w:r>
        <w:rPr>
          <w:b/>
        </w:rPr>
        <w:t>Glosario de Términos</w:t>
      </w:r>
      <w:r>
        <w:rPr/>
        <w:t xml:space="preserve"> con las definiciones precisas de los conceptos técnicos, legales y arquitectónicos usados en el documento; y el </w:t>
      </w:r>
      <w:r>
        <w:rPr>
          <w:b/>
        </w:rPr>
        <w:t>Marco Legal de Referencia</w:t>
      </w:r>
      <w:r>
        <w:rPr/>
        <w:t xml:space="preserve"> con la normatividad aplicable, desde el Reglamento interno del Fraccionamiento Solé hasta el Código Civil Federal y las fuentes técnicas internacionales.</w:t>
      </w:r>
    </w:p>
    <w:p>
      <w:pPr>
        <w:spacing w:after="160"/>
      </w:pPr>
      <w:r>
        <w:rPr/>
      </w:r>
      <w:r>
        <w:rPr>
          <w:b/>
        </w:rPr>
        <w:t>Al terminar esta parte sabrás:</w:t>
      </w:r>
      <w:r>
        <w:rPr/>
        <w:t xml:space="preserve"> qué responde el sistema a tu situación específica, qué significa cada término y en qué leyes se apoya la propuesta.</w:t>
      </w:r>
    </w:p>
    <w:p>
      <w:pPr>
        <w:pBdr>
          <w:bottom w:val="single" w:sz="6" w:space="1" w:color="E2E8F0"/>
        </w:pBdr>
      </w:pPr>
    </w:p>
    <w:p>
      <w:pPr>
        <w:pStyle w:val="Heading1"/>
        <w:pageBreakBefore/>
        <w:spacing w:before="480" w:after="240"/>
        <w:jc w:val="center"/>
      </w:pPr>
      <w:r>
        <w:rPr>
          <w:b/>
          <w:color w:val="1B2C3E"/>
          <w:sz w:val="48"/>
        </w:rPr>
        <w:t>Introducción: Lo que está en juego</w:t>
      </w:r>
    </w:p>
    <w:p>
      <w:pPr>
        <w:pStyle w:val="Heading2"/>
        <w:spacing w:before="360" w:after="180"/>
      </w:pPr>
      <w:r>
        <w:rPr>
          <w:b/>
          <w:color w:val="1B2C3E"/>
          <w:sz w:val="36"/>
        </w:rPr>
        <w:t>Por qué elegí Solé</w:t>
      </w:r>
    </w:p>
    <w:p>
      <w:pPr>
        <w:spacing w:after="160"/>
      </w:pPr>
      <w:r>
        <w:rPr/>
        <w:t>Cuando empecé a buscar casa, tenía claro más o menos lo que quería en términos de espacio y ubicación. Lo que no tenía tan claro era todo lo que iba a aprender sobre fraccionamientos en el proceso.</w:t>
      </w:r>
    </w:p>
    <w:p>
      <w:pPr>
        <w:spacing w:after="160"/>
      </w:pPr>
      <w:r>
        <w:rPr/>
        <w:t>Recorrí varios privados de la zona antes de llegar aquí. En uno de ellos — bien ubicado, con buena infraestructura, precios razonables — algo no terminaba de cuadrar. Había casas con fachadas pintadas en colores que no pegaban con nada, segundos niveles construidos con materiales diferentes a los originales, cocheras techadas de maneras distintas en cada lote, pequeños negocios operando en lo que claramente eran espacios habitacionales. Cada modificación, vista de forma aislada, tenía su lógica. Vista en conjunto, el resultado era una imagen fragmentada que transmitía una sola cosa: aquí cada quien hace lo suyo.</w:t>
      </w:r>
    </w:p>
    <w:p>
      <w:pPr>
        <w:spacing w:after="160"/>
      </w:pPr>
      <w:r>
        <w:rPr/>
        <w:t>Lo dejé ir sin hacer preguntas.</w:t>
      </w:r>
    </w:p>
    <w:p>
      <w:pPr>
        <w:spacing w:after="160"/>
      </w:pPr>
      <w:r>
        <w:rPr/>
        <w:t xml:space="preserve">Cuando llegué a Solé fue diferente. Había una coherencia visual que se sentía desde la entrada: los colores, los materiales, las proporciones de las fachadas. Se notaba que las casas habían sido pensadas como conjunto — había armonía, había buen gusto, había cuidado en los detalles. Hablé con quien me estaba mostrando el fraccionamiento y le pregunté directamente: </w:t>
      </w:r>
      <w:r>
        <w:rPr>
          <w:i/>
        </w:rPr>
        <w:t>¿esto se va a mantener así?</w:t>
      </w:r>
    </w:p>
    <w:p>
      <w:pPr>
        <w:spacing w:after="160"/>
      </w:pPr>
      <w:r>
        <w:rPr/>
        <w:t>La respuesta fue la que me convenció de invertir aquí.</w:t>
      </w:r>
    </w:p>
    <w:p>
      <w:pPr>
        <w:spacing w:after="160"/>
      </w:pPr>
      <w:r>
        <w:rPr/>
        <w:t>Me explicó que el fraccionamiento opera bajo un régimen de propiedad en condominio, y que eso no es solo un término legal: significa que existe un Reglamento que establece cómo se pueden hacer modificaciones, qué criterios deben respetarse en las fachadas, y cómo se toman las decisiones que afectan a todos. Significa que la imagen que yo estaba viendo no era un accidente de buen gusto — era el resultado de un marco que protege esa imagen en el tiempo.</w:t>
      </w:r>
    </w:p>
    <w:p>
      <w:pPr>
        <w:spacing w:after="160"/>
      </w:pPr>
      <w:r>
        <w:rPr/>
        <w:t>Eso fue determinante. No compré solo la casa. Compré la certeza de que mi patrimonio no iba a ser disminuido por decisiones que yo no controlo.</w:t>
      </w:r>
    </w:p>
    <w:p>
      <w:pPr>
        <w:pBdr>
          <w:bottom w:val="single" w:sz="6" w:space="1" w:color="E2E8F0"/>
        </w:pBdr>
      </w:pPr>
    </w:p>
    <w:p>
      <w:pPr>
        <w:pStyle w:val="Heading2"/>
        <w:spacing w:before="360" w:after="180"/>
      </w:pPr>
      <w:r>
        <w:rPr>
          <w:b/>
          <w:color w:val="1B2C3E"/>
          <w:sz w:val="36"/>
        </w:rPr>
        <w:t>Lo que todos compramos</w:t>
      </w:r>
    </w:p>
    <w:p>
      <w:pPr>
        <w:spacing w:after="160"/>
      </w:pPr>
      <w:r>
        <w:rPr/>
        <w:t>Creo que esa certeza fue, en mayor o menor medida, parte de la decisión de cada uno de los que vivimos aquí.</w:t>
      </w:r>
    </w:p>
    <w:p>
      <w:pPr>
        <w:spacing w:after="160"/>
      </w:pPr>
      <w:r>
        <w:rPr/>
        <w:t>Nadie compra en un fraccionamiento privado con régimen de condominio por accidente. Se elige precisamente porque el formato ofrece algo que un lote en una calle abierta no puede garantizar: un conjunto de reglas compartidas que protegen el carácter del lugar, y con él, el valor de cada propiedad individual.</w:t>
      </w:r>
    </w:p>
    <w:p>
      <w:pPr>
        <w:spacing w:after="160"/>
      </w:pPr>
      <w:r>
        <w:rPr/>
        <w:t>El valor de nuestra casa no se construye solo con lo que hacemos dentro de ella. Se construye también con lo que sucede a su alrededor. Un comprador que llegue a ver nuestra propiedad va a evaluar — consciente o no — la imagen del fraccionamiento como un todo. Va a notar si hay coherencia o si hay desorden. Va a preguntarse, como yo me lo pregunté en aquella otra privada, si lo que ve hoy es lo que va a seguir viendo en cinco o diez años.</w:t>
      </w:r>
    </w:p>
    <w:p>
      <w:pPr>
        <w:spacing w:after="160"/>
      </w:pPr>
      <w:r>
        <w:rPr/>
        <w:t>La respuesta a esa pregunta es lo que determina, en buena medida, cuánto está dispuesto a pagar.</w:t>
      </w:r>
    </w:p>
    <w:p>
      <w:pPr>
        <w:pBdr>
          <w:bottom w:val="single" w:sz="6" w:space="1" w:color="E2E8F0"/>
        </w:pBdr>
      </w:pPr>
    </w:p>
    <w:p>
      <w:pPr>
        <w:pStyle w:val="Heading2"/>
        <w:spacing w:before="360" w:after="180"/>
      </w:pPr>
      <w:r>
        <w:rPr>
          <w:b/>
          <w:color w:val="1B2C3E"/>
          <w:sz w:val="36"/>
        </w:rPr>
        <w:t>Lo que el mercado dice — en números concretos</w:t>
      </w:r>
    </w:p>
    <w:p>
      <w:pPr>
        <w:spacing w:after="160"/>
      </w:pPr>
      <w:r>
        <w:rPr/>
        <w:t>Esto no es solo intuición. El Índice de Precios de la Vivienda de la Sociedad Hipotecaria Federal (SHF, 2025) mide la diferencia de comportamiento entre zonas con gobernanza activa y zonas donde las reglas no se aplican consistentemente. El resultado es claro: los fraccionamientos organizados crecen a una tasa anual de entre el 9% y el 11%, mientras que los que pierden coherencia en su imagen tienden a crecer a tasas de entre el 2% y el 3% — por debajo incluso de la inflación.</w:t>
      </w:r>
    </w:p>
    <w:p>
      <w:pPr>
        <w:spacing w:after="160"/>
      </w:pPr>
      <w:r>
        <w:rPr/>
        <w:t xml:space="preserve">Para hacer esa diferencia concreta, tomemos una casa con un valor de </w:t>
      </w:r>
      <w:r>
        <w:rPr>
          <w:b/>
        </w:rPr>
        <w:t>$1,400,000 pesos</w:t>
      </w:r>
      <w:r>
        <w:rPr/>
        <w:t xml:space="preserve"> — valor representativo en nuestro fraccionamiento hoy.</w:t>
      </w:r>
    </w:p>
    <w:p>
      <w:pPr>
        <w:pStyle w:val="Heading3"/>
        <w:spacing w:before="300" w:after="120"/>
      </w:pPr>
      <w:r>
        <w:rPr>
          <w:b/>
          <w:color w:val="3D5168"/>
          <w:sz w:val="28"/>
        </w:rPr>
        <w:t>Escenario optimista: Solé con imagen bien cuidada</w:t>
      </w:r>
    </w:p>
    <w:p>
      <w:pPr>
        <w:spacing w:after="160"/>
      </w:pPr>
      <w:r>
        <w:rPr>
          <w:i/>
        </w:rPr>
        <w:t>Crecimiento anual: 9–11% (SHF, zonas organizadas con gobernanza activa)</w:t>
      </w:r>
    </w:p>
    <w:tbl>
      <w:tblPr>
        <w:tblStyle w:val="TableGrid"/>
        <w:tblW w:type="auto" w:w="0"/>
        <w:tblLook w:firstColumn="1" w:firstRow="1" w:lastColumn="0" w:lastRow="0" w:noHBand="0" w:noVBand="1" w:val="04A0"/>
      </w:tblPr>
      <w:tblGrid>
        <w:gridCol w:w="3230"/>
        <w:gridCol w:w="3230"/>
        <w:gridCol w:w="3230"/>
      </w:tblGrid>
      <w:tr>
        <w:tc>
          <w:tcPr>
            <w:tcW w:type="dxa" w:w="3230"/>
          </w:tcPr>
          <w:p>
            <w:r>
              <w:rPr>
                <w:b/>
              </w:rPr>
              <w:t>Horizonte</w:t>
            </w:r>
          </w:p>
        </w:tc>
        <w:tc>
          <w:tcPr>
            <w:tcW w:type="dxa" w:w="3230"/>
          </w:tcPr>
          <w:p>
            <w:r>
              <w:rPr>
                <w:b/>
              </w:rPr>
              <w:t>Valor proyectado</w:t>
            </w:r>
          </w:p>
        </w:tc>
        <w:tc>
          <w:tcPr>
            <w:tcW w:type="dxa" w:w="3230"/>
          </w:tcPr>
          <w:p>
            <w:r>
              <w:rPr>
                <w:b/>
              </w:rPr>
              <w:t>Crecimiento sobre el valor actual</w:t>
            </w:r>
          </w:p>
        </w:tc>
      </w:tr>
      <w:tr>
        <w:tc>
          <w:tcPr>
            <w:tcW w:type="dxa" w:w="3230"/>
          </w:tcPr>
          <w:p>
            <w:r>
              <w:rPr/>
              <w:t>En 5 años</w:t>
            </w:r>
          </w:p>
        </w:tc>
        <w:tc>
          <w:tcPr>
            <w:tcW w:type="dxa" w:w="3230"/>
          </w:tcPr>
          <w:p>
            <w:r>
              <w:rPr/>
              <w:t>$2,150,000 – $2,360,000</w:t>
            </w:r>
          </w:p>
        </w:tc>
        <w:tc>
          <w:tcPr>
            <w:tcW w:type="dxa" w:w="3230"/>
          </w:tcPr>
          <w:p>
            <w:r>
              <w:rPr/>
              <w:t>+$750,000 a +$960,000</w:t>
            </w:r>
          </w:p>
        </w:tc>
      </w:tr>
      <w:tr>
        <w:tc>
          <w:tcPr>
            <w:tcW w:type="dxa" w:w="3230"/>
          </w:tcPr>
          <w:p>
            <w:r>
              <w:rPr/>
              <w:t>En 10 años</w:t>
            </w:r>
          </w:p>
        </w:tc>
        <w:tc>
          <w:tcPr>
            <w:tcW w:type="dxa" w:w="3230"/>
          </w:tcPr>
          <w:p>
            <w:r>
              <w:rPr/>
              <w:t>$3,315,000 – $3,975,000</w:t>
            </w:r>
          </w:p>
        </w:tc>
        <w:tc>
          <w:tcPr>
            <w:tcW w:type="dxa" w:w="3230"/>
          </w:tcPr>
          <w:p>
            <w:r>
              <w:rPr/>
              <w:t>+$1,915,000 a +$2,575,000</w:t>
            </w:r>
          </w:p>
        </w:tc>
      </w:tr>
    </w:tbl>
    <w:p>
      <w:pPr>
        <w:pStyle w:val="Heading3"/>
        <w:spacing w:before="300" w:after="120"/>
      </w:pPr>
      <w:r>
        <w:rPr>
          <w:b/>
          <w:color w:val="3D5168"/>
          <w:sz w:val="28"/>
        </w:rPr>
        <w:t>Escenario de menor crecimiento: sin reglas aplicadas consistentemente</w:t>
      </w:r>
    </w:p>
    <w:p>
      <w:pPr>
        <w:spacing w:after="160"/>
      </w:pPr>
      <w:r>
        <w:rPr>
          <w:i/>
        </w:rPr>
        <w:t>Crecimiento anual: 2–3% (SHF, zonas sin gobernanza de imagen)</w:t>
      </w:r>
    </w:p>
    <w:tbl>
      <w:tblPr>
        <w:tblStyle w:val="TableGrid"/>
        <w:tblW w:type="auto" w:w="0"/>
        <w:tblLook w:firstColumn="1" w:firstRow="1" w:lastColumn="0" w:lastRow="0" w:noHBand="0" w:noVBand="1" w:val="04A0"/>
      </w:tblPr>
      <w:tblGrid>
        <w:gridCol w:w="3230"/>
        <w:gridCol w:w="3230"/>
        <w:gridCol w:w="3230"/>
      </w:tblGrid>
      <w:tr>
        <w:tc>
          <w:tcPr>
            <w:tcW w:type="dxa" w:w="3230"/>
          </w:tcPr>
          <w:p>
            <w:r>
              <w:rPr>
                <w:b/>
              </w:rPr>
              <w:t>Horizonte</w:t>
            </w:r>
          </w:p>
        </w:tc>
        <w:tc>
          <w:tcPr>
            <w:tcW w:type="dxa" w:w="3230"/>
          </w:tcPr>
          <w:p>
            <w:r>
              <w:rPr>
                <w:b/>
              </w:rPr>
              <w:t>Valor proyectado</w:t>
            </w:r>
          </w:p>
        </w:tc>
        <w:tc>
          <w:tcPr>
            <w:tcW w:type="dxa" w:w="3230"/>
          </w:tcPr>
          <w:p>
            <w:r>
              <w:rPr>
                <w:b/>
              </w:rPr>
              <w:t>Crecimiento sobre el valor actual</w:t>
            </w:r>
          </w:p>
        </w:tc>
      </w:tr>
      <w:tr>
        <w:tc>
          <w:tcPr>
            <w:tcW w:type="dxa" w:w="3230"/>
          </w:tcPr>
          <w:p>
            <w:r>
              <w:rPr/>
              <w:t>En 5 años</w:t>
            </w:r>
          </w:p>
        </w:tc>
        <w:tc>
          <w:tcPr>
            <w:tcW w:type="dxa" w:w="3230"/>
          </w:tcPr>
          <w:p>
            <w:r>
              <w:rPr/>
              <w:t>$1,545,000 – $1,625,000</w:t>
            </w:r>
          </w:p>
        </w:tc>
        <w:tc>
          <w:tcPr>
            <w:tcW w:type="dxa" w:w="3230"/>
          </w:tcPr>
          <w:p>
            <w:r>
              <w:rPr/>
              <w:t>+$145,000 a +$225,000</w:t>
            </w:r>
          </w:p>
        </w:tc>
      </w:tr>
      <w:tr>
        <w:tc>
          <w:tcPr>
            <w:tcW w:type="dxa" w:w="3230"/>
          </w:tcPr>
          <w:p>
            <w:r>
              <w:rPr/>
              <w:t>En 10 años</w:t>
            </w:r>
          </w:p>
        </w:tc>
        <w:tc>
          <w:tcPr>
            <w:tcW w:type="dxa" w:w="3230"/>
          </w:tcPr>
          <w:p>
            <w:r>
              <w:rPr/>
              <w:t>$1,720,000 – $1,880,000</w:t>
            </w:r>
          </w:p>
        </w:tc>
        <w:tc>
          <w:tcPr>
            <w:tcW w:type="dxa" w:w="3230"/>
          </w:tcPr>
          <w:p>
            <w:r>
              <w:rPr/>
              <w:t>+$320,000 a +$480,000</w:t>
            </w:r>
          </w:p>
        </w:tc>
      </w:tr>
    </w:tbl>
    <w:p>
      <w:pPr>
        <w:pStyle w:val="Heading3"/>
        <w:spacing w:before="300" w:after="120"/>
      </w:pPr>
      <w:r>
        <w:rPr>
          <w:b/>
          <w:color w:val="3D5168"/>
          <w:sz w:val="28"/>
        </w:rPr>
        <w:t>La diferencia entre los dos escenarios</w:t>
      </w:r>
    </w:p>
    <w:tbl>
      <w:tblPr>
        <w:tblStyle w:val="TableGrid"/>
        <w:tblW w:type="auto" w:w="0"/>
        <w:tblLook w:firstColumn="1" w:firstRow="1" w:lastColumn="0" w:lastRow="0" w:noHBand="0" w:noVBand="1" w:val="04A0"/>
      </w:tblPr>
      <w:tblGrid>
        <w:gridCol w:w="4844"/>
        <w:gridCol w:w="4844"/>
      </w:tblGrid>
      <w:tr>
        <w:tc>
          <w:tcPr>
            <w:tcW w:type="dxa" w:w="4844"/>
          </w:tcPr>
          <w:p>
            <w:r>
              <w:rPr>
                <w:b/>
              </w:rPr>
              <w:t>Horizonte</w:t>
            </w:r>
          </w:p>
        </w:tc>
        <w:tc>
          <w:tcPr>
            <w:tcW w:type="dxa" w:w="4844"/>
          </w:tcPr>
          <w:p>
            <w:r>
              <w:rPr>
                <w:b/>
              </w:rPr>
              <w:t>Diferencia de valor entre escenarios</w:t>
            </w:r>
          </w:p>
        </w:tc>
      </w:tr>
      <w:tr>
        <w:tc>
          <w:tcPr>
            <w:tcW w:type="dxa" w:w="4844"/>
          </w:tcPr>
          <w:p>
            <w:r>
              <w:rPr/>
              <w:t>En 5 años</w:t>
            </w:r>
          </w:p>
        </w:tc>
        <w:tc>
          <w:tcPr>
            <w:tcW w:type="dxa" w:w="4844"/>
          </w:tcPr>
          <w:p>
            <w:r>
              <w:rPr/>
              <w:t>entre $525,000 y $815,000</w:t>
            </w:r>
          </w:p>
        </w:tc>
      </w:tr>
      <w:tr>
        <w:tc>
          <w:tcPr>
            <w:tcW w:type="dxa" w:w="4844"/>
          </w:tcPr>
          <w:p>
            <w:r>
              <w:rPr/>
              <w:t>En 10 años</w:t>
            </w:r>
          </w:p>
        </w:tc>
        <w:tc>
          <w:tcPr>
            <w:tcW w:type="dxa" w:w="4844"/>
          </w:tcPr>
          <w:p>
            <w:r>
              <w:rPr/>
              <w:t>entre $1,435,000 y $2,255,000</w:t>
            </w:r>
          </w:p>
        </w:tc>
      </w:tr>
    </w:tbl>
    <w:p>
      <w:pPr>
        <w:spacing w:after="160"/>
      </w:pPr>
      <w:r>
        <w:rPr/>
        <w:t>Esa diferencia no la produce ninguna inversión dentro de la casa. No es remodelación, ni ampliación, ni mejora de acabados. La produce únicamente el hecho de que el conjunto cuide su imagen — o no.</w:t>
      </w:r>
    </w:p>
    <w:p>
      <w:pPr>
        <w:spacing w:after="160"/>
      </w:pPr>
      <w:r>
        <w:rPr/>
        <w:t>Dicho de otra manera: en diez años, la diferencia entre vivir en un fraccionamiento con gobernanza activa y uno sin ella puede representar más del valor total que pagamos por la casa hoy.</w:t>
      </w:r>
    </w:p>
    <w:p>
      <w:pPr>
        <w:ind w:left="720"/>
        <w:pBdr>
          <w:left w:val="single" w:sz="12" w:space="8" w:color="E2E8F0"/>
        </w:pBdr>
      </w:pPr>
      <w:r>
        <w:rPr>
          <w:i/>
        </w:rPr>
        <w:t>Fuentes: Sociedad Hipotecaria Federal, Índice SHF de Precios de la Vivienda, 2T 2025; Community Associations Institute (CAI), 2025; Cheung, Cunningham y Meltzer, Journal of Housing Economics, 2014.</w:t>
      </w:r>
    </w:p>
    <w:p>
      <w:pPr>
        <w:pBdr>
          <w:bottom w:val="single" w:sz="6" w:space="1" w:color="E2E8F0"/>
        </w:pBdr>
      </w:pPr>
    </w:p>
    <w:p>
      <w:pPr>
        <w:pBdr>
          <w:left w:val="single" w:sz="20" w:space="8" w:color="3182CE"/>
        </w:pBdr>
        <w:shd w:val="clear" w:color="auto" w:fill="EBF4FF"/>
      </w:pPr>
      <w:r>
        <w:rPr>
          <w:b/>
        </w:rPr>
        <w:t xml:space="preserve">  NOTA</w:t>
      </w:r>
    </w:p>
    <w:p>
      <w:pPr>
        <w:pBdr>
          <w:left w:val="single" w:sz="20" w:space="8" w:color="3182CE"/>
        </w:pBdr>
        <w:shd w:val="clear" w:color="auto" w:fill="EBF4FF"/>
      </w:pPr>
      <w:r>
        <w:rPr/>
      </w:r>
      <w:r>
        <w:rPr>
          <w:b/>
        </w:rPr>
        <w:t>Si ya leíste suficiente para saber que esto vale la pena discutirlo — no necesitas leer más.</w:t>
      </w:r>
      <w:r>
        <w:rPr/>
      </w:r>
    </w:p>
    <w:p>
      <w:pPr>
        <w:pBdr>
          <w:left w:val="single" w:sz="20" w:space="8" w:color="3182CE"/>
        </w:pBdr>
        <w:shd w:val="clear" w:color="auto" w:fill="EBF4FF"/>
      </w:pPr>
      <w:r>
        <w:rPr/>
        <w:t>Esta propuesta necesita el respaldo del 25% de los condóminos para poder convocar a Asamblea. Tu firma no aprueba nada: solo pide que la conversación ocurra donde debe ocurrir, frente a todos.</w:t>
      </w:r>
    </w:p>
    <w:p>
      <w:pPr>
        <w:pBdr>
          <w:left w:val="single" w:sz="20" w:space="8" w:color="3182CE"/>
        </w:pBdr>
        <w:shd w:val="clear" w:color="auto" w:fill="EBF4FF"/>
      </w:pPr>
      <w:r>
        <w:rPr/>
        <w:t>Si tienes dudas, objeciones o cambios que proponer, también es buena razón para sumarte — eso se resuelve en la Asamblea, no antes.</w:t>
      </w:r>
    </w:p>
    <w:p>
      <w:pPr>
        <w:pBdr>
          <w:left w:val="single" w:sz="20" w:space="8" w:color="3182CE"/>
        </w:pBdr>
        <w:shd w:val="clear" w:color="auto" w:fill="EBF4FF"/>
      </w:pPr>
      <w:r>
        <w:rPr/>
      </w:r>
      <w:r>
        <w:rPr>
          <w:b/>
        </w:rPr>
        <w:t>Daniel Chávez Flores · Circuito de los Robles 136-B · Tel. 444-105-8700 · dchavezf@gmail.com</w:t>
      </w:r>
      <w:r>
        <w:rPr/>
      </w:r>
    </w:p>
    <w:p>
      <w:pPr>
        <w:pBdr>
          <w:bottom w:val="single" w:sz="6" w:space="1" w:color="E2E8F0"/>
        </w:pBdr>
      </w:pPr>
    </w:p>
    <w:p>
      <w:pPr>
        <w:pStyle w:val="Heading2"/>
        <w:spacing w:before="360" w:after="180"/>
      </w:pPr>
      <w:r>
        <w:rPr>
          <w:b/>
          <w:color w:val="1B2C3E"/>
          <w:sz w:val="36"/>
        </w:rPr>
        <w:t>El momento en que la certeza necesita estructura</w:t>
      </w:r>
    </w:p>
    <w:p>
      <w:pPr>
        <w:spacing w:after="160"/>
      </w:pPr>
      <w:r>
        <w:rPr/>
        <w:t>La promesa del régimen de condominio es real. Pero una promesa necesita mecanismos para cumplirse.</w:t>
      </w:r>
    </w:p>
    <w:p>
      <w:pPr>
        <w:spacing w:after="160"/>
      </w:pPr>
      <w:r>
        <w:rPr/>
        <w:t>Hoy, nuestro Reglamento establece el marco correcto: prohíbe modificar fachadas sin autorización, exige respetar el estilo arquitectónico del conjunto, y designa al Consejo de Diseño como el órgano que revisa y aprueba las obras. Todo eso está bien escrito.</w:t>
      </w:r>
    </w:p>
    <w:p>
      <w:pPr>
        <w:spacing w:after="160"/>
      </w:pPr>
      <w:r>
        <w:rPr/>
        <w:t>Lo que todavía falta es precisar cómo funciona ese Consejo en la práctica — con qué criterios concretos evalúa las solicitudes, en qué plazos responde, y qué proceso sigue un vecino que quiere hacer una modificación. Sin esa precisión, el sistema existe sobre el papel pero es difícil de aplicar con consistencia, y la diferencia entre los dos escenarios de arriba comienza, suave e imperceptiblemente, a inclinarse en la dirección equivocada.</w:t>
      </w:r>
    </w:p>
    <w:p>
      <w:pPr>
        <w:spacing w:after="160"/>
      </w:pPr>
      <w:r>
        <w:rPr/>
        <w:t>Esta propuesta busca completar ese trabajo. No reescribir las reglas, sino darles los instrumentos que necesitan para funcionar: un Consejo formalmente constituido, un Manual de criterios claros y verificables, y un proceso proporcional que haga fácil hacer las cosas bien.</w:t>
      </w:r>
    </w:p>
    <w:p>
      <w:pPr>
        <w:spacing w:after="160"/>
      </w:pPr>
      <w:r>
        <w:rPr/>
        <w:t>Para que la certeza que nos trajo a vivir aquí siga siendo una certeza — y para que los números de arriba sean los que veamos reflejados en el valor de nuestro patrimonio cuando llegue el momento de venderlo.</w:t>
      </w:r>
    </w:p>
    <w:p>
      <w:pPr>
        <w:pBdr>
          <w:bottom w:val="single" w:sz="6" w:space="1" w:color="E2E8F0"/>
        </w:pBdr>
      </w:pPr>
    </w:p>
    <w:p>
      <w:pPr>
        <w:spacing w:after="160"/>
      </w:pPr>
      <w:r>
        <w:rPr>
          <w:i/>
        </w:rPr>
        <w:t>Las secciones siguientes describen el sistema concreto que se propone, el respaldo legal que lo sostiene, y el plan para construirlo entre todos.</w:t>
      </w:r>
    </w:p>
    <w:p>
      <w:pPr>
        <w:pBdr>
          <w:bottom w:val="single" w:sz="6" w:space="1" w:color="E2E8F0"/>
        </w:pBdr>
      </w:pPr>
    </w:p>
    <w:p>
      <w:pPr>
        <w:pStyle w:val="Heading2"/>
        <w:spacing w:before="360" w:after="180"/>
      </w:pPr>
      <w:r>
        <w:rPr>
          <w:b/>
          <w:color w:val="1B2C3E"/>
          <w:sz w:val="36"/>
        </w:rPr>
        <w:t>Resumen Ejecutivo</w:t>
      </w:r>
    </w:p>
    <w:p>
      <w:pPr>
        <w:spacing w:after="160"/>
      </w:pPr>
      <w:r>
        <w:rPr/>
        <w:t>Esta propuesta define cinco cambios al Reglamento más una acción inmediata. Cada uno resuelve una brecha específica del sistema actual.</w:t>
      </w:r>
    </w:p>
    <w:p>
      <w:pPr>
        <w:spacing w:after="160"/>
      </w:pPr>
      <w:r>
        <w:rPr/>
        <w:t>El punto de partida es sencillo: el Reglamento vigente ya prohíbe modificar fachadas sin autorización y ya menciona un Consejo de Diseño. Lo que no define es cómo funciona ese Consejo, con qué criterios evalúa las solicitudes ni qué proceso sigue un vecino que quiere hacer una modificación. Esa imprecisión hace que el sistema sea difícil de aplicar con consistencia — y un sistema que no se aplica con consistencia no protege a nadie.</w:t>
      </w:r>
    </w:p>
    <w:p>
      <w:pPr>
        <w:spacing w:after="160"/>
      </w:pPr>
      <w:r>
        <w:rPr/>
        <w:t>Los cinco artículos propuestos cierran esas brechas sin reescribir el Reglamento: formalizan el Consejo, convierten los criterios subjetivos en especificaciones escritas, clasifican las obras según su impacto real, crean un historial documental por lote y establecen consecuencias proporcionales para quien omita el proceso.</w:t>
      </w:r>
    </w:p>
    <w:p>
      <w:pPr>
        <w:spacing w:after="160"/>
      </w:pPr>
      <w:r>
        <w:rPr/>
        <w:t>El resultado es un sistema que hace más fácil hacer las cosas bien que no hacerlas — y que convierte el cumplimiento arquitectónico en un activo verificable cuando llegue el momento de vender.</w:t>
      </w:r>
    </w:p>
    <w:p>
      <w:pPr>
        <w:spacing w:after="160"/>
      </w:pPr>
      <w:r>
        <w:rPr>
          <w:i/>
        </w:rPr>
        <w:t xml:space="preserve">Los términos técnicos y legales que aparecen en este documento están definidos en el </w:t>
      </w:r>
      <w:r>
        <w:rPr>
          <w:b/>
          <w:i/>
        </w:rPr>
        <w:t>Glosario</w:t>
      </w:r>
      <w:r>
        <w:rPr>
          <w:i/>
        </w:rPr>
        <w:t>, disponible en la Sección 4.</w:t>
      </w:r>
    </w:p>
    <w:p>
      <w:pPr>
        <w:pBdr>
          <w:bottom w:val="single" w:sz="6" w:space="1" w:color="E2E8F0"/>
        </w:pBdr>
      </w:pPr>
    </w:p>
    <w:p>
      <w:pPr>
        <w:pStyle w:val="Heading3"/>
        <w:spacing w:before="300" w:after="120"/>
      </w:pPr>
      <w:r>
        <w:rPr>
          <w:b/>
          <w:color w:val="3D5168"/>
          <w:sz w:val="28"/>
        </w:rPr>
        <w:t>Las cinco propuestas</w:t>
      </w:r>
    </w:p>
    <w:p>
      <w:pPr>
        <w:pStyle w:val="Heading4"/>
        <w:spacing w:before="240" w:after="120"/>
      </w:pPr>
      <w:r>
        <w:rPr>
          <w:b/>
          <w:sz w:val="24"/>
        </w:rPr>
        <w:t>A — Consejo de Diseño formalmente constituido</w:t>
      </w:r>
    </w:p>
    <w:p>
      <w:pPr>
        <w:spacing w:after="160"/>
      </w:pPr>
      <w:r>
        <w:rPr/>
      </w:r>
      <w:r>
        <w:rPr>
          <w:b/>
        </w:rPr>
        <w:t>Situación actual:</w:t>
      </w:r>
      <w:r>
        <w:rPr/>
        <w:t xml:space="preserve"> el Reglamento nombra al Consejo en 18+ artículos, pero no define quiénes lo integran, cómo se eligen ni cuánto duran.</w:t>
      </w:r>
    </w:p>
    <w:p>
      <w:pPr>
        <w:spacing w:after="160"/>
      </w:pPr>
      <w:r>
        <w:rPr/>
      </w:r>
      <w:r>
        <w:rPr>
          <w:b/>
        </w:rPr>
        <w:t>Propuesta:</w:t>
      </w:r>
      <w:r>
        <w:rPr/>
        <w:t xml:space="preserve"> la Asamblea elige 5 integrantes con cargo de un año; toda resolución queda por escrito con su fundamento.</w:t>
      </w:r>
    </w:p>
    <w:p>
      <w:pPr>
        <w:spacing w:after="160"/>
      </w:pPr>
      <w:r>
        <w:rPr/>
      </w:r>
      <w:r>
        <w:rPr>
          <w:b/>
        </w:rPr>
        <w:t>Resultado:</w:t>
      </w:r>
      <w:r>
        <w:rPr/>
        <w:t xml:space="preserve"> las resoluciones del Consejo adquieren plena validez legal y cualquier vecino puede confiar en el proceso.</w:t>
      </w:r>
    </w:p>
    <w:p>
      <w:pPr>
        <w:pStyle w:val="Heading4"/>
        <w:spacing w:before="240" w:after="120"/>
      </w:pPr>
      <w:r>
        <w:rPr>
          <w:b/>
          <w:sz w:val="24"/>
        </w:rPr>
        <w:t>B — Manual de Imagen Urbana como norma obligatoria</w:t>
      </w:r>
    </w:p>
    <w:p>
      <w:pPr>
        <w:spacing w:after="160"/>
      </w:pPr>
      <w:r>
        <w:rPr/>
      </w:r>
      <w:r>
        <w:rPr>
          <w:b/>
        </w:rPr>
        <w:t>Situación actual:</w:t>
      </w:r>
      <w:r>
        <w:rPr/>
        <w:t xml:space="preserve"> el Reglamento exige «armonía visual» pero no especifica colores ni materiales. El Consejo no tiene referencia objetiva para fundamentar sus resoluciones.</w:t>
      </w:r>
    </w:p>
    <w:p>
      <w:pPr>
        <w:spacing w:after="160"/>
      </w:pPr>
      <w:r>
        <w:rPr/>
      </w:r>
      <w:r>
        <w:rPr>
          <w:b/>
        </w:rPr>
        <w:t>Propuesta:</w:t>
      </w:r>
      <w:r>
        <w:rPr/>
        <w:t xml:space="preserve"> un Manual con códigos de color de marca (Comex / Sherwin-Williams) y especificaciones de materiales, basado en los planos originales de HABI y aprobado por la Asamblea, con la misma jerarquía legal que el Reglamento.</w:t>
      </w:r>
    </w:p>
    <w:p>
      <w:pPr>
        <w:spacing w:after="160"/>
      </w:pPr>
      <w:r>
        <w:rPr/>
      </w:r>
      <w:r>
        <w:rPr>
          <w:b/>
        </w:rPr>
        <w:t>Resultado:</w:t>
      </w:r>
      <w:r>
        <w:rPr/>
        <w:t xml:space="preserve"> cualquier vecino puede verificar de antemano si su proyecto cumple. El Consejo fundamenta sus resoluciones en criterios objetivos.</w:t>
      </w:r>
    </w:p>
    <w:p>
      <w:pPr>
        <w:pStyle w:val="Heading4"/>
        <w:spacing w:before="240" w:after="120"/>
      </w:pPr>
      <w:r>
        <w:rPr>
          <w:b/>
          <w:sz w:val="24"/>
        </w:rPr>
        <w:t>C — Clasificación proporcional de obras</w:t>
      </w:r>
    </w:p>
    <w:p>
      <w:pPr>
        <w:spacing w:after="160"/>
      </w:pPr>
      <w:r>
        <w:rPr/>
      </w:r>
      <w:r>
        <w:rPr>
          <w:b/>
        </w:rPr>
        <w:t>Situación actual:</w:t>
      </w:r>
      <w:r>
        <w:rPr/>
        <w:t xml:space="preserve"> el Reglamento no distingue entre tipos de obra, lo que hace el sistema difícil de usar en la práctica cotidiana.</w:t>
      </w:r>
    </w:p>
    <w:p>
      <w:pPr>
        <w:spacing w:after="160"/>
      </w:pPr>
      <w:r>
        <w:rPr/>
      </w:r>
      <w:r>
        <w:rPr>
          <w:b/>
        </w:rPr>
        <w:t>Propuesta:</w:t>
      </w:r>
      <w:r>
        <w:rPr/>
        <w:t xml:space="preserve"> tres categorías proporcionales al impacto.</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r>
              <w:rPr>
                <w:b/>
              </w:rPr>
              <w:t>Categoría</w:t>
            </w:r>
          </w:p>
        </w:tc>
        <w:tc>
          <w:tcPr>
            <w:tcW w:type="dxa" w:w="2422"/>
          </w:tcPr>
          <w:p>
            <w:r>
              <w:rPr>
                <w:b/>
              </w:rPr>
              <w:t>Descripción</w:t>
            </w:r>
          </w:p>
        </w:tc>
        <w:tc>
          <w:tcPr>
            <w:tcW w:type="dxa" w:w="2422"/>
          </w:tcPr>
          <w:p>
            <w:r>
              <w:rPr>
                <w:b/>
              </w:rPr>
              <w:t>Trámite</w:t>
            </w:r>
          </w:p>
        </w:tc>
        <w:tc>
          <w:tcPr>
            <w:tcW w:type="dxa" w:w="2422"/>
          </w:tcPr>
          <w:p>
            <w:r>
              <w:rPr>
                <w:b/>
              </w:rPr>
              <w:t>Costo</w:t>
            </w:r>
          </w:p>
        </w:tc>
      </w:tr>
      <w:tr>
        <w:tc>
          <w:tcPr>
            <w:tcW w:type="dxa" w:w="2422"/>
          </w:tcPr>
          <w:p>
            <w:r>
              <w:rPr/>
            </w:r>
            <w:r>
              <w:rPr>
                <w:b/>
              </w:rPr>
              <w:t>Obra Pequeña</w:t>
            </w:r>
            <w:r>
              <w:rPr/>
            </w:r>
          </w:p>
        </w:tc>
        <w:tc>
          <w:tcPr>
            <w:tcW w:type="dxa" w:w="2422"/>
          </w:tcPr>
          <w:p>
            <w:r>
              <w:rPr/>
              <w:t>Mantenimiento o acabados interiores sin afectar fachada ni estructura</w:t>
            </w:r>
          </w:p>
        </w:tc>
        <w:tc>
          <w:tcPr>
            <w:tcW w:type="dxa" w:w="2422"/>
          </w:tcPr>
          <w:p>
            <w:r>
              <w:rPr/>
              <w:t xml:space="preserve">Aviso al Administrador </w:t>
            </w:r>
            <w:r>
              <w:rPr>
                <w:b/>
              </w:rPr>
              <w:t>48 h antes</w:t>
            </w:r>
            <w:r>
              <w:rPr/>
            </w:r>
          </w:p>
        </w:tc>
        <w:tc>
          <w:tcPr>
            <w:tcW w:type="dxa" w:w="2422"/>
          </w:tcPr>
          <w:p>
            <w:r>
              <w:rPr/>
              <w:t>Sin costo</w:t>
            </w:r>
          </w:p>
        </w:tc>
      </w:tr>
      <w:tr>
        <w:tc>
          <w:tcPr>
            <w:tcW w:type="dxa" w:w="2422"/>
          </w:tcPr>
          <w:p>
            <w:r>
              <w:rPr/>
            </w:r>
            <w:r>
              <w:rPr>
                <w:b/>
              </w:rPr>
              <w:t>Obra Mediana</w:t>
            </w:r>
            <w:r>
              <w:rPr/>
            </w:r>
          </w:p>
        </w:tc>
        <w:tc>
          <w:tcPr>
            <w:tcW w:type="dxa" w:w="2422"/>
          </w:tcPr>
          <w:p>
            <w:r>
              <w:rPr/>
              <w:t>Cambios en apariencia exterior o elementos visibles</w:t>
            </w:r>
          </w:p>
        </w:tc>
        <w:tc>
          <w:tcPr>
            <w:tcW w:type="dxa" w:w="2422"/>
          </w:tcPr>
          <w:p>
            <w:r>
              <w:rPr/>
              <w:t xml:space="preserve">Solicitud al Consejo · respuesta en </w:t>
            </w:r>
            <w:r>
              <w:rPr>
                <w:b/>
              </w:rPr>
              <w:t>5 días hábiles</w:t>
            </w:r>
            <w:r>
              <w:rPr/>
              <w:t xml:space="preserve"> · aprobación tácita si no responde</w:t>
            </w:r>
          </w:p>
        </w:tc>
        <w:tc>
          <w:tcPr>
            <w:tcW w:type="dxa" w:w="2422"/>
          </w:tcPr>
          <w:p>
            <w:r>
              <w:rPr/>
              <w:t>$1,500 cuota + $3,000 depósito reembolsable</w:t>
            </w:r>
          </w:p>
        </w:tc>
      </w:tr>
      <w:tr>
        <w:tc>
          <w:tcPr>
            <w:tcW w:type="dxa" w:w="2422"/>
          </w:tcPr>
          <w:p>
            <w:r>
              <w:rPr/>
            </w:r>
            <w:r>
              <w:rPr>
                <w:b/>
              </w:rPr>
              <w:t>Obra Grande</w:t>
            </w:r>
            <w:r>
              <w:rPr/>
            </w:r>
          </w:p>
        </w:tc>
        <w:tc>
          <w:tcPr>
            <w:tcW w:type="dxa" w:w="2422"/>
          </w:tcPr>
          <w:p>
            <w:r>
              <w:rPr/>
              <w:t>Ampliaciones, nuevos volúmenes, modificaciones estructurales</w:t>
            </w:r>
          </w:p>
        </w:tc>
        <w:tc>
          <w:tcPr>
            <w:tcW w:type="dxa" w:w="2422"/>
          </w:tcPr>
          <w:p>
            <w:r>
              <w:rPr/>
              <w:t xml:space="preserve">DRO + autorización del Consejo + permisos municipales · </w:t>
            </w:r>
            <w:r>
              <w:rPr>
                <w:b/>
              </w:rPr>
              <w:t>sin aprobación tácita</w:t>
            </w:r>
            <w:r>
              <w:rPr/>
            </w:r>
          </w:p>
        </w:tc>
        <w:tc>
          <w:tcPr>
            <w:tcW w:type="dxa" w:w="2422"/>
          </w:tcPr>
          <w:p>
            <w:r>
              <w:rPr/>
              <w:t xml:space="preserve">$1,500 cuota + </w:t>
            </w:r>
            <w:r>
              <w:rPr>
                <w:b/>
              </w:rPr>
              <w:t>15% del presupuesto</w:t>
            </w:r>
            <w:r>
              <w:rPr/>
              <w:t xml:space="preserve"> (mín. $10,000) depósito reembolsable</w:t>
            </w:r>
          </w:p>
        </w:tc>
      </w:tr>
    </w:tbl>
    <w:p>
      <w:pPr>
        <w:spacing w:after="160"/>
      </w:pPr>
      <w:r>
        <w:rPr/>
      </w:r>
      <w:r>
        <w:rPr>
          <w:b/>
        </w:rPr>
        <w:t>Resultado:</w:t>
      </w:r>
      <w:r>
        <w:rPr/>
        <w:t xml:space="preserve"> pintar interiores no requiere trámite. Cambiar la fachada tiene un proceso claro. Las obras estructurales reciben supervisión técnica.</w:t>
      </w:r>
    </w:p>
    <w:p>
      <w:pPr>
        <w:pStyle w:val="Heading4"/>
        <w:spacing w:before="240" w:after="120"/>
      </w:pPr>
      <w:r>
        <w:rPr>
          <w:b/>
          <w:sz w:val="24"/>
        </w:rPr>
        <w:t>D — Registro histórico y Constancia de Estado de Modificaciones</w:t>
      </w:r>
    </w:p>
    <w:p>
      <w:pPr>
        <w:spacing w:after="160"/>
      </w:pPr>
      <w:r>
        <w:rPr/>
      </w:r>
      <w:r>
        <w:rPr>
          <w:b/>
        </w:rPr>
        <w:t>Situación actual:</w:t>
      </w:r>
      <w:r>
        <w:rPr/>
        <w:t xml:space="preserve"> al comprar una casa en Solé no existe documento que indique qué modificaciones cuentan con autorización.</w:t>
      </w:r>
    </w:p>
    <w:p>
      <w:pPr>
        <w:spacing w:after="160"/>
      </w:pPr>
      <w:r>
        <w:rPr/>
      </w:r>
      <w:r>
        <w:rPr>
          <w:b/>
        </w:rPr>
        <w:t>Propuesta:</w:t>
      </w:r>
      <w:r>
        <w:rPr/>
        <w:t xml:space="preserve"> registro por lote con historial de obras autorizadas + Constancia que el Administrador expide en cada compraventa (entra en vigor el día 91 tras el cierre del período de amnistía).</w:t>
      </w:r>
    </w:p>
    <w:p>
      <w:pPr>
        <w:spacing w:after="160"/>
      </w:pPr>
      <w:r>
        <w:rPr/>
      </w:r>
      <w:r>
        <w:rPr>
          <w:b/>
        </w:rPr>
        <w:t>Resultado:</w:t>
      </w:r>
      <w:r>
        <w:rPr/>
        <w:t xml:space="preserve"> el comprador sabe exactamente qué adquiere; el vendedor tiene incentivo para estar en regla antes de vender.</w:t>
      </w:r>
    </w:p>
    <w:p>
      <w:pPr>
        <w:pStyle w:val="Heading4"/>
        <w:spacing w:before="240" w:after="120"/>
      </w:pPr>
      <w:r>
        <w:rPr>
          <w:b/>
          <w:sz w:val="24"/>
        </w:rPr>
        <w:t>E — Sistema de cumplimiento con incentivos proporcionales</w:t>
      </w:r>
    </w:p>
    <w:p>
      <w:pPr>
        <w:spacing w:after="160"/>
      </w:pPr>
      <w:r>
        <w:rPr/>
      </w:r>
      <w:r>
        <w:rPr>
          <w:b/>
        </w:rPr>
        <w:t>Situación actual:</w:t>
      </w:r>
      <w:r>
        <w:rPr/>
        <w:t xml:space="preserve"> cuando las consecuencias de no seguir el proceso son menores que el costo de seguirlo, el sistema tiende a no usarse.</w:t>
      </w:r>
    </w:p>
    <w:p>
      <w:pPr>
        <w:spacing w:after="160"/>
      </w:pPr>
      <w:r>
        <w:rPr/>
      </w:r>
      <w:r>
        <w:rPr>
          <w:b/>
        </w:rPr>
        <w:t>Propuesta:</w:t>
      </w:r>
      <w:r>
        <w:rPr/>
        <w:t xml:space="preserve"> obras sin autorización quedan sujetas a obligación de restitución. Período de amnistía de </w:t>
      </w:r>
      <w:r>
        <w:rPr>
          <w:b/>
        </w:rPr>
        <w:t>90 días</w:t>
      </w:r>
      <w:r>
        <w:rPr/>
        <w:t xml:space="preserve"> con reducción del </w:t>
      </w:r>
      <w:r>
        <w:rPr>
          <w:b/>
        </w:rPr>
        <w:t>50% en multas</w:t>
      </w:r>
      <w:r>
        <w:rPr/>
        <w:t xml:space="preserve"> para regularización voluntaria.</w:t>
      </w:r>
    </w:p>
    <w:p>
      <w:pPr>
        <w:spacing w:after="160"/>
      </w:pPr>
      <w:r>
        <w:rPr/>
      </w:r>
      <w:r>
        <w:rPr>
          <w:b/>
        </w:rPr>
        <w:t>Resultado:</w:t>
      </w:r>
      <w:r>
        <w:rPr/>
        <w:t xml:space="preserve"> cumplir con el proceso es, en todos los casos, la opción que mejor protege el patrimonio propio.</w:t>
      </w:r>
    </w:p>
    <w:p>
      <w:pPr>
        <w:pBdr>
          <w:bottom w:val="single" w:sz="6" w:space="1" w:color="E2E8F0"/>
        </w:pBdr>
      </w:pPr>
    </w:p>
    <w:p>
      <w:pPr>
        <w:pStyle w:val="Heading3"/>
        <w:spacing w:before="300" w:after="120"/>
      </w:pPr>
      <w:r>
        <w:rPr>
          <w:b/>
          <w:color w:val="3D5168"/>
          <w:sz w:val="28"/>
        </w:rPr>
        <w:t>Primer paso — Conseguir proyecto arquitectonico</w:t>
      </w:r>
    </w:p>
    <w:p>
      <w:pPr>
        <w:spacing w:after="160"/>
      </w:pPr>
      <w:r>
        <w:rPr/>
        <w:t>Antes del Manual se necesitan los planos originales del proyecto. Están en poder de HABI y en el archivo del Municipio de Soledad — son documentos públicos. Anclar el Manual en esos planos le da legitimidad técnica que ningún acuerdo de vecinos puede sustituir.</w:t>
      </w:r>
    </w:p>
    <w:p>
      <w:pPr>
        <w:spacing w:after="160"/>
      </w:pPr>
      <w:r>
        <w:rPr/>
        <w:t xml:space="preserve">Acción concreta: solicitar a HABI y al Municipio la </w:t>
      </w:r>
      <w:r>
        <w:rPr>
          <w:b/>
        </w:rPr>
        <w:t>carta cromática</w:t>
      </w:r>
      <w:r>
        <w:rPr/>
        <w:t xml:space="preserve">, la </w:t>
      </w:r>
      <w:r>
        <w:rPr>
          <w:b/>
        </w:rPr>
        <w:t>especificación de acabados exteriores</w:t>
      </w:r>
      <w:r>
        <w:rPr/>
        <w:t xml:space="preserve"> y los </w:t>
      </w:r>
      <w:r>
        <w:rPr>
          <w:b/>
        </w:rPr>
        <w:t>planos de fachadas tipo</w:t>
      </w:r>
      <w:r>
        <w:rPr/>
        <w:t>. Las cartas están redactadas y listas para firmar en la Sección 3 (Formato P-6).</w:t>
      </w:r>
    </w:p>
    <w:p>
      <w:pPr>
        <w:pBdr>
          <w:bottom w:val="single" w:sz="6" w:space="1" w:color="E2E8F0"/>
        </w:pBdr>
      </w:pPr>
    </w:p>
    <w:p>
      <w:pPr>
        <w:pStyle w:val="Heading3"/>
        <w:spacing w:before="300" w:after="120"/>
      </w:pPr>
      <w:r>
        <w:rPr>
          <w:b/>
          <w:color w:val="3D5168"/>
          <w:sz w:val="28"/>
        </w:rPr>
        <w:t>Qué pasa si la Asamblea aprueba</w:t>
      </w:r>
    </w:p>
    <w:p>
      <w:pPr>
        <w:spacing w:after="160"/>
      </w:pPr>
      <w:r>
        <w:rPr/>
        <w:t>La aprobación activa una secuencia en cinco etapas:</w:t>
      </w:r>
    </w:p>
    <w:tbl>
      <w:tblPr>
        <w:tblStyle w:val="TableGrid"/>
        <w:tblW w:type="auto" w:w="0"/>
        <w:tblLook w:firstColumn="1" w:firstRow="1" w:lastColumn="0" w:lastRow="0" w:noHBand="0" w:noVBand="1" w:val="04A0"/>
      </w:tblPr>
      <w:tblGrid>
        <w:gridCol w:w="3230"/>
        <w:gridCol w:w="3230"/>
        <w:gridCol w:w="3230"/>
      </w:tblGrid>
      <w:tr>
        <w:tc>
          <w:tcPr>
            <w:tcW w:type="dxa" w:w="3230"/>
          </w:tcPr>
          <w:p>
            <w:r>
              <w:rPr>
                <w:b/>
              </w:rPr>
              <w:t>Etapa</w:t>
            </w:r>
          </w:p>
        </w:tc>
        <w:tc>
          <w:tcPr>
            <w:tcW w:type="dxa" w:w="3230"/>
          </w:tcPr>
          <w:p>
            <w:r>
              <w:rPr>
                <w:b/>
              </w:rPr>
              <w:t>Qué ocurre</w:t>
            </w:r>
          </w:p>
        </w:tc>
        <w:tc>
          <w:tcPr>
            <w:tcW w:type="dxa" w:w="3230"/>
          </w:tcPr>
          <w:p>
            <w:r>
              <w:rPr>
                <w:b/>
              </w:rPr>
              <w:t>Plazo</w:t>
            </w:r>
          </w:p>
        </w:tc>
      </w:tr>
      <w:tr>
        <w:tc>
          <w:tcPr>
            <w:tcW w:type="dxa" w:w="3230"/>
          </w:tcPr>
          <w:p>
            <w:r>
              <w:rPr/>
            </w:r>
            <w:r>
              <w:rPr>
                <w:b/>
              </w:rPr>
              <w:t>1</w:t>
            </w:r>
            <w:r>
              <w:rPr/>
            </w:r>
          </w:p>
        </w:tc>
        <w:tc>
          <w:tcPr>
            <w:tcW w:type="dxa" w:w="3230"/>
          </w:tcPr>
          <w:p>
            <w:r>
              <w:rPr/>
              <w:t>Se constituye formalmente el Consejo de Diseño</w:t>
            </w:r>
          </w:p>
        </w:tc>
        <w:tc>
          <w:tcPr>
            <w:tcW w:type="dxa" w:w="3230"/>
          </w:tcPr>
          <w:p>
            <w:r>
              <w:rPr/>
              <w:t>Misma Asamblea</w:t>
            </w:r>
          </w:p>
        </w:tc>
      </w:tr>
      <w:tr>
        <w:tc>
          <w:tcPr>
            <w:tcW w:type="dxa" w:w="3230"/>
          </w:tcPr>
          <w:p>
            <w:r>
              <w:rPr/>
            </w:r>
            <w:r>
              <w:rPr>
                <w:b/>
              </w:rPr>
              <w:t>2</w:t>
            </w:r>
            <w:r>
              <w:rPr/>
            </w:r>
          </w:p>
        </w:tc>
        <w:tc>
          <w:tcPr>
            <w:tcW w:type="dxa" w:w="3230"/>
          </w:tcPr>
          <w:p>
            <w:r>
              <w:rPr/>
              <w:t>El Consejo redacta el Manual de Imagen Urbana con participación de condóminos</w:t>
            </w:r>
          </w:p>
        </w:tc>
        <w:tc>
          <w:tcPr>
            <w:tcW w:type="dxa" w:w="3230"/>
          </w:tcPr>
          <w:p>
            <w:r>
              <w:rPr/>
              <w:t>30 a 180 días</w:t>
            </w:r>
          </w:p>
        </w:tc>
      </w:tr>
      <w:tr>
        <w:tc>
          <w:tcPr>
            <w:tcW w:type="dxa" w:w="3230"/>
          </w:tcPr>
          <w:p>
            <w:r>
              <w:rPr/>
            </w:r>
            <w:r>
              <w:rPr>
                <w:b/>
              </w:rPr>
              <w:t>3</w:t>
            </w:r>
            <w:r>
              <w:rPr/>
            </w:r>
          </w:p>
        </w:tc>
        <w:tc>
          <w:tcPr>
            <w:tcW w:type="dxa" w:w="3230"/>
          </w:tcPr>
          <w:p>
            <w:r>
              <w:rPr/>
              <w:t>La Asamblea aprueba el Manual — el sistema queda en operación plena</w:t>
            </w:r>
          </w:p>
        </w:tc>
        <w:tc>
          <w:tcPr>
            <w:tcW w:type="dxa" w:w="3230"/>
          </w:tcPr>
          <w:p>
            <w:r>
              <w:rPr/>
              <w:t>2a Asamblea</w:t>
            </w:r>
          </w:p>
        </w:tc>
      </w:tr>
      <w:tr>
        <w:tc>
          <w:tcPr>
            <w:tcW w:type="dxa" w:w="3230"/>
          </w:tcPr>
          <w:p>
            <w:r>
              <w:rPr/>
            </w:r>
            <w:r>
              <w:rPr>
                <w:b/>
              </w:rPr>
              <w:t>4</w:t>
            </w:r>
            <w:r>
              <w:rPr/>
            </w:r>
          </w:p>
        </w:tc>
        <w:tc>
          <w:tcPr>
            <w:tcW w:type="dxa" w:w="3230"/>
          </w:tcPr>
          <w:p>
            <w:r>
              <w:rPr/>
              <w:t>Período de amnistía: quien tenga obras sin autorización puede regularizarlas con 50% de descuento</w:t>
            </w:r>
          </w:p>
        </w:tc>
        <w:tc>
          <w:tcPr>
            <w:tcW w:type="dxa" w:w="3230"/>
          </w:tcPr>
          <w:p>
            <w:r>
              <w:rPr/>
              <w:t>90 días</w:t>
            </w:r>
          </w:p>
        </w:tc>
      </w:tr>
      <w:tr>
        <w:tc>
          <w:tcPr>
            <w:tcW w:type="dxa" w:w="3230"/>
          </w:tcPr>
          <w:p>
            <w:r>
              <w:rPr/>
            </w:r>
            <w:r>
              <w:rPr>
                <w:b/>
              </w:rPr>
              <w:t>5</w:t>
            </w:r>
            <w:r>
              <w:rPr/>
            </w:r>
          </w:p>
        </w:tc>
        <w:tc>
          <w:tcPr>
            <w:tcW w:type="dxa" w:w="3230"/>
          </w:tcPr>
          <w:p>
            <w:r>
              <w:rPr/>
              <w:t>La Constancia de Estado de Modificaciones entra en vigor para compraventas</w:t>
            </w:r>
          </w:p>
        </w:tc>
        <w:tc>
          <w:tcPr>
            <w:tcW w:type="dxa" w:w="3230"/>
          </w:tcPr>
          <w:p>
            <w:r>
              <w:rPr/>
              <w:t>Día 91 post-amnistía</w:t>
            </w:r>
          </w:p>
        </w:tc>
      </w:tr>
    </w:tbl>
    <w:p>
      <w:pPr>
        <w:spacing w:after="160"/>
      </w:pPr>
      <w:r>
        <w:rPr/>
        <w:t>Todos los formatos para operar cada etapa están incluidos en la Sección 3.</w:t>
      </w:r>
    </w:p>
    <w:p>
      <w:pPr>
        <w:pBdr>
          <w:bottom w:val="single" w:sz="6" w:space="1" w:color="E2E8F0"/>
        </w:pBdr>
      </w:pPr>
    </w:p>
    <w:p>
      <w:pPr>
        <w:pStyle w:val="Heading1"/>
        <w:pageBreakBefore/>
        <w:spacing w:before="480" w:after="240"/>
        <w:jc w:val="center"/>
      </w:pPr>
      <w:r>
        <w:rPr>
          <w:b/>
          <w:color w:val="1B2C3E"/>
          <w:sz w:val="48"/>
        </w:rPr>
        <w:t>La Propuesta: Sistema de Gobernanza Arquitectónica para el Fraccionamiento Solé</w:t>
      </w:r>
    </w:p>
    <w:p>
      <w:pPr>
        <w:spacing w:after="160"/>
      </w:pPr>
      <w:r>
        <w:rPr/>
        <w:t>El Reglamento vigente ya contiene las bases: define límites de construcción, prohíbe modificar fachadas sin autorización y establece un Consejo de Diseño. Lo que aún falta es precisar cómo opera ese Consejo, qué criterios aplica y cómo se clasifican las obras según su impacto real.</w:t>
      </w:r>
    </w:p>
    <w:p>
      <w:pPr>
        <w:spacing w:after="160"/>
      </w:pPr>
      <w:r>
        <w:rPr/>
        <w:t xml:space="preserve">Esta propuesta no parte de cero. Parte de completar y hacer aplicable lo que el Reglamento ya prevé, mediante tres componentes que se sostienen entre sí: un </w:t>
      </w:r>
      <w:r>
        <w:rPr>
          <w:b/>
        </w:rPr>
        <w:t>Consejo de Diseño</w:t>
      </w:r>
      <w:r>
        <w:rPr/>
        <w:t xml:space="preserve"> formalmente constituido con perfil técnico definido, un </w:t>
      </w:r>
      <w:r>
        <w:rPr>
          <w:b/>
        </w:rPr>
        <w:t>Manual de Imagen Urbana</w:t>
      </w:r>
      <w:r>
        <w:rPr/>
        <w:t xml:space="preserve"> que convierte conceptos subjetivos en criterios escritos y verificables, y una </w:t>
      </w:r>
      <w:r>
        <w:rPr>
          <w:b/>
        </w:rPr>
        <w:t>clasificación proporcional de obras</w:t>
      </w:r>
      <w:r>
        <w:rPr/>
        <w:t xml:space="preserve"> que ajusta los requisitos al impacto de cada intervención.</w:t>
      </w:r>
    </w:p>
    <w:p>
      <w:pPr>
        <w:spacing w:after="160"/>
      </w:pPr>
      <w:r>
        <w:rPr/>
        <w:t>El capítulo desarrolla cada componente en detalle: la base legal que respalda el sistema, las reglas del Consejo, el proceso de revisión y apelación, el contenido técnico del Manual, los mecanismos para situaciones preexistentes, el plan de implementación y la evidencia de por qué este tipo de gobernanza protege la plusvalía del conjunto. Al final, se aborda la situación particular del desarrollador HABI (PROMOCIONES HABI, S.A. de C.V.) y se incluye una nota sobre el propósito de la propuesta y los canales de participación.</w:t>
      </w:r>
    </w:p>
    <w:p>
      <w:pPr>
        <w:pBdr>
          <w:left w:val="single" w:sz="20" w:space="8" w:color="D69E2E"/>
        </w:pBdr>
        <w:shd w:val="clear" w:color="auto" w:fill="FFFBEB"/>
      </w:pPr>
      <w:r>
        <w:rPr>
          <w:b/>
        </w:rPr>
        <w:t xml:space="preserve">  ADVERTENCIA</w:t>
      </w:r>
    </w:p>
    <w:p>
      <w:pPr>
        <w:pBdr>
          <w:left w:val="single" w:sz="20" w:space="8" w:color="D69E2E"/>
        </w:pBdr>
        <w:shd w:val="clear" w:color="auto" w:fill="FFFBEB"/>
      </w:pPr>
      <w:r>
        <w:rPr/>
      </w:r>
      <w:r>
        <w:rPr>
          <w:b/>
        </w:rPr>
        <w:t>Versión del Reglamento utilizada en este documento</w:t>
      </w:r>
      <w:r>
        <w:rPr/>
      </w:r>
    </w:p>
    <w:p>
      <w:pPr>
        <w:pBdr>
          <w:left w:val="single" w:sz="20" w:space="8" w:color="D69E2E"/>
        </w:pBdr>
        <w:shd w:val="clear" w:color="auto" w:fill="FFFBEB"/>
      </w:pPr>
      <w:r>
        <w:rPr/>
        <w:t xml:space="preserve">Esta propuesta se elaboró con base en el Reglamento Interno publicado en la aplicación </w:t>
      </w:r>
      <w:r>
        <w:rPr>
          <w:b/>
        </w:rPr>
        <w:t>Residensia</w:t>
      </w:r>
      <w:r>
        <w:rPr/>
        <w:t>, en la sección de avisos de la privada, que es el único texto disponible de manera oficial para todos los condóminos al momento de redactarla.</w:t>
      </w:r>
    </w:p>
    <w:p>
      <w:pPr>
        <w:pBdr>
          <w:left w:val="single" w:sz="20" w:space="8" w:color="D69E2E"/>
        </w:pBdr>
        <w:shd w:val="clear" w:color="auto" w:fill="FFFBEB"/>
      </w:pPr>
      <w:r>
        <w:rPr/>
        <w:t>Se tiene conocimiento de que con posterioridad se celebró una asamblea en la que se adoptaron acuerdos, algunos de ellos relacionados con el Consejo de Diseño. Sin embargo, la minuta de dicha asamblea no ha sido publicada conforme lo exige el propio Reglamento — el Art. 83, frac. IV de la Ley de Condominio SLP obliga al Administrador a recabar y conservar la documentación del condominio, la cual en todo tiempo podrá ser consultada por los condóminos, y el acceso a esa documentación es un derecho de cada propietario.</w:t>
      </w:r>
    </w:p>
    <w:p>
      <w:pPr>
        <w:pBdr>
          <w:left w:val="single" w:sz="20" w:space="8" w:color="D69E2E"/>
        </w:pBdr>
        <w:shd w:val="clear" w:color="auto" w:fill="FFFBEB"/>
      </w:pPr>
      <w:r>
        <w:rPr/>
        <w:t>Cuando la minuta sea publicada conforme a lo establecido, se revisará su contenido y se realizarán los ajustes que correspondan a esta propuesta.</w:t>
      </w:r>
    </w:p>
    <w:p>
      <w:pPr>
        <w:pBdr>
          <w:bottom w:val="single" w:sz="6" w:space="1" w:color="E2E8F0"/>
        </w:pBdr>
      </w:pPr>
    </w:p>
    <w:p>
      <w:pPr>
        <w:pStyle w:val="Heading2"/>
        <w:spacing w:before="360" w:after="180"/>
      </w:pPr>
      <w:r>
        <w:rPr>
          <w:b/>
          <w:color w:val="1B2C3E"/>
          <w:sz w:val="36"/>
        </w:rPr>
        <w:t>1. El punto de partida: completar lo que el Reglamento dejó pendiente</w:t>
      </w:r>
    </w:p>
    <w:p>
      <w:pPr>
        <w:spacing w:after="160"/>
      </w:pPr>
      <w:r>
        <w:rPr/>
        <w:t>El Reglamento vigente tiene bases sólidas:</w:t>
      </w:r>
    </w:p>
    <w:p>
      <w:pPr>
        <w:pStyle w:val="ListBullet"/>
      </w:pPr>
      <w:r>
        <w:rPr/>
        <w:t xml:space="preserve">COS (Coeficiente de Ocupación del Suelo) máximo: </w:t>
      </w:r>
      <w:r>
        <w:rPr>
          <w:b/>
        </w:rPr>
        <w:t>70%</w:t>
      </w:r>
      <w:r>
        <w:rPr/>
        <w:t xml:space="preserve"> del terreno</w:t>
      </w:r>
    </w:p>
    <w:p>
      <w:pPr>
        <w:pStyle w:val="ListBullet"/>
      </w:pPr>
      <w:r>
        <w:rPr/>
        <w:t xml:space="preserve">CUS (Coeficiente de Utilización del Suelo) máximo: </w:t>
      </w:r>
      <w:r>
        <w:rPr>
          <w:b/>
        </w:rPr>
        <w:t>2.5 veces</w:t>
      </w:r>
      <w:r>
        <w:rPr/>
        <w:t xml:space="preserve"> la superficie del lote</w:t>
      </w:r>
    </w:p>
    <w:p>
      <w:pPr>
        <w:pStyle w:val="ListBullet"/>
      </w:pPr>
      <w:r>
        <w:rPr/>
        <w:t xml:space="preserve">Altura máxima: </w:t>
      </w:r>
      <w:r>
        <w:rPr>
          <w:b/>
        </w:rPr>
        <w:t>12 m</w:t>
      </w:r>
      <w:r>
        <w:rPr/>
      </w:r>
    </w:p>
    <w:p>
      <w:pPr>
        <w:pStyle w:val="ListBullet"/>
      </w:pPr>
      <w:r>
        <w:rPr/>
        <w:t>Prohibición de modificar fachadas sin autorización</w:t>
      </w:r>
    </w:p>
    <w:p>
      <w:pPr>
        <w:pStyle w:val="ListBullet"/>
      </w:pPr>
      <w:r>
        <w:rPr/>
        <w:t>Proceso de revisión por el Consejo de Diseño (Art. 122)</w:t>
      </w:r>
    </w:p>
    <w:p>
      <w:pPr>
        <w:spacing w:after="160"/>
      </w:pPr>
      <w:r>
        <w:rPr/>
        <w:t>La propuesta no parte de cero. Parte de completar y precisar lo que el Reglamento ya prevé pero aún no define con suficiente detalle para ser aplicable en la práctica.</w:t>
      </w:r>
    </w:p>
    <w:p>
      <w:pPr>
        <w:pStyle w:val="Heading3"/>
        <w:spacing w:before="300" w:after="120"/>
      </w:pPr>
      <w:r>
        <w:rPr>
          <w:b/>
          <w:color w:val="3D5168"/>
          <w:sz w:val="28"/>
        </w:rPr>
        <w:t>1.1 Lo que el Reglamento aún no define</w:t>
      </w:r>
    </w:p>
    <w:tbl>
      <w:tblPr>
        <w:tblStyle w:val="TableGrid"/>
        <w:tblW w:type="auto" w:w="0"/>
        <w:tblLook w:firstColumn="1" w:firstRow="1" w:lastColumn="0" w:lastRow="0" w:noHBand="0" w:noVBand="1" w:val="04A0"/>
      </w:tblPr>
      <w:tblGrid>
        <w:gridCol w:w="4844"/>
        <w:gridCol w:w="4844"/>
      </w:tblGrid>
      <w:tr>
        <w:tc>
          <w:tcPr>
            <w:tcW w:type="dxa" w:w="4844"/>
          </w:tcPr>
          <w:p>
            <w:r>
              <w:rPr>
                <w:b/>
              </w:rPr>
              <w:t>Aspecto pendiente</w:t>
            </w:r>
          </w:p>
        </w:tc>
        <w:tc>
          <w:tcPr>
            <w:tcW w:type="dxa" w:w="4844"/>
          </w:tcPr>
          <w:p>
            <w:r>
              <w:rPr>
                <w:b/>
              </w:rPr>
              <w:t>Efecto práctico</w:t>
            </w:r>
          </w:p>
        </w:tc>
      </w:tr>
      <w:tr>
        <w:tc>
          <w:tcPr>
            <w:tcW w:type="dxa" w:w="4844"/>
          </w:tcPr>
          <w:p>
            <w:r>
              <w:rPr/>
              <w:t>El Consejo de Diseño no tiene composición, proceso electoral ni quórum definidos</w:t>
            </w:r>
          </w:p>
        </w:tc>
        <w:tc>
          <w:tcPr>
            <w:tcW w:type="dxa" w:w="4844"/>
          </w:tcPr>
          <w:p>
            <w:r>
              <w:rPr/>
              <w:t>Sus resoluciones carecen del respaldo legal pleno que tendría un órgano formalmente constituido</w:t>
            </w:r>
          </w:p>
        </w:tc>
      </w:tr>
      <w:tr>
        <w:tc>
          <w:tcPr>
            <w:tcW w:type="dxa" w:w="4844"/>
          </w:tcPr>
          <w:p>
            <w:r>
              <w:rPr/>
              <w:t>El Art. 121 pide «vitropiso del proyecto original» y «dos tonos de color» sin especificar cuáles</w:t>
            </w:r>
          </w:p>
        </w:tc>
        <w:tc>
          <w:tcPr>
            <w:tcW w:type="dxa" w:w="4844"/>
          </w:tcPr>
          <w:p>
            <w:r>
              <w:rPr/>
              <w:t>Sin referencia escrita, el Consejo no puede fundamentar sus resoluciones en criterios objetivos y verificables</w:t>
            </w:r>
          </w:p>
        </w:tc>
      </w:tr>
      <w:tr>
        <w:tc>
          <w:tcPr>
            <w:tcW w:type="dxa" w:w="4844"/>
          </w:tcPr>
          <w:p>
            <w:r>
              <w:rPr/>
              <w:t>No hay distinción entre tipos de obra</w:t>
            </w:r>
          </w:p>
        </w:tc>
        <w:tc>
          <w:tcPr>
            <w:tcW w:type="dxa" w:w="4844"/>
          </w:tcPr>
          <w:p>
            <w:r>
              <w:rPr/>
              <w:t>El sistema es difícil de usar en la práctica; obras de mayor impacto pueden no recibir la atención técnica que requieren</w:t>
            </w:r>
          </w:p>
        </w:tc>
      </w:tr>
      <w:tr>
        <w:tc>
          <w:tcPr>
            <w:tcW w:type="dxa" w:w="4844"/>
          </w:tcPr>
          <w:p>
            <w:r>
              <w:rPr/>
              <w:t>El Art. 128 permite suspender obras en curso pero no obliga a restaurar lo ya construido</w:t>
            </w:r>
          </w:p>
        </w:tc>
        <w:tc>
          <w:tcPr>
            <w:tcW w:type="dxa" w:w="4844"/>
          </w:tcPr>
          <w:p>
            <w:r>
              <w:rPr/>
              <w:t>Las obras realizadas sin proceso quedan sin respaldo documental</w:t>
            </w:r>
          </w:p>
        </w:tc>
      </w:tr>
      <w:tr>
        <w:tc>
          <w:tcPr>
            <w:tcW w:type="dxa" w:w="4844"/>
          </w:tcPr>
          <w:p>
            <w:r>
              <w:rPr/>
              <w:t>No existe registro histórico por lote</w:t>
            </w:r>
          </w:p>
        </w:tc>
        <w:tc>
          <w:tcPr>
            <w:tcW w:type="dxa" w:w="4844"/>
          </w:tcPr>
          <w:p>
            <w:r>
              <w:rPr/>
              <w:t>Al comprar, el nuevo dueño no sabe qué obras cuentan con autorización</w:t>
            </w:r>
          </w:p>
        </w:tc>
      </w:tr>
      <w:tr>
        <w:tc>
          <w:tcPr>
            <w:tcW w:type="dxa" w:w="4844"/>
          </w:tcPr>
          <w:p>
            <w:r>
              <w:rPr/>
              <w:t>No se exige DRO (Director Responsable de Obra) para ampliaciones</w:t>
            </w:r>
          </w:p>
        </w:tc>
        <w:tc>
          <w:tcPr>
            <w:tcW w:type="dxa" w:w="4844"/>
          </w:tcPr>
          <w:p>
            <w:r>
              <w:rPr/>
              <w:t>Obras estructurales sin cálculo técnico ni responsable legal</w:t>
            </w:r>
          </w:p>
        </w:tc>
      </w:tr>
      <w:tr>
        <w:tc>
          <w:tcPr>
            <w:tcW w:type="dxa" w:w="4844"/>
          </w:tcPr>
          <w:p>
            <w:r>
              <w:rPr/>
              <w:t>No hay plazo para que el Consejo fundamente un rechazo</w:t>
            </w:r>
          </w:p>
        </w:tc>
        <w:tc>
          <w:tcPr>
            <w:tcW w:type="dxa" w:w="4844"/>
          </w:tcPr>
          <w:p>
            <w:r>
              <w:rPr/>
              <w:t>El solicitante no tiene certeza de cuándo ni por qué recibirá una resolución desfavorable</w:t>
            </w:r>
          </w:p>
        </w:tc>
      </w:tr>
      <w:tr>
        <w:tc>
          <w:tcPr>
            <w:tcW w:type="dxa" w:w="4844"/>
          </w:tcPr>
          <w:p>
            <w:r>
              <w:rPr/>
              <w:t>No existe proceso formal de revisión interna</w:t>
            </w:r>
          </w:p>
        </w:tc>
        <w:tc>
          <w:tcPr>
            <w:tcW w:type="dxa" w:w="4844"/>
          </w:tcPr>
          <w:p>
            <w:r>
              <w:rPr/>
              <w:t>El condómino con una resolución desfavorable no tiene camino establecido para solicitar su revisión</w:t>
            </w:r>
          </w:p>
        </w:tc>
      </w:tr>
    </w:tbl>
    <w:p>
      <w:pPr>
        <w:ind w:left="720"/>
        <w:pBdr>
          <w:left w:val="single" w:sz="12" w:space="8" w:color="E2E8F0"/>
        </w:pBdr>
      </w:pPr>
      <w:r>
        <w:rPr>
          <w:i/>
        </w:rPr>
        <w:t>Sobre los artículos citados:</w:t>
      </w:r>
      <w:r>
        <w:rPr/>
        <w:t xml:space="preserve"> el Art. 121 exige usar «el vitropiso utilizado en el proyecto original» y «dos tonos, uno claro y otro de contraste», pero sin especificar cuáles. El Art. 128 permite suspender obras en progreso, pero no incluye obligación de restitución — vacío que el Artículo E propuesto busca corregir.</w:t>
      </w:r>
    </w:p>
    <w:p>
      <w:pPr>
        <w:spacing w:after="160"/>
      </w:pPr>
      <w:r>
        <w:rPr/>
        <w:t>Llenar estas áreas requiere el respaldo de la Asamblea y la referencia técnica del proyecto original. Un documento elaborado sin ese proceso puede ser un aporte valioso para la discusión, pero no tiene fuerza normativa.</w:t>
      </w:r>
    </w:p>
    <w:p>
      <w:pPr>
        <w:spacing w:after="160"/>
      </w:pPr>
      <w:r>
        <w:rPr/>
      </w:r>
      <w:r>
        <w:rPr>
          <w:b/>
        </w:rPr>
        <w:t>Caso:</w:t>
      </w:r>
      <w:r>
        <w:rPr/>
        <w:t xml:space="preserve"> Un propietario quiere instalar un aljibe en el frente de su casa</w:t>
      </w:r>
    </w:p>
    <w:p>
      <w:pPr>
        <w:spacing w:after="160"/>
      </w:pPr>
      <w:r>
        <w:rPr/>
      </w:r>
      <w:r>
        <w:rPr>
          <w:b/>
        </w:rPr>
        <w:t>Situación →</w:t>
      </w:r>
      <w:r>
        <w:rPr/>
        <w:t xml:space="preserve"> Un propietario planea instalar un aljibe en la parte frontal de su lote para resolver el abasto de agua. No sabe si necesita permiso, si afecta la imagen del fraccionamiento, a quién consultarlo ni en qué plazo recibirá una respuesta.</w:t>
      </w:r>
    </w:p>
    <w:p>
      <w:pPr>
        <w:spacing w:after="160"/>
      </w:pPr>
      <w:r>
        <w:rPr/>
      </w:r>
      <w:r>
        <w:rPr>
          <w:b/>
        </w:rPr>
        <w:t>Acción →</w:t>
      </w:r>
      <w:r>
        <w:rPr/>
        <w:t xml:space="preserve"> Pregunta al Administrador. No hay un proceso escrito definido ni criterios claros sobre qué elementos pueden instalarse en el frente del lote. Le dicen que "habría que verlo" pero sin que nadie tenga autoridad formal para resolverlo.</w:t>
      </w:r>
    </w:p>
    <w:p>
      <w:pPr>
        <w:spacing w:after="160"/>
      </w:pPr>
      <w:r>
        <w:rPr/>
      </w:r>
      <w:r>
        <w:rPr>
          <w:b/>
        </w:rPr>
        <w:t>Resultado →</w:t>
      </w:r>
      <w:r>
        <w:rPr/>
        <w:t xml:space="preserve"> El propietario queda en una zona gris: si instala el aljibe sin autorización asume el riesgo de que más adelante alguien objete. Si espera, no sabe cuánto ni ante quién. El Reglamento vigente no le da una respuesta clara porque el proceso no está definido. Este es exactamente el vacío que la propuesta busca cerrar.</w:t>
      </w:r>
    </w:p>
    <w:p>
      <w:pPr>
        <w:pBdr>
          <w:bottom w:val="single" w:sz="6" w:space="1" w:color="E2E8F0"/>
        </w:pBdr>
      </w:pPr>
    </w:p>
    <w:p>
      <w:pPr>
        <w:pBdr>
          <w:bottom w:val="single" w:sz="6" w:space="1" w:color="E2E8F0"/>
        </w:pBdr>
      </w:pPr>
    </w:p>
    <w:p>
      <w:pPr>
        <w:pStyle w:val="Heading2"/>
        <w:spacing w:before="360" w:after="180"/>
      </w:pPr>
      <w:r>
        <w:rPr>
          <w:b/>
          <w:color w:val="1B2C3E"/>
          <w:sz w:val="36"/>
        </w:rPr>
        <w:t>2. Base legal</w:t>
      </w:r>
    </w:p>
    <w:p>
      <w:pPr>
        <w:spacing w:after="160"/>
      </w:pPr>
      <w:r>
        <w:rPr/>
        <w:t>La facultad del condominio para establecer lineamientos arquitectónicos de observancia obligatoria descansa en disposiciones legales precisas. Es un derecho colectivo que la ley reconoce expresamente.</w:t>
      </w:r>
    </w:p>
    <w:p>
      <w:pPr>
        <w:pStyle w:val="Heading3"/>
        <w:spacing w:before="300" w:after="120"/>
      </w:pPr>
      <w:r>
        <w:rPr>
          <w:b/>
          <w:color w:val="3D5168"/>
          <w:sz w:val="28"/>
        </w:rPr>
        <w:t>2.1 Legislación federal</w:t>
      </w:r>
    </w:p>
    <w:p>
      <w:pPr>
        <w:pStyle w:val="ListBullet"/>
      </w:pPr>
      <w:r>
        <w:rPr/>
      </w:r>
      <w:r>
        <w:rPr>
          <w:b/>
        </w:rPr>
        <w:t>CCF (Código Civil Federal), Art. 830</w:t>
      </w:r>
      <w:r>
        <w:rPr/>
        <w:t xml:space="preserve"> — el propietario puede gozar y disponer de su propiedad «con las limitaciones y modalidades que fijen las leyes».</w:t>
      </w:r>
    </w:p>
    <w:p>
      <w:pPr>
        <w:pStyle w:val="ListBullet"/>
      </w:pPr>
      <w:r>
        <w:rPr/>
      </w:r>
      <w:r>
        <w:rPr>
          <w:b/>
        </w:rPr>
        <w:t>CCF, Art. 840</w:t>
      </w:r>
      <w:r>
        <w:rPr/>
        <w:t xml:space="preserve"> — no es lícito ejercitar el derecho de propiedad únicamente para causar perjuicios a un tercero sin utilidad para el propietario.</w:t>
      </w:r>
    </w:p>
    <w:p>
      <w:pPr>
        <w:pStyle w:val="ListBullet"/>
      </w:pPr>
      <w:r>
        <w:rPr/>
      </w:r>
      <w:r>
        <w:rPr>
          <w:b/>
        </w:rPr>
        <w:t>CPEUM (Constitución Política de los Estados Unidos Mexicanos), Art. 14</w:t>
      </w:r>
      <w:r>
        <w:rPr/>
        <w:t xml:space="preserve"> — nadie podrá ser privado de sus propiedades sino mediante juicio con formalidades esenciales de procedimiento.</w:t>
      </w:r>
    </w:p>
    <w:p>
      <w:pPr>
        <w:pStyle w:val="ListBullet"/>
      </w:pPr>
      <w:r>
        <w:rPr/>
      </w:r>
      <w:r>
        <w:rPr>
          <w:b/>
        </w:rPr>
        <w:t>CPEUM, Art. 16</w:t>
      </w:r>
      <w:r>
        <w:rPr/>
        <w:t xml:space="preserve"> — todo acto de autoridad debe constar por escrito, estar fundado y motivado.</w:t>
      </w:r>
    </w:p>
    <w:p>
      <w:pPr>
        <w:spacing w:after="160"/>
      </w:pPr>
      <w:r>
        <w:rPr>
          <w:i/>
        </w:rPr>
        <w:t>(Los Arts. 831–839 CCF regulan expropiación y bienes culturales; no son relevantes al argumento.)</w:t>
      </w:r>
    </w:p>
    <w:p>
      <w:pPr>
        <w:pStyle w:val="Heading3"/>
        <w:spacing w:before="300" w:after="120"/>
      </w:pPr>
      <w:r>
        <w:rPr>
          <w:b/>
          <w:color w:val="3D5168"/>
          <w:sz w:val="28"/>
        </w:rPr>
        <w:t>2.2 Ley sobre el Régimen de Propiedad en Condominio del Estado de San Luis Potosí</w:t>
      </w:r>
    </w:p>
    <w:p>
      <w:pPr>
        <w:pStyle w:val="ListBullet"/>
      </w:pPr>
      <w:r>
        <w:rPr/>
      </w:r>
      <w:r>
        <w:rPr>
          <w:b/>
        </w:rPr>
        <w:t>Art. 29, frac. I</w:t>
      </w:r>
      <w:r>
        <w:rPr/>
        <w:t xml:space="preserve"> — los condóminos no podrán realizar actos que </w:t>
      </w:r>
      <w:r>
        <w:rPr>
          <w:i/>
        </w:rPr>
        <w:t>«comprometan la estabilidad, seguridad o salubridad del inmueble»</w:t>
      </w:r>
      <w:r>
        <w:rPr/>
        <w:t>.</w:t>
      </w:r>
    </w:p>
    <w:p>
      <w:pPr>
        <w:pStyle w:val="ListBullet"/>
      </w:pPr>
      <w:r>
        <w:rPr/>
      </w:r>
      <w:r>
        <w:rPr>
          <w:b/>
        </w:rPr>
        <w:t>Art. 29, frac. IV</w:t>
      </w:r>
      <w:r>
        <w:rPr/>
        <w:t xml:space="preserve"> — los condóminos no podrán «decorar, pintar o realizar obras que </w:t>
      </w:r>
      <w:r>
        <w:rPr>
          <w:i/>
        </w:rPr>
        <w:t>modifiquen la fachada o las paredes exteriores desentonando con el conjunto</w:t>
      </w:r>
      <w:r>
        <w:rPr/>
        <w:t>».</w:t>
      </w:r>
    </w:p>
    <w:p>
      <w:pPr>
        <w:pStyle w:val="ListBullet"/>
      </w:pPr>
      <w:r>
        <w:rPr/>
      </w:r>
      <w:r>
        <w:rPr>
          <w:b/>
        </w:rPr>
        <w:t>Art. 42</w:t>
      </w:r>
      <w:r>
        <w:rPr/>
        <w:t xml:space="preserve"> — el uso de bienes comunes es conforme a su naturaleza y destino originales, sin restringir el derecho de los demás.</w:t>
      </w:r>
    </w:p>
    <w:p>
      <w:pPr>
        <w:pStyle w:val="ListBullet"/>
      </w:pPr>
      <w:r>
        <w:rPr/>
      </w:r>
      <w:r>
        <w:rPr>
          <w:b/>
        </w:rPr>
        <w:t>Art. 16</w:t>
      </w:r>
      <w:r>
        <w:rPr/>
        <w:t xml:space="preserve"> — cualquier modificación al reglamento interno debe acordarse por la asamblea general.</w:t>
      </w:r>
    </w:p>
    <w:p>
      <w:pPr>
        <w:pStyle w:val="ListBullet"/>
      </w:pPr>
      <w:r>
        <w:rPr/>
      </w:r>
      <w:r>
        <w:rPr>
          <w:b/>
        </w:rPr>
        <w:t>Art. 61, frac. XI</w:t>
      </w:r>
      <w:r>
        <w:rPr/>
        <w:t xml:space="preserve"> — la Asamblea puede «adoptar las medidas conducentes sobre los asuntos de interés común» no asignadas expresamente al Administrador.</w:t>
      </w:r>
    </w:p>
    <w:p>
      <w:pPr>
        <w:pStyle w:val="ListBullet"/>
      </w:pPr>
      <w:r>
        <w:rPr/>
      </w:r>
      <w:r>
        <w:rPr>
          <w:b/>
        </w:rPr>
        <w:t>Art. 33</w:t>
      </w:r>
      <w:r>
        <w:rPr/>
        <w:t xml:space="preserve"> — los condóminos pueden hacer obras en su propiedad exclusiva, </w:t>
      </w:r>
      <w:r>
        <w:rPr>
          <w:i/>
        </w:rPr>
        <w:t>«previa licencia de la autoridad municipal, en su caso, y con las restricciones previstas en esta Ley»</w:t>
      </w:r>
      <w:r>
        <w:rPr/>
        <w:t xml:space="preserve"> — fundamento de la clasificación por tipo de obra del Artículo C.</w:t>
      </w:r>
    </w:p>
    <w:p>
      <w:pPr>
        <w:pStyle w:val="Heading3"/>
        <w:spacing w:before="300" w:after="120"/>
      </w:pPr>
      <w:r>
        <w:rPr>
          <w:b/>
          <w:color w:val="3D5168"/>
          <w:sz w:val="28"/>
        </w:rPr>
        <w:t>2.3 El propio Reglamento Solé</w:t>
      </w:r>
    </w:p>
    <w:p>
      <w:pPr>
        <w:pStyle w:val="ListBullet"/>
      </w:pPr>
      <w:r>
        <w:rPr/>
      </w:r>
      <w:r>
        <w:rPr>
          <w:b/>
        </w:rPr>
        <w:t>Art. 2o.</w:t>
      </w:r>
      <w:r>
        <w:rPr/>
        <w:t xml:space="preserve"> — los derechos de cada condómino son los determinados en la escritura constitutiva, </w:t>
      </w:r>
      <w:r>
        <w:rPr>
          <w:i/>
        </w:rPr>
        <w:t>«mismo que no podrá ser variado, sin aprobación de la Asamblea de condóminos»</w:t>
      </w:r>
      <w:r>
        <w:rPr/>
        <w:t>.</w:t>
      </w:r>
    </w:p>
    <w:p>
      <w:pPr>
        <w:pStyle w:val="ListBullet"/>
      </w:pPr>
      <w:r>
        <w:rPr/>
      </w:r>
      <w:r>
        <w:rPr>
          <w:b/>
        </w:rPr>
        <w:t>Art. 85o.</w:t>
      </w:r>
      <w:r>
        <w:rPr/>
        <w:t xml:space="preserve"> — las disposiciones del Administrador </w:t>
      </w:r>
      <w:r>
        <w:rPr>
          <w:i/>
        </w:rPr>
        <w:t>«obligarán a todos LOS CONDÓMINOS a menos que las dos terceras partes de la ASAMBLEA GENERAL DE CONDÓMINOS las modifiquen o revoquen»</w:t>
      </w:r>
      <w:r>
        <w:rPr/>
        <w:t>.</w:t>
      </w:r>
    </w:p>
    <w:p>
      <w:pPr>
        <w:pStyle w:val="ListBullet"/>
      </w:pPr>
      <w:r>
        <w:rPr/>
      </w:r>
      <w:r>
        <w:rPr>
          <w:b/>
        </w:rPr>
        <w:t>Art. 97o., frac. l</w:t>
      </w:r>
      <w:r>
        <w:rPr/>
        <w:t xml:space="preserve"> — la Asamblea tiene facultad de «modificar la escritura constitutiva del CONDOMINIO y/o este Reglamento Interno [...] dentro del marco de las disposiciones legales aplicables» — lo que incluye crear el Manual como Anexo Técnico obligatorio.</w:t>
      </w:r>
    </w:p>
    <w:p>
      <w:pPr>
        <w:pBdr>
          <w:left w:val="single" w:sz="20" w:space="8" w:color="3182CE"/>
        </w:pBdr>
        <w:shd w:val="clear" w:color="auto" w:fill="EBF4FF"/>
      </w:pPr>
      <w:r>
        <w:rPr>
          <w:b/>
        </w:rPr>
        <w:t xml:space="preserve">  NOTA</w:t>
      </w:r>
    </w:p>
    <w:p>
      <w:pPr>
        <w:pBdr>
          <w:left w:val="single" w:sz="20" w:space="8" w:color="3182CE"/>
        </w:pBdr>
        <w:shd w:val="clear" w:color="auto" w:fill="EBF4FF"/>
      </w:pPr>
      <w:r>
        <w:rPr/>
      </w:r>
      <w:r>
        <w:rPr>
          <w:b/>
        </w:rPr>
        <w:t>En síntesis:</w:t>
      </w:r>
      <w:r>
        <w:rPr/>
        <w:t xml:space="preserve"> al comprar en Solé, cada propietario adquiere una participación en la imagen y el valor del conjunto. Las decisiones individuales sobre la fachada tienen efecto directo sobre el patrimonio de todos los vecinos. El marco legal mexicano reconoce y protege este principio de forma consistente.</w:t>
      </w:r>
    </w:p>
    <w:p>
      <w:pPr>
        <w:spacing w:after="160"/>
      </w:pPr>
      <w:r>
        <w:rPr/>
      </w:r>
      <w:r>
        <w:rPr>
          <w:b/>
        </w:rPr>
        <w:t>Caso:</w:t>
      </w:r>
      <w:r>
        <w:rPr/>
        <w:t xml:space="preserve"> Un propietario cuestiona si el fraccionamiento puede decirle qué hacer con su fachada</w:t>
      </w:r>
    </w:p>
    <w:p>
      <w:pPr>
        <w:spacing w:after="160"/>
      </w:pPr>
      <w:r>
        <w:rPr/>
      </w:r>
      <w:r>
        <w:rPr>
          <w:b/>
        </w:rPr>
        <w:t>Situación →</w:t>
      </w:r>
      <w:r>
        <w:rPr/>
        <w:t xml:space="preserve"> Un propietario decide cambiar el acabado de su fachada a un material y color que le parecen modernos. Cuando se le señala que eso requiere aprobación, responde: "es mi casa y yo decido cómo se ve."</w:t>
      </w:r>
    </w:p>
    <w:p>
      <w:pPr>
        <w:spacing w:after="160"/>
      </w:pPr>
      <w:r>
        <w:rPr/>
      </w:r>
      <w:r>
        <w:rPr>
          <w:b/>
        </w:rPr>
        <w:t>Acción →</w:t>
      </w:r>
      <w:r>
        <w:rPr/>
        <w:t xml:space="preserve"> El Art. 29, frac. IV de la Ley de Condominio SLP establece expresamente que los condóminos no podrán "decorar, pintar o realizar obras que modifiquen la fachada desentonando con el conjunto." El Art. 830 del Código Civil Federal confirma que el derecho de propiedad opera "con las limitaciones que fijen las leyes."</w:t>
      </w:r>
    </w:p>
    <w:p>
      <w:pPr>
        <w:spacing w:after="160"/>
      </w:pPr>
      <w:r>
        <w:rPr/>
      </w:r>
      <w:r>
        <w:rPr>
          <w:b/>
        </w:rPr>
        <w:t>Resultado →</w:t>
      </w:r>
      <w:r>
        <w:rPr/>
        <w:t xml:space="preserve"> La fachada individual forma parte de la imagen colectiva del fraccionamiento. Al comprar en Solé, cada propietario aceptó ese marco. El sistema no restringe arbitrariamente: aplica una limitación que la ley reconoce y que protege el valor del patrimonio de todos, incluido el del propietario que objeta.</w:t>
      </w:r>
    </w:p>
    <w:p>
      <w:pPr>
        <w:pBdr>
          <w:bottom w:val="single" w:sz="6" w:space="1" w:color="E2E8F0"/>
        </w:pBdr>
      </w:pPr>
    </w:p>
    <w:p>
      <w:pPr>
        <w:pBdr>
          <w:bottom w:val="single" w:sz="6" w:space="1" w:color="E2E8F0"/>
        </w:pBdr>
      </w:pPr>
    </w:p>
    <w:p>
      <w:pPr>
        <w:pStyle w:val="Heading2"/>
        <w:spacing w:before="360" w:after="180"/>
      </w:pPr>
      <w:r>
        <w:rPr>
          <w:b/>
          <w:color w:val="1B2C3E"/>
          <w:sz w:val="36"/>
        </w:rPr>
        <w:t>3. Los tres pilares del sistema</w:t>
      </w:r>
    </w:p>
    <w:p>
      <w:pPr>
        <w:spacing w:after="160"/>
      </w:pPr>
      <w:r>
        <w:rPr/>
        <w:t>Los tres componentes se sostienen juntos. Ninguno es efectivo sin los otros dos.</w:t>
      </w:r>
    </w:p>
    <w:tbl>
      <w:tblPr>
        <w:tblStyle w:val="TableGrid"/>
        <w:tblW w:type="auto" w:w="0"/>
        <w:tblLook w:firstColumn="1" w:firstRow="1" w:lastColumn="0" w:lastRow="0" w:noHBand="0" w:noVBand="1" w:val="04A0"/>
      </w:tblPr>
      <w:tblGrid>
        <w:gridCol w:w="3230"/>
        <w:gridCol w:w="3230"/>
        <w:gridCol w:w="3230"/>
      </w:tblGrid>
      <w:tr>
        <w:tc>
          <w:tcPr>
            <w:tcW w:type="dxa" w:w="3230"/>
          </w:tcPr>
          <w:p>
            <w:r>
              <w:rPr>
                <w:b/>
              </w:rPr>
              <w:t>Pilar</w:t>
            </w:r>
          </w:p>
        </w:tc>
        <w:tc>
          <w:tcPr>
            <w:tcW w:type="dxa" w:w="3230"/>
          </w:tcPr>
          <w:p>
            <w:r>
              <w:rPr>
                <w:b/>
              </w:rPr>
              <w:t>Qué resuelve</w:t>
            </w:r>
          </w:p>
        </w:tc>
        <w:tc>
          <w:tcPr>
            <w:tcW w:type="dxa" w:w="3230"/>
          </w:tcPr>
          <w:p>
            <w:r>
              <w:rPr>
                <w:b/>
              </w:rPr>
              <w:t>Sin este pilar</w:t>
            </w:r>
          </w:p>
        </w:tc>
      </w:tr>
      <w:tr>
        <w:tc>
          <w:tcPr>
            <w:tcW w:type="dxa" w:w="3230"/>
          </w:tcPr>
          <w:p>
            <w:r>
              <w:rPr/>
            </w:r>
            <w:r>
              <w:rPr>
                <w:b/>
              </w:rPr>
              <w:t>1 — Consejo de Diseño formalmente constituido</w:t>
            </w:r>
            <w:r>
              <w:rPr/>
            </w:r>
          </w:p>
        </w:tc>
        <w:tc>
          <w:tcPr>
            <w:tcW w:type="dxa" w:w="3230"/>
          </w:tcPr>
          <w:p>
            <w:r>
              <w:rPr/>
              <w:t>Da validez legal a las resoluciones y define quién decide, cómo y con qué perfil técnico</w:t>
            </w:r>
          </w:p>
        </w:tc>
        <w:tc>
          <w:tcPr>
            <w:tcW w:type="dxa" w:w="3230"/>
          </w:tcPr>
          <w:p>
            <w:r>
              <w:rPr/>
              <w:t>Las decisiones del Consejo carecen de respaldo jurídico pleno</w:t>
            </w:r>
          </w:p>
        </w:tc>
      </w:tr>
      <w:tr>
        <w:tc>
          <w:tcPr>
            <w:tcW w:type="dxa" w:w="3230"/>
          </w:tcPr>
          <w:p>
            <w:r>
              <w:rPr/>
            </w:r>
            <w:r>
              <w:rPr>
                <w:b/>
              </w:rPr>
              <w:t>2 — Manual de Imagen Urbana como norma obligatoria</w:t>
            </w:r>
            <w:r>
              <w:rPr/>
            </w:r>
          </w:p>
        </w:tc>
        <w:tc>
          <w:tcPr>
            <w:tcW w:type="dxa" w:w="3230"/>
          </w:tcPr>
          <w:p>
            <w:r>
              <w:rPr/>
              <w:t>Convierte «armonía visual» en criterios escritos y verificables: colores con código de marca, materiales, obras pre-aprobadas</w:t>
            </w:r>
          </w:p>
        </w:tc>
        <w:tc>
          <w:tcPr>
            <w:tcW w:type="dxa" w:w="3230"/>
          </w:tcPr>
          <w:p>
            <w:r>
              <w:rPr/>
              <w:t>El Consejo, aunque bien formado, sigue resolviendo sin referencia objetiva</w:t>
            </w:r>
          </w:p>
        </w:tc>
      </w:tr>
      <w:tr>
        <w:tc>
          <w:tcPr>
            <w:tcW w:type="dxa" w:w="3230"/>
          </w:tcPr>
          <w:p>
            <w:r>
              <w:rPr/>
            </w:r>
            <w:r>
              <w:rPr>
                <w:b/>
              </w:rPr>
              <w:t>3 — Clasificación proporcional de obras</w:t>
            </w:r>
            <w:r>
              <w:rPr/>
            </w:r>
          </w:p>
        </w:tc>
        <w:tc>
          <w:tcPr>
            <w:tcW w:type="dxa" w:w="3230"/>
          </w:tcPr>
          <w:p>
            <w:r>
              <w:rPr/>
              <w:t>Ajusta los requisitos al impacto real de cada obra: aviso, aprobación en 5 días, o permiso municipal</w:t>
            </w:r>
          </w:p>
        </w:tc>
        <w:tc>
          <w:tcPr>
            <w:tcW w:type="dxa" w:w="3230"/>
          </w:tcPr>
          <w:p>
            <w:r>
              <w:rPr/>
              <w:t>El proceso cotidiano se vuelve impracticable; obras mayores quedan sin supervisión</w:t>
            </w:r>
          </w:p>
        </w:tc>
      </w:tr>
    </w:tbl>
    <w:p>
      <w:pPr>
        <w:spacing w:after="160"/>
      </w:pPr>
      <w:r>
        <w:rPr/>
      </w:r>
      <w:r>
        <w:rPr>
          <w:b/>
        </w:rPr>
        <w:t>Caso:</w:t>
      </w:r>
      <w:r>
        <w:rPr/>
        <w:t xml:space="preserve"> Un propietario quiere cambiar las ventanas de su fachada</w:t>
      </w:r>
    </w:p>
    <w:p>
      <w:pPr>
        <w:spacing w:after="160"/>
      </w:pPr>
      <w:r>
        <w:rPr/>
      </w:r>
      <w:r>
        <w:rPr>
          <w:b/>
        </w:rPr>
        <w:t>Situación →</w:t>
      </w:r>
      <w:r>
        <w:rPr/>
        <w:t xml:space="preserve"> Un propietario planea sustituir las ventanas originales por unas de aluminio negro de perfil delgado. Consulta si puede hacerlo.</w:t>
      </w:r>
    </w:p>
    <w:p>
      <w:pPr>
        <w:spacing w:after="160"/>
      </w:pPr>
      <w:r>
        <w:rPr/>
      </w:r>
      <w:r>
        <w:rPr>
          <w:b/>
        </w:rPr>
        <w:t>Acción →</w:t>
      </w:r>
      <w:r>
        <w:rPr/>
        <w:t xml:space="preserve"> Con los tres pilares en operación: (1) el </w:t>
      </w:r>
      <w:r>
        <w:rPr>
          <w:b/>
        </w:rPr>
        <w:t>Consejo</w:t>
      </w:r>
      <w:r>
        <w:rPr/>
        <w:t xml:space="preserve"> recibe la solicitud y tiene autoridad legal para resolverla; (2) el </w:t>
      </w:r>
      <w:r>
        <w:rPr>
          <w:b/>
        </w:rPr>
        <w:t>Manual</w:t>
      </w:r>
      <w:r>
        <w:rPr/>
        <w:t xml:space="preserve"> especifica los tipos de ventana permitidos, con materiales y acabados; (3) la obra se clasifica como </w:t>
      </w:r>
      <w:r>
        <w:rPr>
          <w:b/>
        </w:rPr>
        <w:t>Mediana</w:t>
      </w:r>
      <w:r>
        <w:rPr/>
        <w:t>, con respuesta garantizada en 5 días hábiles.</w:t>
      </w:r>
    </w:p>
    <w:p>
      <w:pPr>
        <w:spacing w:after="160"/>
      </w:pPr>
      <w:r>
        <w:rPr/>
      </w:r>
      <w:r>
        <w:rPr>
          <w:b/>
        </w:rPr>
        <w:t>Resultado →</w:t>
      </w:r>
      <w:r>
        <w:rPr/>
        <w:t xml:space="preserve"> El propietario recibe una respuesta escrita y fundada antes de comprar o instalar nada. Si el modelo elegido cumple el Manual, la aprobación es predecible. Si no cumple, el Manual señala exactamente qué alternativa sí aplica. Sin alguno de los tres pilares, cualquiera de estos pasos se rompe.</w:t>
      </w:r>
    </w:p>
    <w:p>
      <w:pPr>
        <w:pBdr>
          <w:bottom w:val="single" w:sz="6" w:space="1" w:color="E2E8F0"/>
        </w:pBdr>
      </w:pPr>
    </w:p>
    <w:p>
      <w:pPr>
        <w:pBdr>
          <w:bottom w:val="single" w:sz="6" w:space="1" w:color="E2E8F0"/>
        </w:pBdr>
      </w:pPr>
    </w:p>
    <w:p>
      <w:pPr>
        <w:pStyle w:val="Heading2"/>
        <w:spacing w:before="360" w:after="180"/>
      </w:pPr>
      <w:r>
        <w:rPr>
          <w:b/>
          <w:color w:val="1B2C3E"/>
          <w:sz w:val="36"/>
        </w:rPr>
        <w:t>4. El Consejo de Diseño</w:t>
      </w:r>
    </w:p>
    <w:p>
      <w:pPr>
        <w:pStyle w:val="Heading3"/>
        <w:spacing w:before="300" w:after="120"/>
      </w:pPr>
      <w:r>
        <w:rPr>
          <w:b/>
          <w:color w:val="3D5168"/>
          <w:sz w:val="28"/>
        </w:rPr>
        <w:t>4.1 Composición propuesta</w:t>
      </w:r>
    </w:p>
    <w:tbl>
      <w:tblPr>
        <w:tblStyle w:val="TableGrid"/>
        <w:tblW w:type="auto" w:w="0"/>
        <w:tblLook w:firstColumn="1" w:firstRow="1" w:lastColumn="0" w:lastRow="0" w:noHBand="0" w:noVBand="1" w:val="04A0"/>
      </w:tblPr>
      <w:tblGrid>
        <w:gridCol w:w="3230"/>
        <w:gridCol w:w="3230"/>
        <w:gridCol w:w="3230"/>
      </w:tblGrid>
      <w:tr>
        <w:tc>
          <w:tcPr>
            <w:tcW w:type="dxa" w:w="3230"/>
          </w:tcPr>
          <w:p>
            <w:r>
              <w:rPr>
                <w:b/>
              </w:rPr>
              <w:t>Integrante</w:t>
            </w:r>
          </w:p>
        </w:tc>
        <w:tc>
          <w:tcPr>
            <w:tcW w:type="dxa" w:w="3230"/>
          </w:tcPr>
          <w:p>
            <w:r>
              <w:rPr>
                <w:b/>
              </w:rPr>
              <w:t>Rol</w:t>
            </w:r>
          </w:p>
        </w:tc>
        <w:tc>
          <w:tcPr>
            <w:tcW w:type="dxa" w:w="3230"/>
          </w:tcPr>
          <w:p>
            <w:r>
              <w:rPr>
                <w:b/>
              </w:rPr>
              <w:t>Requisitos</w:t>
            </w:r>
          </w:p>
        </w:tc>
      </w:tr>
      <w:tr>
        <w:tc>
          <w:tcPr>
            <w:tcW w:type="dxa" w:w="3230"/>
          </w:tcPr>
          <w:p>
            <w:r>
              <w:rPr/>
              <w:t>3 condóminos propietarios</w:t>
            </w:r>
          </w:p>
        </w:tc>
        <w:tc>
          <w:tcPr>
            <w:tcW w:type="dxa" w:w="3230"/>
          </w:tcPr>
          <w:p>
            <w:r>
              <w:rPr/>
            </w:r>
            <w:r>
              <w:rPr>
                <w:b/>
              </w:rPr>
              <w:t>Voto</w:t>
            </w:r>
            <w:r>
              <w:rPr/>
            </w:r>
          </w:p>
        </w:tc>
        <w:tc>
          <w:tcPr>
            <w:tcW w:type="dxa" w:w="3230"/>
          </w:tcPr>
          <w:p>
            <w:r>
              <w:rPr/>
              <w:t>Al menos uno con cédula en Arquitectura, Ing. Civil, Diseño o registro como DRO. Elegidos en Asamblea por voto nominal. Mandato: 1 año, máx. 2 reelecciones consecutivas.</w:t>
            </w:r>
          </w:p>
        </w:tc>
      </w:tr>
      <w:tr>
        <w:tc>
          <w:tcPr>
            <w:tcW w:type="dxa" w:w="3230"/>
          </w:tcPr>
          <w:p>
            <w:r>
              <w:rPr/>
              <w:t>El Administrador (o representante)</w:t>
            </w:r>
          </w:p>
        </w:tc>
        <w:tc>
          <w:tcPr>
            <w:tcW w:type="dxa" w:w="3230"/>
          </w:tcPr>
          <w:p>
            <w:r>
              <w:rPr/>
              <w:t>Voz, sin voto</w:t>
            </w:r>
          </w:p>
        </w:tc>
        <w:tc>
          <w:tcPr>
            <w:tcW w:type="dxa" w:w="3230"/>
          </w:tcPr>
          <w:p>
            <w:r>
              <w:rPr/>
              <w:t>Garantiza continuidad operativa</w:t>
            </w:r>
          </w:p>
        </w:tc>
      </w:tr>
      <w:tr>
        <w:tc>
          <w:tcPr>
            <w:tcW w:type="dxa" w:w="3230"/>
          </w:tcPr>
          <w:p>
            <w:r>
              <w:rPr/>
              <w:t>Representante del Comité de Vigilancia</w:t>
            </w:r>
          </w:p>
        </w:tc>
        <w:tc>
          <w:tcPr>
            <w:tcW w:type="dxa" w:w="3230"/>
          </w:tcPr>
          <w:p>
            <w:r>
              <w:rPr/>
              <w:t>Voz, sin voto</w:t>
            </w:r>
          </w:p>
        </w:tc>
        <w:tc>
          <w:tcPr>
            <w:tcW w:type="dxa" w:w="3230"/>
          </w:tcPr>
          <w:p>
            <w:r>
              <w:rPr/>
              <w:t>Garantiza supervisión sobre el propio Consejo</w:t>
            </w:r>
          </w:p>
        </w:tc>
      </w:tr>
    </w:tbl>
    <w:p>
      <w:pPr>
        <w:spacing w:after="160"/>
      </w:pPr>
      <w:r>
        <w:rPr/>
        <w:t xml:space="preserve">Las resoluciones se adoptan por </w:t>
      </w:r>
      <w:r>
        <w:rPr>
          <w:b/>
        </w:rPr>
        <w:t>mayoría simple</w:t>
      </w:r>
      <w:r>
        <w:rPr/>
        <w:t xml:space="preserve"> de los tres miembros con voto. En caso de empate, el voto del Presidente (elegido de entre los tres) es de calidad.</w:t>
      </w:r>
    </w:p>
    <w:p>
      <w:pPr>
        <w:pStyle w:val="Heading3"/>
        <w:spacing w:before="300" w:after="120"/>
      </w:pPr>
      <w:r>
        <w:rPr>
          <w:b/>
          <w:color w:val="3D5168"/>
          <w:sz w:val="28"/>
        </w:rPr>
        <w:t>4.2 Reglas de funcionamiento</w:t>
      </w:r>
    </w:p>
    <w:p>
      <w:pPr>
        <w:pStyle w:val="ListBullet"/>
      </w:pPr>
      <w:r>
        <w:rPr/>
        <w:t xml:space="preserve">El Consejo se reúne cuando exista al menos una solicitud pendiente, y </w:t>
      </w:r>
      <w:r>
        <w:rPr>
          <w:b/>
        </w:rPr>
        <w:t>al menos una vez al mes</w:t>
      </w:r>
      <w:r>
        <w:rPr/>
        <w:t xml:space="preserve"> para revisar obras en proceso.</w:t>
      </w:r>
    </w:p>
    <w:p>
      <w:pPr>
        <w:pStyle w:val="ListBullet"/>
      </w:pPr>
      <w:r>
        <w:rPr/>
        <w:t>Toda resolución —aprobación o rechazo— debe constar por escrito con referencia expresa al Reglamento o al Manual.</w:t>
      </w:r>
    </w:p>
    <w:p>
      <w:pPr>
        <w:pStyle w:val="ListBullet"/>
      </w:pPr>
      <w:r>
        <w:rPr/>
        <w:t xml:space="preserve">Una negativa sin fundamento escrito dentro del plazo se considera </w:t>
      </w:r>
      <w:r>
        <w:rPr>
          <w:b/>
        </w:rPr>
        <w:t>aprobación tácita</w:t>
      </w:r>
      <w:r>
        <w:rPr/>
        <w:t>.</w:t>
      </w:r>
    </w:p>
    <w:p>
      <w:pPr>
        <w:pStyle w:val="Heading3"/>
        <w:spacing w:before="300" w:after="120"/>
      </w:pPr>
      <w:r>
        <w:rPr>
          <w:b/>
          <w:color w:val="3D5168"/>
          <w:sz w:val="28"/>
        </w:rPr>
        <w:t>4.3 Plazos de resolución</w:t>
      </w:r>
    </w:p>
    <w:tbl>
      <w:tblPr>
        <w:tblStyle w:val="TableGrid"/>
        <w:tblW w:type="auto" w:w="0"/>
        <w:tblLook w:firstColumn="1" w:firstRow="1" w:lastColumn="0" w:lastRow="0" w:noHBand="0" w:noVBand="1" w:val="04A0"/>
      </w:tblPr>
      <w:tblGrid>
        <w:gridCol w:w="3230"/>
        <w:gridCol w:w="3230"/>
        <w:gridCol w:w="3230"/>
      </w:tblGrid>
      <w:tr>
        <w:tc>
          <w:tcPr>
            <w:tcW w:type="dxa" w:w="3230"/>
          </w:tcPr>
          <w:p>
            <w:r>
              <w:rPr>
                <w:b/>
              </w:rPr>
              <w:t>Tipo de obra</w:t>
            </w:r>
          </w:p>
        </w:tc>
        <w:tc>
          <w:tcPr>
            <w:tcW w:type="dxa" w:w="3230"/>
          </w:tcPr>
          <w:p>
            <w:r>
              <w:rPr>
                <w:b/>
              </w:rPr>
              <w:t>Acción</w:t>
            </w:r>
          </w:p>
        </w:tc>
        <w:tc>
          <w:tcPr>
            <w:tcW w:type="dxa" w:w="3230"/>
          </w:tcPr>
          <w:p>
            <w:r>
              <w:rPr>
                <w:b/>
              </w:rPr>
              <w:t>Plazo</w:t>
            </w:r>
          </w:p>
        </w:tc>
      </w:tr>
      <w:tr>
        <w:tc>
          <w:tcPr>
            <w:tcW w:type="dxa" w:w="3230"/>
          </w:tcPr>
          <w:p>
            <w:r>
              <w:rPr/>
              <w:t>Obra Pequeña</w:t>
            </w:r>
          </w:p>
        </w:tc>
        <w:tc>
          <w:tcPr>
            <w:tcW w:type="dxa" w:w="3230"/>
          </w:tcPr>
          <w:p>
            <w:r>
              <w:rPr/>
              <w:t>Verificación del Administrador</w:t>
            </w:r>
          </w:p>
        </w:tc>
        <w:tc>
          <w:tcPr>
            <w:tcW w:type="dxa" w:w="3230"/>
          </w:tcPr>
          <w:p>
            <w:r>
              <w:rPr/>
              <w:t>24 horas desde notificación</w:t>
            </w:r>
          </w:p>
        </w:tc>
      </w:tr>
      <w:tr>
        <w:tc>
          <w:tcPr>
            <w:tcW w:type="dxa" w:w="3230"/>
          </w:tcPr>
          <w:p>
            <w:r>
              <w:rPr/>
              <w:t>Obra Mediana</w:t>
            </w:r>
          </w:p>
        </w:tc>
        <w:tc>
          <w:tcPr>
            <w:tcW w:type="dxa" w:w="3230"/>
          </w:tcPr>
          <w:p>
            <w:r>
              <w:rPr/>
              <w:t>Resolución del Consejo</w:t>
            </w:r>
          </w:p>
        </w:tc>
        <w:tc>
          <w:tcPr>
            <w:tcW w:type="dxa" w:w="3230"/>
          </w:tcPr>
          <w:p>
            <w:r>
              <w:rPr/>
              <w:t>5 días hábiles</w:t>
            </w:r>
          </w:p>
        </w:tc>
      </w:tr>
      <w:tr>
        <w:tc>
          <w:tcPr>
            <w:tcW w:type="dxa" w:w="3230"/>
          </w:tcPr>
          <w:p>
            <w:r>
              <w:rPr/>
              <w:t>Obra Grande</w:t>
            </w:r>
          </w:p>
        </w:tc>
        <w:tc>
          <w:tcPr>
            <w:tcW w:type="dxa" w:w="3230"/>
          </w:tcPr>
          <w:p>
            <w:r>
              <w:rPr/>
              <w:t>Resolución del Consejo</w:t>
            </w:r>
          </w:p>
        </w:tc>
        <w:tc>
          <w:tcPr>
            <w:tcW w:type="dxa" w:w="3230"/>
          </w:tcPr>
          <w:p>
            <w:r>
              <w:rPr/>
              <w:t>15 días hábiles — sin aprobación tácita</w:t>
            </w:r>
          </w:p>
        </w:tc>
      </w:tr>
    </w:tbl>
    <w:p>
      <w:pPr>
        <w:pBdr>
          <w:left w:val="single" w:sz="20" w:space="8" w:color="D69E2E"/>
        </w:pBdr>
        <w:shd w:val="clear" w:color="auto" w:fill="FFFBEB"/>
      </w:pPr>
      <w:r>
        <w:rPr>
          <w:b/>
        </w:rPr>
        <w:t xml:space="preserve">  ADVERTENCIA</w:t>
      </w:r>
    </w:p>
    <w:p>
      <w:pPr>
        <w:pBdr>
          <w:left w:val="single" w:sz="20" w:space="8" w:color="D69E2E"/>
        </w:pBdr>
        <w:shd w:val="clear" w:color="auto" w:fill="FFFBEB"/>
      </w:pPr>
      <w:r>
        <w:rPr/>
      </w:r>
      <w:r>
        <w:rPr>
          <w:b/>
        </w:rPr>
        <w:t>Alcance de responsabilidad:</w:t>
      </w:r>
      <w:r>
        <w:rPr/>
        <w:t xml:space="preserve"> la aprobación del Consejo es </w:t>
      </w:r>
      <w:r>
        <w:rPr>
          <w:b/>
        </w:rPr>
        <w:t>exclusivamente estética y de cumplimiento con el Manual</w:t>
      </w:r>
      <w:r>
        <w:rPr/>
        <w:t>. No sustituye la responsabilidad técnica del DRO. Una obra puede cumplir todos los lineamientos del Manual y aun así requerir supervisión estructural independiente.</w:t>
      </w:r>
    </w:p>
    <w:p>
      <w:pPr>
        <w:pStyle w:val="Heading3"/>
        <w:spacing w:before="300" w:after="120"/>
      </w:pPr>
      <w:r>
        <w:rPr>
          <w:b/>
          <w:color w:val="3D5168"/>
          <w:sz w:val="28"/>
        </w:rPr>
        <w:t>4.4 Perfil técnico mínimo requerido</w:t>
      </w:r>
    </w:p>
    <w:p>
      <w:pPr>
        <w:spacing w:after="160"/>
      </w:pPr>
      <w:r>
        <w:rPr/>
        <w:t>Al menos uno de los tres miembros votantes debe acreditar alguna de las siguientes condiciones:</w:t>
      </w:r>
    </w:p>
    <w:p>
      <w:pPr>
        <w:pStyle w:val="ListBullet"/>
      </w:pPr>
      <w:r>
        <w:rPr/>
        <w:t>Cédula profesional vigente en Arquitectura, Ingeniería Civil, Ingeniería Arquitectónica, Diseño Arquitectónico o Diseño de Interiores (DGP — Dirección General de Profesiones)</w:t>
      </w:r>
    </w:p>
    <w:p>
      <w:pPr>
        <w:pStyle w:val="ListBullet"/>
      </w:pPr>
      <w:r>
        <w:rPr/>
        <w:t>Registro vigente como DRO ante el Municipio de Soledad de Graciano Sánchez</w:t>
      </w:r>
    </w:p>
    <w:p>
      <w:pPr>
        <w:pStyle w:val="ListBullet"/>
      </w:pPr>
      <w:r>
        <w:rPr/>
        <w:t xml:space="preserve">7 años de ejercicio profesional documentado en construcción residencial con contratos, facturas y referencias verificables </w:t>
      </w:r>
      <w:r>
        <w:rPr>
          <w:i/>
        </w:rPr>
        <w:t>(requiere aprobación expresa de la Asamblea)</w:t>
      </w:r>
    </w:p>
    <w:p>
      <w:pPr>
        <w:pStyle w:val="Heading3"/>
        <w:spacing w:before="300" w:after="120"/>
      </w:pPr>
      <w:r>
        <w:rPr>
          <w:b/>
          <w:color w:val="3D5168"/>
          <w:sz w:val="28"/>
        </w:rPr>
        <w:t>4.5 Lo que el Consejo NO puede hacer</w:t>
      </w:r>
    </w:p>
    <w:p>
      <w:pPr>
        <w:spacing w:after="160"/>
      </w:pPr>
      <w:r>
        <w:rPr/>
        <w:t>Este punto responde directamente a quienes preguntan si el Consejo se convierte en un órgano con poder excesivo sobre los vecinos. La respuesta es no, y está acotado por diseño:</w:t>
      </w:r>
    </w:p>
    <w:tbl>
      <w:tblPr>
        <w:tblStyle w:val="TableGrid"/>
        <w:tblW w:type="auto" w:w="0"/>
        <w:tblLook w:firstColumn="1" w:firstRow="1" w:lastColumn="0" w:lastRow="0" w:noHBand="0" w:noVBand="1" w:val="04A0"/>
      </w:tblPr>
      <w:tblGrid>
        <w:gridCol w:w="4844"/>
        <w:gridCol w:w="4844"/>
      </w:tblGrid>
      <w:tr>
        <w:tc>
          <w:tcPr>
            <w:tcW w:type="dxa" w:w="4844"/>
          </w:tcPr>
          <w:p>
            <w:r>
              <w:rPr>
                <w:b/>
              </w:rPr>
              <w:t xml:space="preserve">El Consejo </w:t>
            </w:r>
            <w:r>
              <w:rPr>
                <w:b/>
              </w:rPr>
              <w:t>puede</w:t>
            </w:r>
            <w:r>
              <w:rPr>
                <w:b/>
              </w:rPr>
            </w:r>
          </w:p>
        </w:tc>
        <w:tc>
          <w:tcPr>
            <w:tcW w:type="dxa" w:w="4844"/>
          </w:tcPr>
          <w:p>
            <w:r>
              <w:rPr>
                <w:b/>
              </w:rPr>
              <w:t xml:space="preserve">El Consejo </w:t>
            </w:r>
            <w:r>
              <w:rPr>
                <w:b/>
              </w:rPr>
              <w:t>no puede</w:t>
            </w:r>
            <w:r>
              <w:rPr>
                <w:b/>
              </w:rPr>
            </w:r>
          </w:p>
        </w:tc>
      </w:tr>
      <w:tr>
        <w:tc>
          <w:tcPr>
            <w:tcW w:type="dxa" w:w="4844"/>
          </w:tcPr>
          <w:p>
            <w:r>
              <w:rPr/>
              <w:t>Emitir resoluciones escritas sobre solicitudes de obra</w:t>
            </w:r>
          </w:p>
        </w:tc>
        <w:tc>
          <w:tcPr>
            <w:tcW w:type="dxa" w:w="4844"/>
          </w:tcPr>
          <w:p>
            <w:r>
              <w:rPr/>
              <w:t>Aplicar multas directamente — eso corresponde al Administrador conforme al Capítulo Sexto del Reglamento</w:t>
            </w:r>
          </w:p>
        </w:tc>
      </w:tr>
      <w:tr>
        <w:tc>
          <w:tcPr>
            <w:tcW w:type="dxa" w:w="4844"/>
          </w:tcPr>
          <w:p>
            <w:r>
              <w:rPr/>
              <w:t>Ordenar la suspensión cautelar de una obra en proceso</w:t>
            </w:r>
          </w:p>
        </w:tc>
        <w:tc>
          <w:tcPr>
            <w:tcW w:type="dxa" w:w="4844"/>
          </w:tcPr>
          <w:p>
            <w:r>
              <w:rPr/>
              <w:t>Entrar a un domicilio privado sin consentimiento del propietario</w:t>
            </w:r>
          </w:p>
        </w:tc>
      </w:tr>
      <w:tr>
        <w:tc>
          <w:tcPr>
            <w:tcW w:type="dxa" w:w="4844"/>
          </w:tcPr>
          <w:p>
            <w:r>
              <w:rPr/>
              <w:t>Solicitar al Administrador que inicie un procedimiento sancionador</w:t>
            </w:r>
          </w:p>
        </w:tc>
        <w:tc>
          <w:tcPr>
            <w:tcW w:type="dxa" w:w="4844"/>
          </w:tcPr>
          <w:p>
            <w:r>
              <w:rPr/>
              <w:t>Rechazar una solicitud sin fundamento escrito en el Manual o el Reglamento</w:t>
            </w:r>
          </w:p>
        </w:tc>
      </w:tr>
      <w:tr>
        <w:tc>
          <w:tcPr>
            <w:tcW w:type="dxa" w:w="4844"/>
          </w:tcPr>
          <w:p>
            <w:r>
              <w:rPr/>
              <w:t>Supervisar obras de Categoría III en visitas acordadas con el condómino</w:t>
            </w:r>
          </w:p>
        </w:tc>
        <w:tc>
          <w:tcPr>
            <w:tcW w:type="dxa" w:w="4844"/>
          </w:tcPr>
          <w:p>
            <w:r>
              <w:rPr/>
              <w:t>Mantener una obra suspendida más de 15 días hábiles sin emitir resolución escrita</w:t>
            </w:r>
          </w:p>
        </w:tc>
      </w:tr>
      <w:tr>
        <w:tc>
          <w:tcPr>
            <w:tcW w:type="dxa" w:w="4844"/>
          </w:tcPr>
          <w:p>
            <w:r>
              <w:rPr/>
              <w:t>Aprobar materiales equivalentes cuando el especificado no está disponible</w:t>
            </w:r>
          </w:p>
        </w:tc>
        <w:tc>
          <w:tcPr>
            <w:tcW w:type="dxa" w:w="4844"/>
          </w:tcPr>
          <w:p>
            <w:r>
              <w:rPr/>
              <w:t>Modificar el Manual sin aprobación de Asamblea Extraordinaria</w:t>
            </w:r>
          </w:p>
        </w:tc>
      </w:tr>
    </w:tbl>
    <w:p>
      <w:pPr>
        <w:pBdr>
          <w:left w:val="single" w:sz="20" w:space="8" w:color="DD6B20"/>
        </w:pBdr>
        <w:shd w:val="clear" w:color="auto" w:fill="FFF3E0"/>
      </w:pPr>
      <w:r>
        <w:rPr>
          <w:b/>
        </w:rPr>
        <w:t xml:space="preserve">  IMPORTANTE</w:t>
      </w:r>
    </w:p>
    <w:p>
      <w:pPr>
        <w:pBdr>
          <w:left w:val="single" w:sz="20" w:space="8" w:color="DD6B20"/>
        </w:pBdr>
        <w:shd w:val="clear" w:color="auto" w:fill="FFF3E0"/>
      </w:pPr>
      <w:r>
        <w:rPr/>
      </w:r>
      <w:r>
        <w:rPr>
          <w:b/>
        </w:rPr>
        <w:t>Las sanciones económicas las aplica el Administrador, no el Consejo.</w:t>
      </w:r>
      <w:r>
        <w:rPr/>
        <w:t xml:space="preserve"> El Consejo detecta y notifica; el Administrador instruye y cobra, con los mecanismos de audiencia previa establecidos en el Catálogo de Multas. Esta separación es intencional: evita que el mismo órgano que resuelve también sancione.</w:t>
      </w:r>
    </w:p>
    <w:p>
      <w:pPr>
        <w:pStyle w:val="Heading3"/>
        <w:spacing w:before="300" w:after="120"/>
      </w:pPr>
      <w:r>
        <w:rPr>
          <w:b/>
          <w:color w:val="3D5168"/>
          <w:sz w:val="28"/>
        </w:rPr>
        <w:t>4.6 Inhibición por conflicto de interés</w:t>
      </w:r>
    </w:p>
    <w:p>
      <w:pPr>
        <w:spacing w:after="160"/>
      </w:pPr>
      <w:r>
        <w:rPr/>
        <w:t>La inhibición aplica únicamente a lotes con barda, muro o cerca perimetral compartida con el solicitante. El miembro inhibido participa en la deliberación pero no en la votación. Si todos los miembros quedaran inhibidos, el presidente del Comité de Representantes actúa como suplente temporal para ese caso específico.</w:t>
      </w:r>
    </w:p>
    <w:p>
      <w:pPr>
        <w:spacing w:after="160"/>
      </w:pPr>
      <w:r>
        <w:rPr/>
      </w:r>
      <w:r>
        <w:rPr>
          <w:b/>
        </w:rPr>
        <w:t>Caso A — El sistema funciona:</w:t>
      </w:r>
      <w:r>
        <w:rPr/>
        <w:t xml:space="preserve"> Un propietario recibe respuesta clara y por escrito</w:t>
      </w:r>
    </w:p>
    <w:p>
      <w:pPr>
        <w:spacing w:after="160"/>
      </w:pPr>
      <w:r>
        <w:rPr/>
      </w:r>
      <w:r>
        <w:rPr>
          <w:b/>
        </w:rPr>
        <w:t>Situación →</w:t>
      </w:r>
      <w:r>
        <w:rPr/>
        <w:t xml:space="preserve"> Un propietario solicita autorización para agregar una reja decorativa al frente de su lote. Entrega la solicitud con el formato correspondiente y una referencia al Manual.</w:t>
      </w:r>
    </w:p>
    <w:p>
      <w:pPr>
        <w:spacing w:after="160"/>
      </w:pPr>
      <w:r>
        <w:rPr/>
      </w:r>
      <w:r>
        <w:rPr>
          <w:b/>
        </w:rPr>
        <w:t>Acción →</w:t>
      </w:r>
      <w:r>
        <w:rPr/>
        <w:t xml:space="preserve"> El Consejo, formalmente constituido con miembros elegidos en Asamblea, revisa la solicitud. Al cuarto día hábil emite una resolución escrita: aprobada, con referencia al artículo del Manual que aplica.</w:t>
      </w:r>
    </w:p>
    <w:p>
      <w:pPr>
        <w:spacing w:after="160"/>
      </w:pPr>
      <w:r>
        <w:rPr/>
      </w:r>
      <w:r>
        <w:rPr>
          <w:b/>
        </w:rPr>
        <w:t>Resultado →</w:t>
      </w:r>
      <w:r>
        <w:rPr/>
        <w:t xml:space="preserve"> El propietario sabe exactamente por qué fue aprobado, puede iniciar la obra con respaldo documental, y ese respaldo queda en el Registro del lote para cuando decida vender.</w:t>
      </w:r>
    </w:p>
    <w:p>
      <w:pPr>
        <w:spacing w:after="160"/>
      </w:pPr>
      <w:r>
        <w:rPr/>
      </w:r>
      <w:r>
        <w:rPr>
          <w:b/>
        </w:rPr>
        <w:t>Caso B — Sin el sistema:</w:t>
      </w:r>
      <w:r>
        <w:rPr/>
        <w:t xml:space="preserve"> Una resolución verbal sin fundamento ni apelación</w:t>
      </w:r>
    </w:p>
    <w:p>
      <w:pPr>
        <w:spacing w:after="160"/>
      </w:pPr>
      <w:r>
        <w:rPr/>
      </w:r>
      <w:r>
        <w:rPr>
          <w:b/>
        </w:rPr>
        <w:t>Situación →</w:t>
      </w:r>
      <w:r>
        <w:rPr/>
        <w:t xml:space="preserve"> Antes de que exista el proceso formal, un propietario consulta sobre la misma reja. Le dicen verbalmente que "no se puede" pero sin explicarle por qué ni a qué criterio se refieren.</w:t>
      </w:r>
    </w:p>
    <w:p>
      <w:pPr>
        <w:spacing w:after="160"/>
      </w:pPr>
      <w:r>
        <w:rPr/>
      </w:r>
      <w:r>
        <w:rPr>
          <w:b/>
        </w:rPr>
        <w:t>Acción →</w:t>
      </w:r>
      <w:r>
        <w:rPr/>
        <w:t xml:space="preserve"> El propietario no tiene forma de saber si la negativa está fundada en el Reglamento o en una preferencia personal de quien responde. No hay proceso de apelación. No hay plazo para que alguien reconsidere.</w:t>
      </w:r>
    </w:p>
    <w:p>
      <w:pPr>
        <w:spacing w:after="160"/>
      </w:pPr>
      <w:r>
        <w:rPr/>
      </w:r>
      <w:r>
        <w:rPr>
          <w:b/>
        </w:rPr>
        <w:t>Resultado →</w:t>
      </w:r>
      <w:r>
        <w:rPr/>
        <w:t xml:space="preserve"> El propietario abandona el proyecto o lo hace de todas formas asumiendo el riesgo. En ambos casos pierde: certeza si no lo hace, respaldo si lo hace. El sistema propuesto elimina esta situación.</w:t>
      </w:r>
    </w:p>
    <w:p>
      <w:pPr>
        <w:pBdr>
          <w:bottom w:val="single" w:sz="6" w:space="1" w:color="E2E8F0"/>
        </w:pBdr>
      </w:pPr>
    </w:p>
    <w:p>
      <w:pPr>
        <w:pBdr>
          <w:bottom w:val="single" w:sz="6" w:space="1" w:color="E2E8F0"/>
        </w:pBdr>
      </w:pPr>
    </w:p>
    <w:p>
      <w:pPr>
        <w:pStyle w:val="Heading2"/>
        <w:spacing w:before="360" w:after="180"/>
      </w:pPr>
      <w:r>
        <w:rPr>
          <w:b/>
          <w:color w:val="1B2C3E"/>
          <w:sz w:val="36"/>
        </w:rPr>
        <w:t>5. Clasificación de obras y proceso de revisión</w:t>
      </w:r>
    </w:p>
    <w:p>
      <w:pPr>
        <w:pStyle w:val="Heading3"/>
        <w:spacing w:before="300" w:after="120"/>
      </w:pPr>
      <w:r>
        <w:rPr>
          <w:b/>
          <w:color w:val="3D5168"/>
          <w:sz w:val="28"/>
        </w:rPr>
        <w:t>5.1 Las tres categorías</w:t>
      </w:r>
    </w:p>
    <w:p>
      <w:pPr>
        <w:spacing w:after="160"/>
      </w:pPr>
      <w:r>
        <w:rPr/>
      </w:r>
      <w:r>
        <w:rPr>
          <w:b/>
        </w:rPr>
        <w:t>Obra Pequeña (Categoría I)</w:t>
      </w:r>
      <w:r>
        <w:rPr/>
      </w:r>
    </w:p>
    <w:p>
      <w:pPr>
        <w:spacing w:after="160"/>
      </w:pPr>
      <w:r>
        <w:rPr/>
        <w:t>Mantenimiento o cambios de acabados que no afectan estructura, distribución interna, fachada ni superficie construida. Ejemplos: repintar recámaras, cambiar azulejos en baño.</w:t>
      </w:r>
    </w:p>
    <w:p>
      <w:pPr>
        <w:spacing w:after="160"/>
      </w:pPr>
      <w:r>
        <w:rPr>
          <w:i/>
        </w:rPr>
        <w:t>Excepción:</w:t>
      </w:r>
      <w:r>
        <w:rPr/>
        <w:t xml:space="preserve"> si la obra incluye algo visible desde calle o áreas comunes, sube a Obra Mediana.</w:t>
      </w:r>
    </w:p>
    <w:p>
      <w:pPr>
        <w:pStyle w:val="ListBullet"/>
      </w:pPr>
      <w:r>
        <w:rPr/>
      </w:r>
      <w:r>
        <w:rPr>
          <w:b/>
        </w:rPr>
        <w:t>Trámite:</w:t>
      </w:r>
      <w:r>
        <w:rPr/>
        <w:t xml:space="preserve"> aviso al Administrador </w:t>
      </w:r>
      <w:r>
        <w:rPr>
          <w:b/>
        </w:rPr>
        <w:t>48 horas antes</w:t>
      </w:r>
      <w:r>
        <w:rPr/>
        <w:t xml:space="preserve"> (Formato C-1)</w:t>
      </w:r>
    </w:p>
    <w:p>
      <w:pPr>
        <w:pStyle w:val="ListBullet"/>
      </w:pPr>
      <w:r>
        <w:rPr/>
      </w:r>
      <w:r>
        <w:rPr>
          <w:b/>
        </w:rPr>
        <w:t>Costo:</w:t>
      </w:r>
      <w:r>
        <w:rPr/>
        <w:t xml:space="preserve"> sin cuota ni depósito</w:t>
      </w:r>
    </w:p>
    <w:p>
      <w:pPr>
        <w:pStyle w:val="ListBullet"/>
      </w:pPr>
      <w:r>
        <w:rPr/>
        <w:t xml:space="preserve">Si el Administrador detecta que la obra no encuadra en esta categoría, lo notifica en </w:t>
      </w:r>
      <w:r>
        <w:rPr>
          <w:b/>
        </w:rPr>
        <w:t>24 horas</w:t>
      </w:r>
      <w:r>
        <w:rPr/>
      </w:r>
    </w:p>
    <w:p>
      <w:pPr>
        <w:pBdr>
          <w:bottom w:val="single" w:sz="6" w:space="1" w:color="E2E8F0"/>
        </w:pBdr>
      </w:pPr>
    </w:p>
    <w:p>
      <w:pPr>
        <w:spacing w:after="160"/>
      </w:pPr>
      <w:r>
        <w:rPr/>
      </w:r>
      <w:r>
        <w:rPr>
          <w:b/>
        </w:rPr>
        <w:t>Obra Mediana (Categoría II)</w:t>
      </w:r>
      <w:r>
        <w:rPr/>
      </w:r>
    </w:p>
    <w:p>
      <w:pPr>
        <w:spacing w:after="160"/>
      </w:pPr>
      <w:r>
        <w:rPr/>
        <w:t>Cambios en apariencia exterior, elementos visibles desde calle o distribución interna sin tocar estructura. Ejemplos: repintar fachada, cambiar ventanas, paneles solares, toldos, jardinería frontal.</w:t>
      </w:r>
    </w:p>
    <w:p>
      <w:pPr>
        <w:pStyle w:val="ListBullet"/>
      </w:pPr>
      <w:r>
        <w:rPr/>
      </w:r>
      <w:r>
        <w:rPr>
          <w:b/>
        </w:rPr>
        <w:t>Trámite:</w:t>
      </w:r>
      <w:r>
        <w:rPr/>
        <w:t xml:space="preserve"> solicitud escrita al Consejo con materiales referenciados al Manual</w:t>
      </w:r>
    </w:p>
    <w:p>
      <w:pPr>
        <w:pStyle w:val="ListBullet"/>
      </w:pPr>
      <w:r>
        <w:rPr/>
      </w:r>
      <w:r>
        <w:rPr>
          <w:b/>
        </w:rPr>
        <w:t>Plazo:</w:t>
      </w:r>
      <w:r>
        <w:rPr/>
        <w:t xml:space="preserve"> el Consejo responde en </w:t>
      </w:r>
      <w:r>
        <w:rPr>
          <w:b/>
        </w:rPr>
        <w:t>5 días hábiles</w:t>
      </w:r>
      <w:r>
        <w:rPr/>
        <w:t xml:space="preserve">; si no responde, se considera </w:t>
      </w:r>
      <w:r>
        <w:rPr>
          <w:b/>
        </w:rPr>
        <w:t>aprobado automáticamente</w:t>
      </w:r>
      <w:r>
        <w:rPr/>
      </w:r>
    </w:p>
    <w:p>
      <w:pPr>
        <w:pStyle w:val="ListBullet"/>
      </w:pPr>
      <w:r>
        <w:rPr/>
        <w:t>Toda respuesta es por escrito con su fundamento</w:t>
      </w:r>
    </w:p>
    <w:p>
      <w:pPr>
        <w:pStyle w:val="ListBullet"/>
      </w:pPr>
      <w:r>
        <w:rPr/>
      </w:r>
      <w:r>
        <w:rPr>
          <w:b/>
        </w:rPr>
        <w:t>Costo:</w:t>
      </w:r>
      <w:r>
        <w:rPr/>
        <w:t xml:space="preserve"> $1,500 cuota de revisión + $3,000 depósito reembolsable al concluir </w:t>
      </w:r>
      <w:r>
        <w:rPr>
          <w:i/>
        </w:rPr>
        <w:t>(montos en pesos conforme al Artículo C; independientes de la multa por inicio sin autorización del Catálogo de Multas)</w:t>
      </w:r>
    </w:p>
    <w:p>
      <w:pPr>
        <w:pBdr>
          <w:bottom w:val="single" w:sz="6" w:space="1" w:color="E2E8F0"/>
        </w:pBdr>
      </w:pPr>
    </w:p>
    <w:p>
      <w:pPr>
        <w:spacing w:after="160"/>
      </w:pPr>
      <w:r>
        <w:rPr/>
      </w:r>
      <w:r>
        <w:rPr>
          <w:b/>
        </w:rPr>
        <w:t>Obra Grande (Categoría III)</w:t>
      </w:r>
      <w:r>
        <w:rPr/>
      </w:r>
    </w:p>
    <w:p>
      <w:pPr>
        <w:spacing w:after="160"/>
      </w:pPr>
      <w:r>
        <w:rPr/>
        <w:t>Ampliaciones de superficie, nuevos volúmenes, cambios estructurales, adición de niveles, o cualquier obra que requiera permiso municipal.</w:t>
      </w:r>
    </w:p>
    <w:p>
      <w:pPr>
        <w:pStyle w:val="ListBullet"/>
      </w:pPr>
      <w:r>
        <w:rPr/>
      </w:r>
      <w:r>
        <w:rPr>
          <w:b/>
        </w:rPr>
        <w:t>Trámite:</w:t>
      </w:r>
      <w:r>
        <w:rPr/>
        <w:t xml:space="preserve"> DRO con registro vigente + autorización previa del Consejo + permisos de la Dirección de Desarrollo Urbano de Soledad; visitas de supervisión durante la obra</w:t>
      </w:r>
    </w:p>
    <w:p>
      <w:pPr>
        <w:pStyle w:val="ListBullet"/>
      </w:pPr>
      <w:r>
        <w:rPr/>
      </w:r>
      <w:r>
        <w:rPr>
          <w:b/>
        </w:rPr>
        <w:t>No hay aprobación automática</w:t>
      </w:r>
      <w:r>
        <w:rPr/>
        <w:t xml:space="preserve"> por silencio del Consejo en esta categoría</w:t>
      </w:r>
    </w:p>
    <w:p>
      <w:pPr>
        <w:pStyle w:val="ListBullet"/>
      </w:pPr>
      <w:r>
        <w:rPr/>
      </w:r>
      <w:r>
        <w:rPr>
          <w:b/>
        </w:rPr>
        <w:t>Costo:</w:t>
      </w:r>
      <w:r>
        <w:rPr/>
        <w:t xml:space="preserve"> $1,500 cuota + </w:t>
      </w:r>
      <w:r>
        <w:rPr>
          <w:b/>
        </w:rPr>
        <w:t>15% del presupuesto</w:t>
      </w:r>
      <w:r>
        <w:rPr/>
        <w:t xml:space="preserve"> (mín. $10,000) como depósito reembolsable al concluir satisfactoriamente </w:t>
      </w:r>
      <w:r>
        <w:rPr>
          <w:i/>
        </w:rPr>
        <w:t>(montos en pesos conforme al Artículo C; independientes de la multa por inicio sin autorización del Catálogo de Multas)</w:t>
      </w:r>
    </w:p>
    <w:p>
      <w:pPr>
        <w:pStyle w:val="Heading3"/>
        <w:spacing w:before="300" w:after="120"/>
      </w:pPr>
      <w:r>
        <w:rPr>
          <w:b/>
          <w:color w:val="3D5168"/>
          <w:sz w:val="28"/>
        </w:rPr>
        <w:t>5.2 Proceso de apelación</w:t>
      </w:r>
    </w:p>
    <w:p>
      <w:pPr>
        <w:pStyle w:val="ListNumber"/>
      </w:pPr>
      <w:r>
        <w:rPr/>
        <w:t xml:space="preserve">El condómino tiene </w:t>
      </w:r>
      <w:r>
        <w:rPr>
          <w:b/>
        </w:rPr>
        <w:t>10 días hábiles</w:t>
      </w:r>
      <w:r>
        <w:rPr/>
        <w:t xml:space="preserve"> para apelar ante el Comité de Representantes.</w:t>
      </w:r>
    </w:p>
    <w:p>
      <w:pPr>
        <w:pStyle w:val="ListNumber"/>
      </w:pPr>
      <w:r>
        <w:rPr/>
        <w:t>El Comité verifica únicamente si la resolución está fundada en el Manual. Si no lo está, la revierte de inmediato sin evaluar el fondo.</w:t>
      </w:r>
    </w:p>
    <w:p>
      <w:pPr>
        <w:pStyle w:val="ListNumber"/>
      </w:pPr>
      <w:r>
        <w:rPr/>
        <w:t xml:space="preserve">Para debates técnicos: árbitro externo designado por el </w:t>
      </w:r>
      <w:r>
        <w:rPr>
          <w:b/>
        </w:rPr>
        <w:t>Colegio de Arquitectos del Estado de SLP</w:t>
      </w:r>
      <w:r>
        <w:rPr/>
        <w:t xml:space="preserve"> o el </w:t>
      </w:r>
      <w:r>
        <w:rPr>
          <w:b/>
        </w:rPr>
        <w:t>Registro de DROs del Municipio</w:t>
      </w:r>
      <w:r>
        <w:rPr/>
        <w:t>. Ninguna parte lo elige.</w:t>
      </w:r>
    </w:p>
    <w:p>
      <w:pPr>
        <w:pStyle w:val="ListNumber"/>
      </w:pPr>
      <w:r>
        <w:rPr/>
        <w:t>Los honorarios del árbitro los paga el fondo de mantenimiento si el Consejo se equivocó, o el condómino si el Consejo tenía razón.</w:t>
      </w:r>
    </w:p>
    <w:p>
      <w:pPr>
        <w:pStyle w:val="Heading3"/>
        <w:spacing w:before="300" w:after="120"/>
      </w:pPr>
      <w:r>
        <w:rPr>
          <w:b/>
          <w:color w:val="3D5168"/>
          <w:sz w:val="28"/>
        </w:rPr>
        <w:t>5.3 Política de devolución de cuota de revisión</w:t>
      </w:r>
    </w:p>
    <w:tbl>
      <w:tblPr>
        <w:tblStyle w:val="TableGrid"/>
        <w:tblW w:type="auto" w:w="0"/>
        <w:tblLook w:firstColumn="1" w:firstRow="1" w:lastColumn="0" w:lastRow="0" w:noHBand="0" w:noVBand="1" w:val="04A0"/>
      </w:tblPr>
      <w:tblGrid>
        <w:gridCol w:w="3230"/>
        <w:gridCol w:w="3230"/>
        <w:gridCol w:w="3230"/>
      </w:tblGrid>
      <w:tr>
        <w:tc>
          <w:tcPr>
            <w:tcW w:type="dxa" w:w="3230"/>
          </w:tcPr>
          <w:p>
            <w:r>
              <w:rPr>
                <w:b/>
              </w:rPr>
              <w:t>Escenario</w:t>
            </w:r>
          </w:p>
        </w:tc>
        <w:tc>
          <w:tcPr>
            <w:tcW w:type="dxa" w:w="3230"/>
          </w:tcPr>
          <w:p>
            <w:r>
              <w:rPr>
                <w:b/>
              </w:rPr>
              <w:t>Devolución</w:t>
            </w:r>
          </w:p>
        </w:tc>
        <w:tc>
          <w:tcPr>
            <w:tcW w:type="dxa" w:w="3230"/>
          </w:tcPr>
          <w:p>
            <w:r>
              <w:rPr>
                <w:b/>
              </w:rPr>
              <w:t>Fundamento</w:t>
            </w:r>
          </w:p>
        </w:tc>
      </w:tr>
      <w:tr>
        <w:tc>
          <w:tcPr>
            <w:tcW w:type="dxa" w:w="3230"/>
          </w:tcPr>
          <w:p>
            <w:r>
              <w:rPr/>
              <w:t>Obra aprobada en tiempo y forma</w:t>
            </w:r>
          </w:p>
        </w:tc>
        <w:tc>
          <w:tcPr>
            <w:tcW w:type="dxa" w:w="3230"/>
          </w:tcPr>
          <w:p>
            <w:r>
              <w:rPr/>
              <w:t>0%</w:t>
            </w:r>
          </w:p>
        </w:tc>
        <w:tc>
          <w:tcPr>
            <w:tcW w:type="dxa" w:w="3230"/>
          </w:tcPr>
          <w:p>
            <w:r>
              <w:rPr/>
              <w:t>El servicio fue prestado correctamente</w:t>
            </w:r>
          </w:p>
        </w:tc>
      </w:tr>
      <w:tr>
        <w:tc>
          <w:tcPr>
            <w:tcW w:type="dxa" w:w="3230"/>
          </w:tcPr>
          <w:p>
            <w:r>
              <w:rPr/>
              <w:t>Aprobación automática por silencio del Consejo</w:t>
            </w:r>
          </w:p>
        </w:tc>
        <w:tc>
          <w:tcPr>
            <w:tcW w:type="dxa" w:w="3230"/>
          </w:tcPr>
          <w:p>
            <w:r>
              <w:rPr/>
              <w:t>100%</w:t>
            </w:r>
          </w:p>
        </w:tc>
        <w:tc>
          <w:tcPr>
            <w:tcW w:type="dxa" w:w="3230"/>
          </w:tcPr>
          <w:p>
            <w:r>
              <w:rPr/>
              <w:t>El servicio no fue prestado en el plazo establecido</w:t>
            </w:r>
          </w:p>
        </w:tc>
      </w:tr>
      <w:tr>
        <w:tc>
          <w:tcPr>
            <w:tcW w:type="dxa" w:w="3230"/>
          </w:tcPr>
          <w:p>
            <w:r>
              <w:rPr/>
              <w:t>Rechazo revertido en apelación</w:t>
            </w:r>
          </w:p>
        </w:tc>
        <w:tc>
          <w:tcPr>
            <w:tcW w:type="dxa" w:w="3230"/>
          </w:tcPr>
          <w:p>
            <w:r>
              <w:rPr/>
              <w:t>75%</w:t>
            </w:r>
          </w:p>
        </w:tc>
        <w:tc>
          <w:tcPr>
            <w:tcW w:type="dxa" w:w="3230"/>
          </w:tcPr>
          <w:p>
            <w:r>
              <w:rPr/>
              <w:t>La resolución fue incorrecta; se retiene 25% por costos del proceso</w:t>
            </w:r>
          </w:p>
        </w:tc>
      </w:tr>
      <w:tr>
        <w:tc>
          <w:tcPr>
            <w:tcW w:type="dxa" w:w="3230"/>
          </w:tcPr>
          <w:p>
            <w:r>
              <w:rPr/>
              <w:t>Rechazo confirmado en apelación</w:t>
            </w:r>
          </w:p>
        </w:tc>
        <w:tc>
          <w:tcPr>
            <w:tcW w:type="dxa" w:w="3230"/>
          </w:tcPr>
          <w:p>
            <w:r>
              <w:rPr/>
              <w:t>0%</w:t>
            </w:r>
          </w:p>
        </w:tc>
        <w:tc>
          <w:tcPr>
            <w:tcW w:type="dxa" w:w="3230"/>
          </w:tcPr>
          <w:p>
            <w:r>
              <w:rPr/>
              <w:t>El proceso fue correcto</w:t>
            </w:r>
          </w:p>
        </w:tc>
      </w:tr>
      <w:tr>
        <w:tc>
          <w:tcPr>
            <w:tcW w:type="dxa" w:w="3230"/>
          </w:tcPr>
          <w:p>
            <w:r>
              <w:rPr/>
              <w:t>Expediente devuelto por incompleto</w:t>
            </w:r>
          </w:p>
        </w:tc>
        <w:tc>
          <w:tcPr>
            <w:tcW w:type="dxa" w:w="3230"/>
          </w:tcPr>
          <w:p>
            <w:r>
              <w:rPr/>
              <w:t>100%</w:t>
            </w:r>
          </w:p>
        </w:tc>
        <w:tc>
          <w:tcPr>
            <w:tcW w:type="dxa" w:w="3230"/>
          </w:tcPr>
          <w:p>
            <w:r>
              <w:rPr/>
              <w:t>No se inició la revisión</w:t>
            </w:r>
          </w:p>
        </w:tc>
      </w:tr>
    </w:tbl>
    <w:p>
      <w:pPr>
        <w:pStyle w:val="Heading3"/>
        <w:spacing w:before="300" w:after="120"/>
      </w:pPr>
      <w:r>
        <w:rPr>
          <w:b/>
          <w:color w:val="3D5168"/>
          <w:sz w:val="28"/>
        </w:rPr>
        <w:t>5.4 Obligación de restitución</w:t>
      </w:r>
    </w:p>
    <w:p>
      <w:pPr>
        <w:spacing w:after="160"/>
      </w:pPr>
      <w:r>
        <w:rPr/>
        <w:t>Para que un sistema de reglas sea efectivo, sus consecuencias deben ser proporcionales al impacto de la acción. Cuando el costo de seguir el proceso es mayor que el de omitirlo, el sistema tiende a no usarse.</w:t>
      </w:r>
    </w:p>
    <w:p>
      <w:pPr>
        <w:pBdr>
          <w:left w:val="single" w:sz="20" w:space="8" w:color="D69E2E"/>
        </w:pBdr>
        <w:shd w:val="clear" w:color="auto" w:fill="FFFBEB"/>
      </w:pPr>
      <w:r>
        <w:rPr>
          <w:b/>
        </w:rPr>
        <w:t xml:space="preserve">  ADVERTENCIA</w:t>
      </w:r>
    </w:p>
    <w:p>
      <w:pPr>
        <w:pBdr>
          <w:left w:val="single" w:sz="20" w:space="8" w:color="D69E2E"/>
        </w:pBdr>
        <w:shd w:val="clear" w:color="auto" w:fill="FFFBEB"/>
      </w:pPr>
      <w:r>
        <w:rPr/>
      </w:r>
      <w:r>
        <w:rPr>
          <w:b/>
        </w:rPr>
        <w:t>La obligación de restitución establece una estructura de incentivos clara.</w:t>
      </w:r>
      <w:r>
        <w:rPr/>
        <w:t xml:space="preserve"> Una obra realizada sin el proceso correspondiente puede quedar sujeta a la obligación de devolver el inmueble a su estado anterior, con el costo a cargo de quien la realizó. Si no se atiende en el plazo establecido, el Comité de Representantes puede contratar los trabajos necesarios y recuperar el costo del condómino responsable. Seguir el proceso es, en todos los casos, la opción que mejor protege el patrimonio propio.</w:t>
      </w:r>
    </w:p>
    <w:p>
      <w:pPr>
        <w:spacing w:after="160"/>
      </w:pPr>
      <w:r>
        <w:rPr/>
      </w:r>
      <w:r>
        <w:rPr>
          <w:b/>
        </w:rPr>
        <w:t>Caso A — Obra Pequeña:</w:t>
      </w:r>
      <w:r>
        <w:rPr/>
        <w:t xml:space="preserve"> Pintar recámaras sin trámite</w:t>
      </w:r>
    </w:p>
    <w:p>
      <w:pPr>
        <w:spacing w:after="160"/>
      </w:pPr>
      <w:r>
        <w:rPr/>
      </w:r>
      <w:r>
        <w:rPr>
          <w:b/>
        </w:rPr>
        <w:t>Situación →</w:t>
      </w:r>
      <w:r>
        <w:rPr/>
        <w:t xml:space="preserve"> Un propietario quiere repintar las recámaras de su casa en colores distintos a los actuales. Se pregunta si necesita permiso.</w:t>
      </w:r>
    </w:p>
    <w:p>
      <w:pPr>
        <w:spacing w:after="160"/>
      </w:pPr>
      <w:r>
        <w:rPr/>
      </w:r>
      <w:r>
        <w:rPr>
          <w:b/>
        </w:rPr>
        <w:t>Acción →</w:t>
      </w:r>
      <w:r>
        <w:rPr/>
        <w:t xml:space="preserve"> Consulta la clasificación: es una Obra Pequeña. Los cambios son interiores y no afectan fachada ni estructura. Notifica al Administrador con 48 horas de anticipación usando el Formato C-1.</w:t>
      </w:r>
    </w:p>
    <w:p>
      <w:pPr>
        <w:spacing w:after="160"/>
      </w:pPr>
      <w:r>
        <w:rPr/>
      </w:r>
      <w:r>
        <w:rPr>
          <w:b/>
        </w:rPr>
        <w:t>Resultado →</w:t>
      </w:r>
      <w:r>
        <w:rPr/>
        <w:t xml:space="preserve"> La obra inicia sin cuota, sin depósito, sin esperar resolución del Consejo. El sistema reconoce que no toda intervención en la casa requiere el mismo nivel de revisión.</w:t>
      </w:r>
    </w:p>
    <w:p>
      <w:pPr>
        <w:spacing w:after="160"/>
      </w:pPr>
      <w:r>
        <w:rPr/>
      </w:r>
      <w:r>
        <w:rPr>
          <w:b/>
        </w:rPr>
        <w:t>Caso B — Obra Grande sin proceso:</w:t>
      </w:r>
      <w:r>
        <w:rPr/>
        <w:t xml:space="preserve"> La obligación de restitución</w:t>
      </w:r>
    </w:p>
    <w:p>
      <w:pPr>
        <w:spacing w:after="160"/>
      </w:pPr>
      <w:r>
        <w:rPr/>
      </w:r>
      <w:r>
        <w:rPr>
          <w:b/>
        </w:rPr>
        <w:t>Situación →</w:t>
      </w:r>
      <w:r>
        <w:rPr/>
        <w:t xml:space="preserve"> Un propietario construye un cuarto adicional en su azotea sin notificar al Administrador, sin DRO y sin autorización del Consejo.</w:t>
      </w:r>
    </w:p>
    <w:p>
      <w:pPr>
        <w:spacing w:after="160"/>
      </w:pPr>
      <w:r>
        <w:rPr/>
      </w:r>
      <w:r>
        <w:rPr>
          <w:b/>
        </w:rPr>
        <w:t>Acción →</w:t>
      </w:r>
      <w:r>
        <w:rPr/>
        <w:t xml:space="preserve"> Al activarse el sistema, la obra queda registrada como no autorizada. El propietario recibe notificación formal de que la obra está sujeta a obligación de restitución si no inicia el proceso de regularización en el plazo establecido.</w:t>
      </w:r>
    </w:p>
    <w:p>
      <w:pPr>
        <w:spacing w:after="160"/>
      </w:pPr>
      <w:r>
        <w:rPr/>
      </w:r>
      <w:r>
        <w:rPr>
          <w:b/>
        </w:rPr>
        <w:t>Resultado →</w:t>
      </w:r>
      <w:r>
        <w:rPr/>
        <w:t xml:space="preserve"> El costo total es significativamente mayor que si hubiera seguido el proceso desde el inicio. Se acumulan tres conceptos independientes: (1) la </w:t>
      </w:r>
      <w:r>
        <w:rPr>
          <w:b/>
        </w:rPr>
        <w:t>multa por inicio sin autorización</w:t>
      </w:r>
      <w:r>
        <w:rPr/>
        <w:t xml:space="preserve"> del Catálogo de Multas (88 UMAs ≈ $10,323 al valor 2026), (2) la </w:t>
      </w:r>
      <w:r>
        <w:rPr>
          <w:b/>
        </w:rPr>
        <w:t>cuota de revisión</w:t>
      </w:r>
      <w:r>
        <w:rPr/>
        <w:t xml:space="preserve"> para regularización ($1,500), y (3) el </w:t>
      </w:r>
      <w:r>
        <w:rPr>
          <w:b/>
        </w:rPr>
        <w:t>depósito en garantía</w:t>
      </w:r>
      <w:r>
        <w:rPr/>
        <w:t xml:space="preserve"> (15% del presupuesto, mínimo $10,000). Si no atiende la notificación en el plazo establecido, el Comité puede contratar los trabajos de restitución y recuperar el costo del propietario responsable. Seguir el proceso desde el principio es, en todos los casos, la opción que mejor protege el patrimonio propio.</w:t>
      </w:r>
    </w:p>
    <w:p>
      <w:pPr>
        <w:pBdr>
          <w:bottom w:val="single" w:sz="6" w:space="1" w:color="E2E8F0"/>
        </w:pBdr>
      </w:pPr>
    </w:p>
    <w:p>
      <w:pPr>
        <w:pBdr>
          <w:bottom w:val="single" w:sz="6" w:space="1" w:color="E2E8F0"/>
        </w:pBdr>
      </w:pPr>
    </w:p>
    <w:p>
      <w:pPr>
        <w:pStyle w:val="Heading2"/>
        <w:spacing w:before="360" w:after="180"/>
      </w:pPr>
      <w:r>
        <w:rPr>
          <w:b/>
          <w:color w:val="1B2C3E"/>
          <w:sz w:val="36"/>
        </w:rPr>
        <w:t>6. El Manual de Imagen Urbana</w:t>
      </w:r>
    </w:p>
    <w:p>
      <w:pPr>
        <w:spacing w:after="160"/>
      </w:pPr>
      <w:r>
        <w:rPr/>
        <w:t xml:space="preserve">El Manual no es una lista de gustos personales. Es el </w:t>
      </w:r>
      <w:r>
        <w:rPr>
          <w:b/>
        </w:rPr>
        <w:t>Anexo Técnico del Reglamento</w:t>
      </w:r>
      <w:r>
        <w:rPr/>
        <w:t xml:space="preserve"> y tiene la misma fuerza legal. Si el Manual y el Reglamento se contradicen en algún punto, aplica la disposición más restrictiva.</w:t>
      </w:r>
    </w:p>
    <w:p>
      <w:pPr>
        <w:pStyle w:val="Heading3"/>
        <w:spacing w:before="300" w:after="120"/>
      </w:pPr>
      <w:r>
        <w:rPr>
          <w:b/>
          <w:color w:val="3D5168"/>
          <w:sz w:val="28"/>
        </w:rPr>
        <w:t>6.1 Contenido técnico mínimo</w:t>
      </w:r>
    </w:p>
    <w:tbl>
      <w:tblPr>
        <w:tblStyle w:val="TableGrid"/>
        <w:tblW w:type="auto" w:w="0"/>
        <w:tblLook w:firstColumn="1" w:firstRow="1" w:lastColumn="0" w:lastRow="0" w:noHBand="0" w:noVBand="1" w:val="04A0"/>
      </w:tblPr>
      <w:tblGrid>
        <w:gridCol w:w="4844"/>
        <w:gridCol w:w="4844"/>
      </w:tblGrid>
      <w:tr>
        <w:tc>
          <w:tcPr>
            <w:tcW w:type="dxa" w:w="4844"/>
          </w:tcPr>
          <w:p>
            <w:r>
              <w:rPr>
                <w:b/>
              </w:rPr>
              <w:t>Sección</w:t>
            </w:r>
          </w:p>
        </w:tc>
        <w:tc>
          <w:tcPr>
            <w:tcW w:type="dxa" w:w="4844"/>
          </w:tcPr>
          <w:p>
            <w:r>
              <w:rPr>
                <w:b/>
              </w:rPr>
              <w:t>Contenido requerido</w:t>
            </w:r>
          </w:p>
        </w:tc>
      </w:tr>
      <w:tr>
        <w:tc>
          <w:tcPr>
            <w:tcW w:type="dxa" w:w="4844"/>
          </w:tcPr>
          <w:p>
            <w:r>
              <w:rPr/>
            </w:r>
            <w:r>
              <w:rPr>
                <w:b/>
              </w:rPr>
              <w:t>1 — Paleta de Materiales</w:t>
            </w:r>
            <w:r>
              <w:rPr/>
            </w:r>
          </w:p>
        </w:tc>
        <w:tc>
          <w:tcPr>
            <w:tcW w:type="dxa" w:w="4844"/>
          </w:tcPr>
          <w:p>
            <w:r>
              <w:rPr/>
              <w:t>Materiales de fachada permitidos con nombre comercial y especificaciones técnicas; materiales prohibidos con criterios; tipos de ventanas, puertas, canceles, barandales y celosías autorizados</w:t>
            </w:r>
          </w:p>
        </w:tc>
      </w:tr>
      <w:tr>
        <w:tc>
          <w:tcPr>
            <w:tcW w:type="dxa" w:w="4844"/>
          </w:tcPr>
          <w:p>
            <w:r>
              <w:rPr/>
            </w:r>
            <w:r>
              <w:rPr>
                <w:b/>
              </w:rPr>
              <w:t>2 — Paleta de Colores</w:t>
            </w:r>
            <w:r>
              <w:rPr/>
            </w:r>
          </w:p>
        </w:tc>
        <w:tc>
          <w:tcPr>
            <w:tcW w:type="dxa" w:w="4844"/>
          </w:tcPr>
          <w:p>
            <w:r>
              <w:rPr/>
              <w:t xml:space="preserve">Colores en códigos de al menos </w:t>
            </w:r>
            <w:r>
              <w:rPr>
                <w:b/>
              </w:rPr>
              <w:t>dos marcas disponibles en SLP</w:t>
            </w:r>
            <w:r>
              <w:rPr/>
              <w:t xml:space="preserve"> (ej. Comex, Sherwin-Williams); combinaciones permitidas; colores prohibidos; criterio de integración para remodelaciones</w:t>
            </w:r>
          </w:p>
        </w:tc>
      </w:tr>
      <w:tr>
        <w:tc>
          <w:tcPr>
            <w:tcW w:type="dxa" w:w="4844"/>
          </w:tcPr>
          <w:p>
            <w:r>
              <w:rPr/>
            </w:r>
            <w:r>
              <w:rPr>
                <w:b/>
              </w:rPr>
              <w:t>3 — Fachada y Frente de Lote</w:t>
            </w:r>
            <w:r>
              <w:rPr/>
            </w:r>
          </w:p>
        </w:tc>
        <w:tc>
          <w:tcPr>
            <w:tcW w:type="dxa" w:w="4844"/>
          </w:tcPr>
          <w:p>
            <w:r>
              <w:rPr/>
              <w:t>Criterios de composición y proporciones; % mínimo de área verde en jardín frontal; altura y acabado del murete de medidores; señalética y numeración oficial</w:t>
            </w:r>
          </w:p>
        </w:tc>
      </w:tr>
      <w:tr>
        <w:tc>
          <w:tcPr>
            <w:tcW w:type="dxa" w:w="4844"/>
          </w:tcPr>
          <w:p>
            <w:r>
              <w:rPr/>
            </w:r>
            <w:r>
              <w:rPr>
                <w:b/>
              </w:rPr>
              <w:t>4 — Ampliaciones y Segundas Plantas</w:t>
            </w:r>
            <w:r>
              <w:rPr/>
            </w:r>
          </w:p>
        </w:tc>
        <w:tc>
          <w:tcPr>
            <w:tcW w:type="dxa" w:w="4844"/>
          </w:tcPr>
          <w:p>
            <w:r>
              <w:rPr/>
              <w:t>Criterios de integración con fachada original; restricciones de alineamiento; altura de pretil; escaleras exteriores visibles desde calle o áreas comunes</w:t>
            </w:r>
          </w:p>
        </w:tc>
      </w:tr>
      <w:tr>
        <w:tc>
          <w:tcPr>
            <w:tcW w:type="dxa" w:w="4844"/>
          </w:tcPr>
          <w:p>
            <w:r>
              <w:rPr/>
            </w:r>
            <w:r>
              <w:rPr>
                <w:b/>
              </w:rPr>
              <w:t>5 — Instalaciones y Servicios</w:t>
            </w:r>
            <w:r>
              <w:rPr/>
            </w:r>
          </w:p>
        </w:tc>
        <w:tc>
          <w:tcPr>
            <w:tcW w:type="dxa" w:w="4844"/>
          </w:tcPr>
          <w:p>
            <w:r>
              <w:rPr/>
              <w:t>Ubicación y acabado de tinacos, paneles solares, equipos de A/C; iluminación exterior (temperatura de color, tipo de luminaria); puertas de cochera</w:t>
            </w:r>
          </w:p>
        </w:tc>
      </w:tr>
      <w:tr>
        <w:tc>
          <w:tcPr>
            <w:tcW w:type="dxa" w:w="4844"/>
          </w:tcPr>
          <w:p>
            <w:r>
              <w:rPr/>
            </w:r>
            <w:r>
              <w:rPr>
                <w:b/>
              </w:rPr>
              <w:t>6 — Jardinería y Paisajismo</w:t>
            </w:r>
            <w:r>
              <w:rPr/>
            </w:r>
          </w:p>
        </w:tc>
        <w:tc>
          <w:tcPr>
            <w:tcW w:type="dxa" w:w="4844"/>
          </w:tcPr>
          <w:p>
            <w:r>
              <w:rPr/>
              <w:t>Especies recomendadas para el clima de Soledad de Graciano Sánchez; especies prohibidas por invasivas o raíces agresivas; altura máxima de vegetación frontal</w:t>
            </w:r>
          </w:p>
        </w:tc>
      </w:tr>
    </w:tbl>
    <w:p>
      <w:pPr>
        <w:pStyle w:val="Heading3"/>
        <w:spacing w:before="300" w:after="120"/>
      </w:pPr>
      <w:r>
        <w:rPr>
          <w:b/>
          <w:color w:val="3D5168"/>
          <w:sz w:val="28"/>
        </w:rPr>
        <w:t>6.2 Proceso de elaboración con garantías de neutralidad</w:t>
      </w:r>
    </w:p>
    <w:p>
      <w:pPr>
        <w:pBdr>
          <w:left w:val="single" w:sz="20" w:space="8" w:color="3182CE"/>
        </w:pBdr>
        <w:shd w:val="clear" w:color="auto" w:fill="EBF4FF"/>
      </w:pPr>
      <w:r>
        <w:rPr>
          <w:b/>
        </w:rPr>
        <w:t xml:space="preserve">  NOTA</w:t>
      </w:r>
    </w:p>
    <w:p>
      <w:pPr>
        <w:pBdr>
          <w:left w:val="single" w:sz="20" w:space="8" w:color="3182CE"/>
        </w:pBdr>
        <w:shd w:val="clear" w:color="auto" w:fill="EBF4FF"/>
      </w:pPr>
      <w:r>
        <w:rPr/>
      </w:r>
      <w:r>
        <w:rPr>
          <w:b/>
        </w:rPr>
        <w:t>El Manual no existe todavía — y eso es correcto.</w:t>
      </w:r>
      <w:r>
        <w:rPr/>
      </w:r>
    </w:p>
    <w:p>
      <w:pPr>
        <w:pBdr>
          <w:left w:val="single" w:sz="20" w:space="8" w:color="3182CE"/>
        </w:pBdr>
        <w:shd w:val="clear" w:color="auto" w:fill="EBF4FF"/>
      </w:pPr>
      <w:r>
        <w:rPr/>
        <w:t xml:space="preserve">Aprobar los artículos A–E en Asamblea no aprueba el Manual. El Manual se redacta después, con participación de todos los condóminos, y requiere su propia aprobación en una segunda Asamblea. Lo que se vota primero es el </w:t>
      </w:r>
      <w:r>
        <w:rPr>
          <w:i/>
        </w:rPr>
        <w:t>marco</w:t>
      </w:r>
      <w:r>
        <w:rPr/>
        <w:t>; el contenido técnico lo construimos juntos. Ningún condómino queda sujeto al Manual sin haberlo tenido frente a él con tiempo para opinar.</w:t>
      </w:r>
    </w:p>
    <w:p>
      <w:pPr>
        <w:pStyle w:val="ListBullet"/>
      </w:pPr>
      <w:r>
        <w:rPr/>
        <w:t xml:space="preserve">Los proponentes de esta propuesta </w:t>
      </w:r>
      <w:r>
        <w:rPr>
          <w:b/>
        </w:rPr>
        <w:t>no pueden ser mayoría</w:t>
      </w:r>
      <w:r>
        <w:rPr/>
        <w:t xml:space="preserve"> en el Grupo de Trabajo redactor</w:t>
      </w:r>
    </w:p>
    <w:p>
      <w:pPr>
        <w:pStyle w:val="ListBullet"/>
      </w:pPr>
      <w:r>
        <w:rPr/>
        <w:t xml:space="preserve">Un </w:t>
      </w:r>
      <w:r>
        <w:rPr>
          <w:b/>
        </w:rPr>
        <w:t>facilitador externo neutral</w:t>
      </w:r>
      <w:r>
        <w:rPr/>
        <w:t xml:space="preserve"> del Colegio de Arquitectos de SLP coordina la redacción técnica</w:t>
      </w:r>
    </w:p>
    <w:p>
      <w:pPr>
        <w:pStyle w:val="ListBullet"/>
      </w:pPr>
      <w:r>
        <w:rPr/>
        <w:t xml:space="preserve">El borrador se publica </w:t>
      </w:r>
      <w:r>
        <w:rPr>
          <w:b/>
        </w:rPr>
        <w:t>15 días</w:t>
      </w:r>
      <w:r>
        <w:rPr/>
        <w:t xml:space="preserve"> para observaciones escritas de cualquier condómino; todas reciben respuesta documentada</w:t>
      </w:r>
    </w:p>
    <w:p>
      <w:pPr>
        <w:pStyle w:val="ListBullet"/>
      </w:pPr>
      <w:r>
        <w:rPr/>
        <w:t xml:space="preserve">Quienes redactaron el Manual quedan </w:t>
      </w:r>
      <w:r>
        <w:rPr>
          <w:b/>
        </w:rPr>
        <w:t>inhabilitados</w:t>
      </w:r>
      <w:r>
        <w:rPr/>
        <w:t xml:space="preserve"> para integrar el Consejo de Diseño durante los primeros </w:t>
      </w:r>
      <w:r>
        <w:rPr>
          <w:b/>
        </w:rPr>
        <w:t>dos años</w:t>
      </w:r>
      <w:r>
        <w:rPr/>
        <w:t xml:space="preserve"> de operación</w:t>
      </w:r>
    </w:p>
    <w:p>
      <w:pPr>
        <w:pStyle w:val="ListBullet"/>
      </w:pPr>
      <w:r>
        <w:rPr/>
        <w:t xml:space="preserve">Plazo máximo de aprobación en Asamblea: </w:t>
      </w:r>
      <w:r>
        <w:rPr>
          <w:b/>
        </w:rPr>
        <w:t>180 días</w:t>
      </w:r>
      <w:r>
        <w:rPr/>
        <w:t xml:space="preserve"> desde la entrada en vigor del sistema</w:t>
      </w:r>
    </w:p>
    <w:p>
      <w:pPr>
        <w:pStyle w:val="ListBullet"/>
      </w:pPr>
      <w:r>
        <w:rPr/>
        <w:t xml:space="preserve">Una vez aprobado, el Manual solo puede modificarse por </w:t>
      </w:r>
      <w:r>
        <w:rPr>
          <w:b/>
        </w:rPr>
        <w:t>Asamblea Extraordinaria</w:t>
      </w:r>
      <w:r>
        <w:rPr/>
      </w:r>
    </w:p>
    <w:p>
      <w:pPr>
        <w:pStyle w:val="Heading3"/>
        <w:spacing w:before="300" w:after="120"/>
      </w:pPr>
      <w:r>
        <w:rPr>
          <w:b/>
          <w:color w:val="3D5168"/>
          <w:sz w:val="28"/>
        </w:rPr>
        <w:t>6.3 Presupuesto de elaboración</w:t>
      </w:r>
    </w:p>
    <w:tbl>
      <w:tblPr>
        <w:tblStyle w:val="TableGrid"/>
        <w:tblW w:type="auto" w:w="0"/>
        <w:tblLook w:firstColumn="1" w:firstRow="1" w:lastColumn="0" w:lastRow="0" w:noHBand="0" w:noVBand="1" w:val="04A0"/>
      </w:tblPr>
      <w:tblGrid>
        <w:gridCol w:w="3230"/>
        <w:gridCol w:w="3230"/>
        <w:gridCol w:w="3230"/>
      </w:tblGrid>
      <w:tr>
        <w:tc>
          <w:tcPr>
            <w:tcW w:type="dxa" w:w="3230"/>
          </w:tcPr>
          <w:p>
            <w:r>
              <w:rPr>
                <w:b/>
              </w:rPr>
              <w:t>Rubro</w:t>
            </w:r>
          </w:p>
        </w:tc>
        <w:tc>
          <w:tcPr>
            <w:tcW w:type="dxa" w:w="3230"/>
          </w:tcPr>
          <w:p>
            <w:r>
              <w:rPr>
                <w:b/>
              </w:rPr>
              <w:t>Costo estimado</w:t>
            </w:r>
          </w:p>
        </w:tc>
        <w:tc>
          <w:tcPr>
            <w:tcW w:type="dxa" w:w="3230"/>
          </w:tcPr>
          <w:p>
            <w:r>
              <w:rPr>
                <w:b/>
              </w:rPr>
              <w:t>Fuente de financiamiento</w:t>
            </w:r>
          </w:p>
        </w:tc>
      </w:tr>
      <w:tr>
        <w:tc>
          <w:tcPr>
            <w:tcW w:type="dxa" w:w="3230"/>
          </w:tcPr>
          <w:p>
            <w:r>
              <w:rPr/>
              <w:t>Levantamiento fotográfico</w:t>
            </w:r>
          </w:p>
        </w:tc>
        <w:tc>
          <w:tcPr>
            <w:tcW w:type="dxa" w:w="3230"/>
          </w:tcPr>
          <w:p>
            <w:r>
              <w:rPr/>
              <w:t>$0 – $4,000</w:t>
            </w:r>
          </w:p>
        </w:tc>
        <w:tc>
          <w:tcPr>
            <w:tcW w:type="dxa" w:w="3230"/>
          </w:tcPr>
          <w:p>
            <w:r>
              <w:rPr/>
              <w:t>Fondo de Mantenimiento</w:t>
            </w:r>
          </w:p>
        </w:tc>
      </w:tr>
      <w:tr>
        <w:tc>
          <w:tcPr>
            <w:tcW w:type="dxa" w:w="3230"/>
          </w:tcPr>
          <w:p>
            <w:r>
              <w:rPr/>
              <w:t>Redacción técnica</w:t>
            </w:r>
          </w:p>
        </w:tc>
        <w:tc>
          <w:tcPr>
            <w:tcW w:type="dxa" w:w="3230"/>
          </w:tcPr>
          <w:p>
            <w:r>
              <w:rPr/>
              <w:t>$0 – $35,000</w:t>
            </w:r>
          </w:p>
        </w:tc>
        <w:tc>
          <w:tcPr>
            <w:tcW w:type="dxa" w:w="3230"/>
          </w:tcPr>
          <w:p>
            <w:r>
              <w:rPr/>
              <w:t>Fondo de Mantenimiento</w:t>
            </w:r>
          </w:p>
        </w:tc>
      </w:tr>
      <w:tr>
        <w:tc>
          <w:tcPr>
            <w:tcW w:type="dxa" w:w="3230"/>
          </w:tcPr>
          <w:p>
            <w:r>
              <w:rPr/>
              <w:t>Diseño y publicación</w:t>
            </w:r>
          </w:p>
        </w:tc>
        <w:tc>
          <w:tcPr>
            <w:tcW w:type="dxa" w:w="3230"/>
          </w:tcPr>
          <w:p>
            <w:r>
              <w:rPr/>
              <w:t>$0 – $4,000</w:t>
            </w:r>
          </w:p>
        </w:tc>
        <w:tc>
          <w:tcPr>
            <w:tcW w:type="dxa" w:w="3230"/>
          </w:tcPr>
          <w:p>
            <w:r>
              <w:rPr/>
              <w:t>Fondo de Mantenimiento</w:t>
            </w:r>
          </w:p>
        </w:tc>
      </w:tr>
      <w:tr>
        <w:tc>
          <w:tcPr>
            <w:tcW w:type="dxa" w:w="3230"/>
          </w:tcPr>
          <w:p>
            <w:r>
              <w:rPr/>
            </w:r>
            <w:r>
              <w:rPr>
                <w:b/>
              </w:rPr>
              <w:t>Total estimado</w:t>
            </w:r>
            <w:r>
              <w:rPr/>
            </w:r>
          </w:p>
        </w:tc>
        <w:tc>
          <w:tcPr>
            <w:tcW w:type="dxa" w:w="3230"/>
          </w:tcPr>
          <w:p>
            <w:r>
              <w:rPr/>
            </w:r>
            <w:r>
              <w:rPr>
                <w:b/>
              </w:rPr>
              <w:t>$0 – $43,000</w:t>
            </w:r>
            <w:r>
              <w:rPr/>
            </w:r>
          </w:p>
        </w:tc>
        <w:tc>
          <w:tcPr>
            <w:tcW w:type="dxa" w:w="3230"/>
          </w:tcPr>
          <w:p>
            <w:r>
              <w:rPr/>
              <w:t xml:space="preserve">Art. 63 del Reglamento — autoriza al Administrador con sola conformidad del Comité de Representantes, </w:t>
            </w:r>
            <w:r>
              <w:rPr>
                <w:b/>
              </w:rPr>
              <w:t>sin cuota extraordinaria ni Asamblea especial</w:t>
            </w:r>
            <w:r>
              <w:rPr/>
            </w:r>
          </w:p>
        </w:tc>
      </w:tr>
    </w:tbl>
    <w:p>
      <w:pPr>
        <w:ind w:left="720"/>
        <w:pBdr>
          <w:left w:val="single" w:sz="12" w:space="8" w:color="E2E8F0"/>
        </w:pBdr>
      </w:pPr>
      <w:r>
        <w:rPr>
          <w:i/>
        </w:rPr>
        <w:t>Art. 63o. Reglamento Solé:</w:t>
      </w:r>
      <w:r>
        <w:rPr/>
        <w:t xml:space="preserve"> «Las obras necesarias para mantener EL CONDOMINIO [...] se ordenarán por EL ADMINISTRADOR bastando la conformidad del COMITÉ DE REPRESENTANTES, con cargo al fondo de gastos de mantenimiento y administración.»</w:t>
      </w:r>
    </w:p>
    <w:p>
      <w:pPr>
        <w:pStyle w:val="Heading3"/>
        <w:spacing w:before="300" w:after="120"/>
      </w:pPr>
      <w:r>
        <w:rPr>
          <w:b/>
          <w:color w:val="3D5168"/>
          <w:sz w:val="28"/>
        </w:rPr>
        <w:t>6.4 Cláusula de materiales equivalentes</w:t>
      </w:r>
    </w:p>
    <w:p>
      <w:pPr>
        <w:spacing w:after="160"/>
      </w:pPr>
      <w:r>
        <w:rPr/>
        <w:t>Cuando un material del Manual no esté disponible en el mercado —por descontinuación o escasez—, el condómino puede proponer al Consejo un material equivalente. El Consejo evalúa textura, color, dimensiones y durabilidad, y emite resolución por escrito. Los equivalentes aprobados se incorporan al Manual en su siguiente actualización.</w:t>
      </w:r>
    </w:p>
    <w:p>
      <w:pPr>
        <w:pBdr>
          <w:left w:val="single" w:sz="20" w:space="8" w:color="38A169"/>
        </w:pBdr>
        <w:shd w:val="clear" w:color="auto" w:fill="F0FFF4"/>
      </w:pPr>
      <w:r>
        <w:rPr>
          <w:b/>
        </w:rPr>
        <w:t xml:space="preserve">  CONSEJO</w:t>
      </w:r>
    </w:p>
    <w:p>
      <w:pPr>
        <w:pBdr>
          <w:left w:val="single" w:sz="20" w:space="8" w:color="38A169"/>
        </w:pBdr>
        <w:shd w:val="clear" w:color="auto" w:fill="F0FFF4"/>
      </w:pPr>
      <w:r>
        <w:rPr/>
      </w:r>
      <w:r>
        <w:rPr>
          <w:b/>
        </w:rPr>
        <w:t>Sin esta cláusula</w:t>
      </w:r>
      <w:r>
        <w:rPr/>
        <w:t>, el Manual quedaría inaplicable ante su primera prueba real. Los fraccionamientos de hace 8–10 años usaban materiales que los fabricantes han descontinuado o reformulado. Exigir el material exacto cuando no existe crea una situación que nadie puede resolver.</w:t>
      </w:r>
    </w:p>
    <w:p>
      <w:pPr>
        <w:pStyle w:val="Heading3"/>
        <w:spacing w:before="300" w:after="120"/>
      </w:pPr>
      <w:r>
        <w:rPr>
          <w:b/>
          <w:color w:val="3D5168"/>
          <w:sz w:val="28"/>
        </w:rPr>
        <w:t>6.5 Relación con la normativa municipal</w:t>
      </w:r>
    </w:p>
    <w:p>
      <w:pPr>
        <w:spacing w:after="160"/>
      </w:pPr>
      <w:r>
        <w:rPr/>
        <w:t xml:space="preserve">El Manual puede ser </w:t>
      </w:r>
      <w:r>
        <w:rPr>
          <w:b/>
        </w:rPr>
        <w:t>más restrictivo</w:t>
      </w:r>
      <w:r>
        <w:rPr/>
        <w:t xml:space="preserve"> que el Reglamento de Construcción del Municipio de Soledad, pero </w:t>
      </w:r>
      <w:r>
        <w:rPr>
          <w:b/>
        </w:rPr>
        <w:t>no puede relajar sus mínimos</w:t>
      </w:r>
      <w:r>
        <w:rPr/>
        <w:t xml:space="preserve"> de seguridad estructural, habitabilidad ni uso de suelo.</w:t>
      </w:r>
    </w:p>
    <w:tbl>
      <w:tblPr>
        <w:tblStyle w:val="TableGrid"/>
        <w:tblW w:type="auto" w:w="0"/>
        <w:tblLook w:firstColumn="1" w:firstRow="1" w:lastColumn="0" w:lastRow="0" w:noHBand="0" w:noVBand="1" w:val="04A0"/>
      </w:tblPr>
      <w:tblGrid>
        <w:gridCol w:w="4844"/>
        <w:gridCol w:w="4844"/>
      </w:tblGrid>
      <w:tr>
        <w:tc>
          <w:tcPr>
            <w:tcW w:type="dxa" w:w="4844"/>
          </w:tcPr>
          <w:p>
            <w:r>
              <w:rPr>
                <w:b/>
              </w:rPr>
              <w:t>Materia</w:t>
            </w:r>
          </w:p>
        </w:tc>
        <w:tc>
          <w:tcPr>
            <w:tcW w:type="dxa" w:w="4844"/>
          </w:tcPr>
          <w:p>
            <w:r>
              <w:rPr>
                <w:b/>
              </w:rPr>
              <w:t>Prevalece</w:t>
            </w:r>
          </w:p>
        </w:tc>
      </w:tr>
      <w:tr>
        <w:tc>
          <w:tcPr>
            <w:tcW w:type="dxa" w:w="4844"/>
          </w:tcPr>
          <w:p>
            <w:r>
              <w:rPr/>
              <w:t>Seguridad estructural (cargas, cimientos, altura de pretil)</w:t>
            </w:r>
          </w:p>
        </w:tc>
        <w:tc>
          <w:tcPr>
            <w:tcW w:type="dxa" w:w="4844"/>
          </w:tcPr>
          <w:p>
            <w:r>
              <w:rPr/>
              <w:t>Norma municipal — el Manual puede ser más estricto, nunca por debajo del mínimo</w:t>
            </w:r>
          </w:p>
        </w:tc>
      </w:tr>
      <w:tr>
        <w:tc>
          <w:tcPr>
            <w:tcW w:type="dxa" w:w="4844"/>
          </w:tcPr>
          <w:p>
            <w:r>
              <w:rPr/>
              <w:t>Imagen urbana, colores, materiales de fachada</w:t>
            </w:r>
          </w:p>
        </w:tc>
        <w:tc>
          <w:tcPr>
            <w:tcW w:type="dxa" w:w="4844"/>
          </w:tcPr>
          <w:p>
            <w:r>
              <w:rPr/>
              <w:t>Manual del condominio, siempre que no viole el uso de suelo aprobado</w:t>
            </w:r>
          </w:p>
        </w:tc>
      </w:tr>
      <w:tr>
        <w:tc>
          <w:tcPr>
            <w:tcW w:type="dxa" w:w="4844"/>
          </w:tcPr>
          <w:p>
            <w:r>
              <w:rPr/>
              <w:t>Uso de suelo y destino del inmueble</w:t>
            </w:r>
          </w:p>
        </w:tc>
        <w:tc>
          <w:tcPr>
            <w:tcW w:type="dxa" w:w="4844"/>
          </w:tcPr>
          <w:p>
            <w:r>
              <w:rPr/>
              <w:t>Normativa municipal — el Manual no puede autorizar usos no permitidos en la zonificación</w:t>
            </w:r>
          </w:p>
        </w:tc>
      </w:tr>
      <w:tr>
        <w:tc>
          <w:tcPr>
            <w:tcW w:type="dxa" w:w="4844"/>
          </w:tcPr>
          <w:p>
            <w:r>
              <w:rPr/>
              <w:t>Permisos de construcción</w:t>
            </w:r>
          </w:p>
        </w:tc>
        <w:tc>
          <w:tcPr>
            <w:tcW w:type="dxa" w:w="4844"/>
          </w:tcPr>
          <w:p>
            <w:r>
              <w:rPr/>
              <w:t>Complementarios — el Manual no los sustituye</w:t>
            </w:r>
          </w:p>
        </w:tc>
      </w:tr>
    </w:tbl>
    <w:p>
      <w:pPr>
        <w:spacing w:after="160"/>
      </w:pPr>
      <w:r>
        <w:rPr/>
        <w:t xml:space="preserve">El Consejo mantendrá una </w:t>
      </w:r>
      <w:r>
        <w:rPr>
          <w:b/>
        </w:rPr>
        <w:t>tabla de referencia actualizable</w:t>
      </w:r>
      <w:r>
        <w:rPr/>
        <w:t xml:space="preserve"> de los principales parámetros del Reglamento Municipal aplicables al fraccionamiento.</w:t>
      </w:r>
    </w:p>
    <w:p>
      <w:pPr>
        <w:spacing w:after="160"/>
      </w:pPr>
      <w:r>
        <w:rPr/>
      </w:r>
      <w:r>
        <w:rPr>
          <w:b/>
        </w:rPr>
        <w:t>Caso A — El Manual como referencia antes de comprar la pintura</w:t>
      </w:r>
      <w:r>
        <w:rPr/>
      </w:r>
    </w:p>
    <w:p>
      <w:pPr>
        <w:spacing w:after="160"/>
      </w:pPr>
      <w:r>
        <w:rPr/>
      </w:r>
      <w:r>
        <w:rPr>
          <w:b/>
        </w:rPr>
        <w:t>Situación →</w:t>
      </w:r>
      <w:r>
        <w:rPr/>
        <w:t xml:space="preserve"> Un propietario quiere repintar su fachada. Antes de ir a la ferretería quiere saber si el color que eligió será aprobado.</w:t>
      </w:r>
    </w:p>
    <w:p>
      <w:pPr>
        <w:spacing w:after="160"/>
      </w:pPr>
      <w:r>
        <w:rPr/>
      </w:r>
      <w:r>
        <w:rPr>
          <w:b/>
        </w:rPr>
        <w:t>Acción →</w:t>
      </w:r>
      <w:r>
        <w:rPr/>
        <w:t xml:space="preserve"> Consulta la Paleta de Colores del Manual: encuentra el código exacto en dos marcas disponibles en SLP, junto con las combinaciones permitidas para el tono de contraste. Lleva el código a la tienda y compra la pintura correcta.</w:t>
      </w:r>
    </w:p>
    <w:p>
      <w:pPr>
        <w:spacing w:after="160"/>
      </w:pPr>
      <w:r>
        <w:rPr/>
      </w:r>
      <w:r>
        <w:rPr>
          <w:b/>
        </w:rPr>
        <w:t>Resultado →</w:t>
      </w:r>
      <w:r>
        <w:rPr/>
        <w:t xml:space="preserve"> No hay sorpresas al solicitar aprobación. El propietario ya sabe que cumple antes de gastar. El Consejo aprueba con referencia directa al Manual. La fachada queda integrada al conjunto.</w:t>
      </w:r>
    </w:p>
    <w:p>
      <w:pPr>
        <w:spacing w:after="160"/>
      </w:pPr>
      <w:r>
        <w:rPr/>
      </w:r>
      <w:r>
        <w:rPr>
          <w:b/>
        </w:rPr>
        <w:t>Caso B — Material descontinuado: la cláusula de equivalentes</w:t>
      </w:r>
      <w:r>
        <w:rPr/>
      </w:r>
    </w:p>
    <w:p>
      <w:pPr>
        <w:spacing w:after="160"/>
      </w:pPr>
      <w:r>
        <w:rPr/>
      </w:r>
      <w:r>
        <w:rPr>
          <w:b/>
        </w:rPr>
        <w:t>Situación →</w:t>
      </w:r>
      <w:r>
        <w:rPr/>
        <w:t xml:space="preserve"> Un propietario necesita reponer el vitropiso del acceso de su casa. El material original del proyecto ya no está disponible en el mercado.</w:t>
      </w:r>
    </w:p>
    <w:p>
      <w:pPr>
        <w:spacing w:after="160"/>
      </w:pPr>
      <w:r>
        <w:rPr/>
      </w:r>
      <w:r>
        <w:rPr>
          <w:b/>
        </w:rPr>
        <w:t>Acción →</w:t>
      </w:r>
      <w:r>
        <w:rPr/>
        <w:t xml:space="preserve"> Propone al Consejo un material equivalente con muestra física, especificaciones de textura, color y dimensiones. El Consejo evalúa y emite resolución escrita en 5 días hábiles aceptando el equivalente.</w:t>
      </w:r>
    </w:p>
    <w:p>
      <w:pPr>
        <w:spacing w:after="160"/>
      </w:pPr>
      <w:r>
        <w:rPr/>
      </w:r>
      <w:r>
        <w:rPr>
          <w:b/>
        </w:rPr>
        <w:t>Resultado →</w:t>
      </w:r>
      <w:r>
        <w:rPr/>
        <w:t xml:space="preserve"> El propietario puede hacer la obra sin quedar atrapado por un material que nadie vende. El equivalente aprobado se incorpora al Manual en su siguiente actualización, beneficiando a cualquier otro propietario en la misma situación.</w:t>
      </w:r>
    </w:p>
    <w:p>
      <w:pPr>
        <w:pBdr>
          <w:bottom w:val="single" w:sz="6" w:space="1" w:color="E2E8F0"/>
        </w:pBdr>
      </w:pPr>
    </w:p>
    <w:p>
      <w:pPr>
        <w:pStyle w:val="Heading2"/>
        <w:spacing w:before="360" w:after="180"/>
      </w:pPr>
      <w:r>
        <w:rPr>
          <w:b/>
          <w:color w:val="1B2C3E"/>
          <w:sz w:val="36"/>
        </w:rPr>
        <w:t>7. Situaciones preexistentes</w:t>
      </w:r>
    </w:p>
    <w:p>
      <w:pPr>
        <w:spacing w:after="160"/>
      </w:pPr>
      <w:r>
        <w:rPr/>
        <w:t>Esta sección aplica a quienes ya realizaron modificaciones antes de que existiera un proceso formal. Hay tres mecanismos según la situación de cada quien.</w:t>
      </w:r>
    </w:p>
    <w:p>
      <w:pPr>
        <w:pBdr>
          <w:left w:val="single" w:sz="20" w:space="8" w:color="DD6B20"/>
        </w:pBdr>
        <w:shd w:val="clear" w:color="auto" w:fill="FFF3E0"/>
      </w:pPr>
      <w:r>
        <w:rPr>
          <w:b/>
        </w:rPr>
        <w:t xml:space="preserve">  IMPORTANTE</w:t>
      </w:r>
    </w:p>
    <w:p>
      <w:pPr>
        <w:pBdr>
          <w:left w:val="single" w:sz="20" w:space="8" w:color="DD6B20"/>
        </w:pBdr>
        <w:shd w:val="clear" w:color="auto" w:fill="FFF3E0"/>
      </w:pPr>
      <w:r>
        <w:rPr/>
      </w:r>
      <w:r>
        <w:rPr>
          <w:b/>
        </w:rPr>
        <w:t>Si construiste antes de que existiera un proceso formal en Solé, no eres un infractor.</w:t>
      </w:r>
      <w:r>
        <w:rPr/>
      </w:r>
    </w:p>
    <w:p>
      <w:pPr>
        <w:pBdr>
          <w:left w:val="single" w:sz="20" w:space="8" w:color="DD6B20"/>
        </w:pBdr>
        <w:shd w:val="clear" w:color="auto" w:fill="FFF3E0"/>
      </w:pPr>
      <w:r>
        <w:rPr/>
        <w:t xml:space="preserve">El sistema distingue entre quien evadió un proceso que existía y quien construyó cuando ningún proceso había. Para el segundo caso existe el </w:t>
      </w:r>
      <w:r>
        <w:rPr>
          <w:b/>
        </w:rPr>
        <w:t>Mecanismo B — Reconocimiento</w:t>
      </w:r>
      <w:r>
        <w:rPr/>
        <w:t>: si tu obra cumple visualmente con los criterios del Manual, queda certificada sin multa y sin costo de regularización. No se te puede exigir cumplir una regla que no existía cuando actuaste.</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r>
              <w:rPr>
                <w:b/>
              </w:rPr>
              <w:t>Mecanismo</w:t>
            </w:r>
          </w:p>
        </w:tc>
        <w:tc>
          <w:tcPr>
            <w:tcW w:type="dxa" w:w="2422"/>
          </w:tcPr>
          <w:p>
            <w:r>
              <w:rPr>
                <w:b/>
              </w:rPr>
              <w:t>Cuándo aplica</w:t>
            </w:r>
          </w:p>
        </w:tc>
        <w:tc>
          <w:tcPr>
            <w:tcW w:type="dxa" w:w="2422"/>
          </w:tcPr>
          <w:p>
            <w:r>
              <w:rPr>
                <w:b/>
              </w:rPr>
              <w:t>Costo</w:t>
            </w:r>
          </w:p>
        </w:tc>
        <w:tc>
          <w:tcPr>
            <w:tcW w:type="dxa" w:w="2422"/>
          </w:tcPr>
          <w:p>
            <w:r>
              <w:rPr>
                <w:b/>
              </w:rPr>
              <w:t>Condición</w:t>
            </w:r>
          </w:p>
        </w:tc>
      </w:tr>
      <w:tr>
        <w:tc>
          <w:tcPr>
            <w:tcW w:type="dxa" w:w="2422"/>
          </w:tcPr>
          <w:p>
            <w:r>
              <w:rPr/>
            </w:r>
            <w:r>
              <w:rPr>
                <w:b/>
              </w:rPr>
              <w:t>A — Amnistía</w:t>
            </w:r>
            <w:r>
              <w:rPr/>
              <w:t xml:space="preserve"> (90 días)</w:t>
            </w:r>
          </w:p>
        </w:tc>
        <w:tc>
          <w:tcPr>
            <w:tcW w:type="dxa" w:w="2422"/>
          </w:tcPr>
          <w:p>
            <w:r>
              <w:rPr/>
              <w:t>Obra realizada cuando ya existía el proceso y no se siguió</w:t>
            </w:r>
          </w:p>
        </w:tc>
        <w:tc>
          <w:tcPr>
            <w:tcW w:type="dxa" w:w="2422"/>
          </w:tcPr>
          <w:p>
            <w:r>
              <w:rPr/>
            </w:r>
            <w:r>
              <w:rPr>
                <w:b/>
              </w:rPr>
              <w:t>50% de descuento</w:t>
            </w:r>
            <w:r>
              <w:rPr/>
              <w:t xml:space="preserve"> sobre la tarifa normal de regularización</w:t>
            </w:r>
          </w:p>
        </w:tc>
        <w:tc>
          <w:tcPr>
            <w:tcW w:type="dxa" w:w="2422"/>
          </w:tcPr>
          <w:p>
            <w:r>
              <w:rPr/>
              <w:t>La obra debe cumplir con los criterios del Manual</w:t>
            </w:r>
          </w:p>
        </w:tc>
      </w:tr>
      <w:tr>
        <w:tc>
          <w:tcPr>
            <w:tcW w:type="dxa" w:w="2422"/>
          </w:tcPr>
          <w:p>
            <w:r>
              <w:rPr/>
            </w:r>
            <w:r>
              <w:rPr>
                <w:b/>
              </w:rPr>
              <w:t>B — Reconocimiento</w:t>
            </w:r>
            <w:r>
              <w:rPr/>
              <w:t xml:space="preserve"> (sin multa)</w:t>
            </w:r>
          </w:p>
        </w:tc>
        <w:tc>
          <w:tcPr>
            <w:tcW w:type="dxa" w:w="2422"/>
          </w:tcPr>
          <w:p>
            <w:r>
              <w:rPr/>
              <w:t xml:space="preserve">Obra realizada cuando </w:t>
            </w:r>
            <w:r>
              <w:rPr>
                <w:b/>
              </w:rPr>
              <w:t>no existía ningún proceso formal</w:t>
            </w:r>
            <w:r>
              <w:rPr/>
            </w:r>
          </w:p>
        </w:tc>
        <w:tc>
          <w:tcPr>
            <w:tcW w:type="dxa" w:w="2422"/>
          </w:tcPr>
          <w:p>
            <w:r>
              <w:rPr/>
              <w:t>Sin multa si cumple el Manual</w:t>
            </w:r>
          </w:p>
        </w:tc>
        <w:tc>
          <w:tcPr>
            <w:tcW w:type="dxa" w:w="2422"/>
          </w:tcPr>
          <w:p>
            <w:r>
              <w:rPr/>
              <w:t>El condómino no podía cumplir un proceso que no existía</w:t>
            </w:r>
          </w:p>
        </w:tc>
      </w:tr>
      <w:tr>
        <w:tc>
          <w:tcPr>
            <w:tcW w:type="dxa" w:w="2422"/>
          </w:tcPr>
          <w:p>
            <w:r>
              <w:rPr/>
            </w:r>
            <w:r>
              <w:rPr>
                <w:b/>
              </w:rPr>
              <w:t>C — Comprador de buena fe</w:t>
            </w:r>
            <w:r>
              <w:rPr/>
            </w:r>
          </w:p>
        </w:tc>
        <w:tc>
          <w:tcPr>
            <w:tcW w:type="dxa" w:w="2422"/>
          </w:tcPr>
          <w:p>
            <w:r>
              <w:rPr/>
              <w:t>Compró la casa con obras ya hechas por el dueño anterior</w:t>
            </w:r>
          </w:p>
        </w:tc>
        <w:tc>
          <w:tcPr>
            <w:tcW w:type="dxa" w:w="2422"/>
          </w:tcPr>
          <w:p>
            <w:r>
              <w:rPr/>
              <w:t>Sin multa al comprador actual</w:t>
            </w:r>
          </w:p>
        </w:tc>
        <w:tc>
          <w:tcPr>
            <w:tcW w:type="dxa" w:w="2422"/>
          </w:tcPr>
          <w:p>
            <w:r>
              <w:rPr/>
              <w:t>La responsabilidad recae en el expediente del lote, no en el comprador</w:t>
            </w:r>
          </w:p>
        </w:tc>
      </w:tr>
    </w:tbl>
    <w:p>
      <w:pPr>
        <w:pStyle w:val="Heading3"/>
        <w:spacing w:before="300" w:after="120"/>
      </w:pPr>
      <w:r>
        <w:rPr>
          <w:b/>
          <w:color w:val="3D5168"/>
          <w:sz w:val="28"/>
        </w:rPr>
        <w:t>7.1 Ejemplo numérico: cuarto adicional en azotea ($150,000 de obra)</w:t>
      </w:r>
    </w:p>
    <w:p>
      <w:pPr>
        <w:spacing w:after="160"/>
      </w:pPr>
      <w:r>
        <w:rPr/>
        <w:t xml:space="preserve">El costo de regularización incluye tres conceptos independientes. Las multas del Catálogo de Multas se expresan en </w:t>
      </w:r>
      <w:r>
        <w:rPr>
          <w:b/>
        </w:rPr>
        <w:t>UMAs</w:t>
      </w:r>
      <w:r>
        <w:rPr/>
        <w:t xml:space="preserve"> (Unidades de Medida y Actualización, valor 2026: $117.31 MXN diarios) para que se actualicen automáticamente con la inflación cada año.</w:t>
      </w:r>
    </w:p>
    <w:tbl>
      <w:tblPr>
        <w:tblStyle w:val="TableGrid"/>
        <w:tblW w:type="auto" w:w="0"/>
        <w:tblLook w:firstColumn="1" w:firstRow="1" w:lastColumn="0" w:lastRow="0" w:noHBand="0" w:noVBand="1" w:val="04A0"/>
      </w:tblPr>
      <w:tblGrid>
        <w:gridCol w:w="3230"/>
        <w:gridCol w:w="3230"/>
        <w:gridCol w:w="3230"/>
      </w:tblGrid>
      <w:tr>
        <w:tc>
          <w:tcPr>
            <w:tcW w:type="dxa" w:w="3230"/>
          </w:tcPr>
          <w:p>
            <w:r>
              <w:rPr>
                <w:b/>
              </w:rPr>
              <w:t>Concepto</w:t>
            </w:r>
          </w:p>
        </w:tc>
        <w:tc>
          <w:tcPr>
            <w:tcW w:type="dxa" w:w="3230"/>
          </w:tcPr>
          <w:p>
            <w:r>
              <w:rPr>
                <w:b/>
              </w:rPr>
              <w:t>Tarifa normal</w:t>
            </w:r>
          </w:p>
        </w:tc>
        <w:tc>
          <w:tcPr>
            <w:tcW w:type="dxa" w:w="3230"/>
          </w:tcPr>
          <w:p>
            <w:r>
              <w:rPr>
                <w:b/>
              </w:rPr>
              <w:t>Con amnistía (50% desc.)</w:t>
            </w:r>
          </w:p>
        </w:tc>
      </w:tr>
      <w:tr>
        <w:tc>
          <w:tcPr>
            <w:tcW w:type="dxa" w:w="3230"/>
          </w:tcPr>
          <w:p>
            <w:r>
              <w:rPr/>
              <w:t>Multa del Catálogo por inicio sin autorización (88 UMAs)</w:t>
            </w:r>
          </w:p>
        </w:tc>
        <w:tc>
          <w:tcPr>
            <w:tcW w:type="dxa" w:w="3230"/>
          </w:tcPr>
          <w:p>
            <w:r>
              <w:rPr/>
              <w:t>~$10,323 MXN</w:t>
            </w:r>
          </w:p>
        </w:tc>
        <w:tc>
          <w:tcPr>
            <w:tcW w:type="dxa" w:w="3230"/>
          </w:tcPr>
          <w:p>
            <w:r>
              <w:rPr/>
              <w:t>~$5,162 MXN</w:t>
            </w:r>
          </w:p>
        </w:tc>
      </w:tr>
      <w:tr>
        <w:tc>
          <w:tcPr>
            <w:tcW w:type="dxa" w:w="3230"/>
          </w:tcPr>
          <w:p>
            <w:r>
              <w:rPr/>
              <w:t>Cuota de revisión (Artículo C)</w:t>
            </w:r>
          </w:p>
        </w:tc>
        <w:tc>
          <w:tcPr>
            <w:tcW w:type="dxa" w:w="3230"/>
          </w:tcPr>
          <w:p>
            <w:r>
              <w:rPr/>
              <w:t>$1,500 MXN</w:t>
            </w:r>
          </w:p>
        </w:tc>
        <w:tc>
          <w:tcPr>
            <w:tcW w:type="dxa" w:w="3230"/>
          </w:tcPr>
          <w:p>
            <w:r>
              <w:rPr/>
              <w:t>$1,500 MXN</w:t>
            </w:r>
          </w:p>
        </w:tc>
      </w:tr>
      <w:tr>
        <w:tc>
          <w:tcPr>
            <w:tcW w:type="dxa" w:w="3230"/>
          </w:tcPr>
          <w:p>
            <w:r>
              <w:rPr/>
              <w:t>Depósito en garantía (15% del presupuesto)</w:t>
            </w:r>
          </w:p>
        </w:tc>
        <w:tc>
          <w:tcPr>
            <w:tcW w:type="dxa" w:w="3230"/>
          </w:tcPr>
          <w:p>
            <w:r>
              <w:rPr/>
              <w:t>$22,500 MXN</w:t>
            </w:r>
          </w:p>
        </w:tc>
        <w:tc>
          <w:tcPr>
            <w:tcW w:type="dxa" w:w="3230"/>
          </w:tcPr>
          <w:p>
            <w:r>
              <w:rPr/>
              <w:t>$22,500 MXN</w:t>
            </w:r>
          </w:p>
        </w:tc>
      </w:tr>
      <w:tr>
        <w:tc>
          <w:tcPr>
            <w:tcW w:type="dxa" w:w="3230"/>
          </w:tcPr>
          <w:p>
            <w:r>
              <w:rPr/>
              <w:t>Multa de regularización (doble del depósito)</w:t>
            </w:r>
          </w:p>
        </w:tc>
        <w:tc>
          <w:tcPr>
            <w:tcW w:type="dxa" w:w="3230"/>
          </w:tcPr>
          <w:p>
            <w:r>
              <w:rPr/>
              <w:t>$45,000 MXN</w:t>
            </w:r>
          </w:p>
        </w:tc>
        <w:tc>
          <w:tcPr>
            <w:tcW w:type="dxa" w:w="3230"/>
          </w:tcPr>
          <w:p>
            <w:r>
              <w:rPr/>
              <w:t>$22,500 MXN</w:t>
            </w:r>
          </w:p>
        </w:tc>
      </w:tr>
      <w:tr>
        <w:tc>
          <w:tcPr>
            <w:tcW w:type="dxa" w:w="3230"/>
          </w:tcPr>
          <w:p>
            <w:r>
              <w:rPr/>
            </w:r>
            <w:r>
              <w:rPr>
                <w:b/>
              </w:rPr>
              <w:t>Total estimado</w:t>
            </w:r>
            <w:r>
              <w:rPr/>
            </w:r>
          </w:p>
        </w:tc>
        <w:tc>
          <w:tcPr>
            <w:tcW w:type="dxa" w:w="3230"/>
          </w:tcPr>
          <w:p>
            <w:r>
              <w:rPr/>
            </w:r>
            <w:r>
              <w:rPr>
                <w:b/>
              </w:rPr>
              <w:t>~$79,323 MXN</w:t>
            </w:r>
            <w:r>
              <w:rPr/>
            </w:r>
          </w:p>
        </w:tc>
        <w:tc>
          <w:tcPr>
            <w:tcW w:type="dxa" w:w="3230"/>
          </w:tcPr>
          <w:p>
            <w:r>
              <w:rPr/>
            </w:r>
            <w:r>
              <w:rPr>
                <w:b/>
              </w:rPr>
              <w:t>~$51,662 MXN</w:t>
            </w:r>
            <w:r>
              <w:rPr/>
            </w:r>
          </w:p>
        </w:tc>
      </w:tr>
    </w:tbl>
    <w:p>
      <w:pPr>
        <w:pBdr>
          <w:left w:val="single" w:sz="20" w:space="8" w:color="D69E2E"/>
        </w:pBdr>
        <w:shd w:val="clear" w:color="auto" w:fill="FFFBEB"/>
      </w:pPr>
      <w:r>
        <w:rPr>
          <w:b/>
        </w:rPr>
        <w:t xml:space="preserve">  ADVERTENCIA</w:t>
      </w:r>
    </w:p>
    <w:p>
      <w:pPr>
        <w:pBdr>
          <w:left w:val="single" w:sz="20" w:space="8" w:color="D69E2E"/>
        </w:pBdr>
        <w:shd w:val="clear" w:color="auto" w:fill="FFFBEB"/>
      </w:pPr>
      <w:r>
        <w:rPr/>
      </w:r>
      <w:r>
        <w:rPr>
          <w:b/>
        </w:rPr>
        <w:t>Pasados los 90 días de amnistía</w:t>
      </w:r>
      <w:r>
        <w:rPr/>
        <w:t>, la multa del Catálogo y la multa de regularización aplican sin descuento. El ahorro por actuar durante el período de amnistía en este ejemplo es de aproximadamente $27,661 MXN.</w:t>
      </w:r>
    </w:p>
    <w:p>
      <w:pPr>
        <w:pStyle w:val="Heading3"/>
        <w:spacing w:before="300" w:after="120"/>
      </w:pPr>
      <w:r>
        <w:rPr>
          <w:b/>
          <w:color w:val="3D5168"/>
          <w:sz w:val="28"/>
        </w:rPr>
        <w:t>7.2 Constancia de Estado de Modificaciones — cuándo entra en vigor</w:t>
      </w:r>
    </w:p>
    <w:p>
      <w:pPr>
        <w:spacing w:after="160"/>
      </w:pPr>
      <w:r>
        <w:rPr/>
        <w:t xml:space="preserve">La Constancia </w:t>
      </w:r>
      <w:r>
        <w:rPr>
          <w:b/>
        </w:rPr>
        <w:t>no es exigible en compraventas</w:t>
      </w:r>
      <w:r>
        <w:rPr/>
        <w:t xml:space="preserve"> hasta el </w:t>
      </w:r>
      <w:r>
        <w:rPr>
          <w:b/>
        </w:rPr>
        <w:t>día 91 tras el cierre del período de amnistía</w:t>
      </w:r>
      <w:r>
        <w:rPr/>
        <w:t>. Activarla antes generaría que muchas propiedades aparezcan con documentación incompleta precisamente cuando el sistema busca mejorar la imagen del fraccionamiento. Al día 91, la mayoría de las situaciones preexistentes ya han sido atendidas.</w:t>
      </w:r>
    </w:p>
    <w:p>
      <w:pPr>
        <w:spacing w:after="160"/>
      </w:pPr>
      <w:r>
        <w:rPr/>
      </w:r>
      <w:r>
        <w:rPr>
          <w:b/>
        </w:rPr>
        <w:t>Caso A — Amnistía:</w:t>
      </w:r>
      <w:r>
        <w:rPr/>
        <w:t xml:space="preserve"> Un propietario regulariza una ampliación con descuento</w:t>
      </w:r>
    </w:p>
    <w:p>
      <w:pPr>
        <w:spacing w:after="160"/>
      </w:pPr>
      <w:r>
        <w:rPr/>
      </w:r>
      <w:r>
        <w:rPr>
          <w:b/>
        </w:rPr>
        <w:t>Situación →</w:t>
      </w:r>
      <w:r>
        <w:rPr/>
        <w:t xml:space="preserve"> Un propietario construyó un cuarto de servicio en su patio hace dos años cuando ya existía el Reglamento pero no había un proceso formal claro. La obra cumple visualmente con el estilo del fraccionamiento pero no tiene documentación.</w:t>
      </w:r>
    </w:p>
    <w:p>
      <w:pPr>
        <w:spacing w:after="160"/>
      </w:pPr>
      <w:r>
        <w:rPr/>
      </w:r>
      <w:r>
        <w:rPr>
          <w:b/>
        </w:rPr>
        <w:t>Acción →</w:t>
      </w:r>
      <w:r>
        <w:rPr/>
        <w:t xml:space="preserve"> Durante los 90 días de amnistía, el propietario inicia el proceso de regularización voluntaria. Presenta planos, descripción de acabados y paga la tarifa con el 50% de descuento aplicable al período.</w:t>
      </w:r>
    </w:p>
    <w:p>
      <w:pPr>
        <w:spacing w:after="160"/>
      </w:pPr>
      <w:r>
        <w:rPr/>
      </w:r>
      <w:r>
        <w:rPr>
          <w:b/>
        </w:rPr>
        <w:t>Resultado →</w:t>
      </w:r>
      <w:r>
        <w:rPr/>
        <w:t xml:space="preserve"> La obra queda registrada como autorizada en el Registro del lote. El propietario evita la tarifa completa, tiene respaldo documental para cuando venda, y contribuye a que el sistema arranque con el historial más completo posible.</w:t>
      </w:r>
    </w:p>
    <w:p>
      <w:pPr>
        <w:spacing w:after="160"/>
      </w:pPr>
      <w:r>
        <w:rPr/>
      </w:r>
      <w:r>
        <w:rPr>
          <w:b/>
        </w:rPr>
        <w:t>Caso B — Comprador de buena fe:</w:t>
      </w:r>
      <w:r>
        <w:rPr/>
        <w:t xml:space="preserve"> Obras del dueño anterior no recaen sobre el nuevo propietario</w:t>
      </w:r>
    </w:p>
    <w:p>
      <w:pPr>
        <w:spacing w:after="160"/>
      </w:pPr>
      <w:r>
        <w:rPr/>
      </w:r>
      <w:r>
        <w:rPr>
          <w:b/>
        </w:rPr>
        <w:t>Situación →</w:t>
      </w:r>
      <w:r>
        <w:rPr/>
        <w:t xml:space="preserve"> Un propietario compra una casa en Solé. Meses después de escriturar, al activarse el sistema, el inventario inicial detecta que el dueño anterior construyó una terraza sin autorización.</w:t>
      </w:r>
    </w:p>
    <w:p>
      <w:pPr>
        <w:spacing w:after="160"/>
      </w:pPr>
      <w:r>
        <w:rPr/>
      </w:r>
      <w:r>
        <w:rPr>
          <w:b/>
        </w:rPr>
        <w:t>Acción →</w:t>
      </w:r>
      <w:r>
        <w:rPr/>
        <w:t xml:space="preserve"> El sistema aplica el mecanismo C: comprador de buena fe. La responsabilidad recae en el expediente histórico del lote, no en el propietario actual. No se le aplica multa ni obligación de restitución al nuevo dueño.</w:t>
      </w:r>
    </w:p>
    <w:p>
      <w:pPr>
        <w:spacing w:after="160"/>
      </w:pPr>
      <w:r>
        <w:rPr/>
      </w:r>
      <w:r>
        <w:rPr>
          <w:b/>
        </w:rPr>
        <w:t>Resultado →</w:t>
      </w:r>
      <w:r>
        <w:rPr/>
        <w:t xml:space="preserve"> El comprador queda protegido. La situación queda registrada en el expediente del lote para que el próximo comprador la conozca. Este es precisamente el argumento a favor de la Constancia: que lo que no se documentó hoy no se le cobre a alguien que no tuvo nada que ver.</w:t>
      </w:r>
    </w:p>
    <w:p>
      <w:pPr>
        <w:pBdr>
          <w:bottom w:val="single" w:sz="6" w:space="1" w:color="E2E8F0"/>
        </w:pBdr>
      </w:pPr>
    </w:p>
    <w:p>
      <w:pPr>
        <w:pBdr>
          <w:bottom w:val="single" w:sz="6" w:space="1" w:color="E2E8F0"/>
        </w:pBdr>
      </w:pPr>
    </w:p>
    <w:p>
      <w:pPr>
        <w:pStyle w:val="Heading2"/>
        <w:spacing w:before="360" w:after="180"/>
      </w:pPr>
      <w:r>
        <w:rPr>
          <w:b/>
          <w:color w:val="1B2C3E"/>
          <w:sz w:val="36"/>
        </w:rPr>
        <w:t>8. Implementación y operación</w:t>
      </w:r>
    </w:p>
    <w:p>
      <w:pPr>
        <w:pStyle w:val="Heading3"/>
        <w:spacing w:before="300" w:after="120"/>
      </w:pPr>
      <w:r>
        <w:rPr>
          <w:b/>
          <w:color w:val="3D5168"/>
          <w:sz w:val="28"/>
        </w:rPr>
        <w:t>8.1 Plan de implementación</w:t>
      </w:r>
    </w:p>
    <w:tbl>
      <w:tblPr>
        <w:tblStyle w:val="TableGrid"/>
        <w:tblW w:type="auto" w:w="0"/>
        <w:tblLook w:firstColumn="1" w:firstRow="1" w:lastColumn="0" w:lastRow="0" w:noHBand="0" w:noVBand="1" w:val="04A0"/>
      </w:tblPr>
      <w:tblGrid>
        <w:gridCol w:w="3230"/>
        <w:gridCol w:w="3230"/>
        <w:gridCol w:w="3230"/>
      </w:tblGrid>
      <w:tr>
        <w:tc>
          <w:tcPr>
            <w:tcW w:type="dxa" w:w="3230"/>
          </w:tcPr>
          <w:p>
            <w:r>
              <w:rPr>
                <w:b/>
              </w:rPr>
              <w:t>Etapa</w:t>
            </w:r>
          </w:p>
        </w:tc>
        <w:tc>
          <w:tcPr>
            <w:tcW w:type="dxa" w:w="3230"/>
          </w:tcPr>
          <w:p>
            <w:r>
              <w:rPr>
                <w:b/>
              </w:rPr>
              <w:t>Actividad</w:t>
            </w:r>
          </w:p>
        </w:tc>
        <w:tc>
          <w:tcPr>
            <w:tcW w:type="dxa" w:w="3230"/>
          </w:tcPr>
          <w:p>
            <w:r>
              <w:rPr>
                <w:b/>
              </w:rPr>
              <w:t>Quién lo inicia</w:t>
            </w:r>
          </w:p>
        </w:tc>
      </w:tr>
      <w:tr>
        <w:tc>
          <w:tcPr>
            <w:tcW w:type="dxa" w:w="3230"/>
          </w:tcPr>
          <w:p>
            <w:r>
              <w:rPr/>
            </w:r>
            <w:r>
              <w:rPr>
                <w:b/>
              </w:rPr>
              <w:t>0 — Esta semana</w:t>
            </w:r>
            <w:r>
              <w:rPr/>
            </w:r>
          </w:p>
        </w:tc>
        <w:tc>
          <w:tcPr>
            <w:tcW w:type="dxa" w:w="3230"/>
          </w:tcPr>
          <w:p>
            <w:r>
              <w:rPr/>
              <w:t>Solicitar carta cromática, especificación de acabados y planos de fachadas tipo a HABI y al Municipio</w:t>
            </w:r>
          </w:p>
        </w:tc>
        <w:tc>
          <w:tcPr>
            <w:tcW w:type="dxa" w:w="3230"/>
          </w:tcPr>
          <w:p>
            <w:r>
              <w:rPr/>
              <w:t>Cualquier condómino hoy mismo</w:t>
            </w:r>
          </w:p>
        </w:tc>
      </w:tr>
      <w:tr>
        <w:tc>
          <w:tcPr>
            <w:tcW w:type="dxa" w:w="3230"/>
          </w:tcPr>
          <w:p>
            <w:r>
              <w:rPr/>
            </w:r>
            <w:r>
              <w:rPr>
                <w:b/>
              </w:rPr>
              <w:t>1 — 30 a 60 días</w:t>
            </w:r>
            <w:r>
              <w:rPr/>
            </w:r>
          </w:p>
        </w:tc>
        <w:tc>
          <w:tcPr>
            <w:tcW w:type="dxa" w:w="3230"/>
          </w:tcPr>
          <w:p>
            <w:r>
              <w:rPr/>
              <w:t>Asamblea Extraordinaria: aprobar Arts. A, C, D y E; constituir el Consejo de Diseño; aprobar presupuesto del Manual</w:t>
            </w:r>
          </w:p>
        </w:tc>
        <w:tc>
          <w:tcPr>
            <w:tcW w:type="dxa" w:w="3230"/>
          </w:tcPr>
          <w:p>
            <w:r>
              <w:rPr/>
              <w:t>Asamblea Extraordinaria</w:t>
            </w:r>
          </w:p>
        </w:tc>
      </w:tr>
      <w:tr>
        <w:tc>
          <w:tcPr>
            <w:tcW w:type="dxa" w:w="3230"/>
          </w:tcPr>
          <w:p>
            <w:r>
              <w:rPr/>
            </w:r>
            <w:r>
              <w:rPr>
                <w:b/>
              </w:rPr>
              <w:t>2 — 30 a 180 días</w:t>
            </w:r>
            <w:r>
              <w:rPr/>
            </w:r>
          </w:p>
        </w:tc>
        <w:tc>
          <w:tcPr>
            <w:tcW w:type="dxa" w:w="3230"/>
          </w:tcPr>
          <w:p>
            <w:r>
              <w:rPr/>
              <w:t>El Consejo convoca sesiones de trabajo con condóminos para redactar el Manual con base en los planos originales</w:t>
            </w:r>
          </w:p>
        </w:tc>
        <w:tc>
          <w:tcPr>
            <w:tcW w:type="dxa" w:w="3230"/>
          </w:tcPr>
          <w:p>
            <w:r>
              <w:rPr/>
              <w:t>Consejo + Facilitador + Grupo de Trabajo plural</w:t>
            </w:r>
          </w:p>
        </w:tc>
      </w:tr>
      <w:tr>
        <w:tc>
          <w:tcPr>
            <w:tcW w:type="dxa" w:w="3230"/>
          </w:tcPr>
          <w:p>
            <w:r>
              <w:rPr/>
            </w:r>
            <w:r>
              <w:rPr>
                <w:b/>
              </w:rPr>
              <w:t>3 — 2a Asamblea</w:t>
            </w:r>
            <w:r>
              <w:rPr/>
            </w:r>
          </w:p>
        </w:tc>
        <w:tc>
          <w:tcPr>
            <w:tcW w:type="dxa" w:w="3230"/>
          </w:tcPr>
          <w:p>
            <w:r>
              <w:rPr/>
              <w:t>Aprobación del Manual como Anexo Técnico; sistema de tres pilares operativo</w:t>
            </w:r>
          </w:p>
        </w:tc>
        <w:tc>
          <w:tcPr>
            <w:tcW w:type="dxa" w:w="3230"/>
          </w:tcPr>
          <w:p>
            <w:r>
              <w:rPr/>
              <w:t>Asamblea Extraordinaria</w:t>
            </w:r>
          </w:p>
        </w:tc>
      </w:tr>
      <w:tr>
        <w:tc>
          <w:tcPr>
            <w:tcW w:type="dxa" w:w="3230"/>
          </w:tcPr>
          <w:p>
            <w:r>
              <w:rPr/>
            </w:r>
            <w:r>
              <w:rPr>
                <w:b/>
              </w:rPr>
              <w:t>4 — 90 días</w:t>
            </w:r>
            <w:r>
              <w:rPr/>
            </w:r>
          </w:p>
        </w:tc>
        <w:tc>
          <w:tcPr>
            <w:tcW w:type="dxa" w:w="3230"/>
          </w:tcPr>
          <w:p>
            <w:r>
              <w:rPr/>
              <w:t>Período de amnistía: regularización voluntaria con 50% de descuento</w:t>
            </w:r>
          </w:p>
        </w:tc>
        <w:tc>
          <w:tcPr>
            <w:tcW w:type="dxa" w:w="3230"/>
          </w:tcPr>
          <w:p>
            <w:r>
              <w:rPr/>
              <w:t>Incentivo para integración voluntaria</w:t>
            </w:r>
          </w:p>
        </w:tc>
      </w:tr>
      <w:tr>
        <w:tc>
          <w:tcPr>
            <w:tcW w:type="dxa" w:w="3230"/>
          </w:tcPr>
          <w:p>
            <w:r>
              <w:rPr/>
            </w:r>
            <w:r>
              <w:rPr>
                <w:b/>
              </w:rPr>
              <w:t>5 — Día 91 post-amnistía</w:t>
            </w:r>
            <w:r>
              <w:rPr/>
            </w:r>
          </w:p>
        </w:tc>
        <w:tc>
          <w:tcPr>
            <w:tcW w:type="dxa" w:w="3230"/>
          </w:tcPr>
          <w:p>
            <w:r>
              <w:rPr/>
              <w:t>La Constancia de Estado de Modificaciones entra en vigor para compraventas</w:t>
            </w:r>
          </w:p>
        </w:tc>
        <w:tc>
          <w:tcPr>
            <w:tcW w:type="dxa" w:w="3230"/>
          </w:tcPr>
          <w:p>
            <w:r>
              <w:rPr/>
              <w:t>Sistema en operación plena</w:t>
            </w:r>
          </w:p>
        </w:tc>
      </w:tr>
    </w:tbl>
    <w:p>
      <w:pPr>
        <w:pStyle w:val="Heading3"/>
        <w:spacing w:before="300" w:after="120"/>
      </w:pPr>
      <w:r>
        <w:rPr>
          <w:b/>
          <w:color w:val="3D5168"/>
          <w:sz w:val="28"/>
        </w:rPr>
        <w:t>8.2 Obtención de los planos originales — documentos a solicitar</w:t>
      </w:r>
    </w:p>
    <w:p>
      <w:pPr>
        <w:spacing w:after="160"/>
      </w:pPr>
      <w:r>
        <w:rPr/>
        <w:t>La solicitud debe ser específica, no el expediente completo.</w:t>
      </w:r>
    </w:p>
    <w:tbl>
      <w:tblPr>
        <w:tblStyle w:val="TableGrid"/>
        <w:tblW w:type="auto" w:w="0"/>
        <w:tblLook w:firstColumn="1" w:firstRow="1" w:lastColumn="0" w:lastRow="0" w:noHBand="0" w:noVBand="1" w:val="04A0"/>
      </w:tblPr>
      <w:tblGrid>
        <w:gridCol w:w="3230"/>
        <w:gridCol w:w="3230"/>
        <w:gridCol w:w="3230"/>
      </w:tblGrid>
      <w:tr>
        <w:tc>
          <w:tcPr>
            <w:tcW w:type="dxa" w:w="3230"/>
          </w:tcPr>
          <w:p>
            <w:r>
              <w:rPr>
                <w:b/>
              </w:rPr>
              <w:t>Documento</w:t>
            </w:r>
          </w:p>
        </w:tc>
        <w:tc>
          <w:tcPr>
            <w:tcW w:type="dxa" w:w="3230"/>
          </w:tcPr>
          <w:p>
            <w:r>
              <w:rPr>
                <w:b/>
              </w:rPr>
              <w:t>Contenido</w:t>
            </w:r>
          </w:p>
        </w:tc>
        <w:tc>
          <w:tcPr>
            <w:tcW w:type="dxa" w:w="3230"/>
          </w:tcPr>
          <w:p>
            <w:r>
              <w:rPr>
                <w:b/>
              </w:rPr>
              <w:t>Fuente</w:t>
            </w:r>
          </w:p>
        </w:tc>
      </w:tr>
      <w:tr>
        <w:tc>
          <w:tcPr>
            <w:tcW w:type="dxa" w:w="3230"/>
          </w:tcPr>
          <w:p>
            <w:r>
              <w:rPr/>
              <w:t>Carta cromática</w:t>
            </w:r>
          </w:p>
        </w:tc>
        <w:tc>
          <w:tcPr>
            <w:tcW w:type="dxa" w:w="3230"/>
          </w:tcPr>
          <w:p>
            <w:r>
              <w:rPr/>
              <w:t>Colores de fachada con codificación de los prototipos autorizados</w:t>
            </w:r>
          </w:p>
        </w:tc>
        <w:tc>
          <w:tcPr>
            <w:tcW w:type="dxa" w:w="3230"/>
          </w:tcPr>
          <w:p>
            <w:r>
              <w:rPr/>
              <w:t>HABI (fuente primaria) + verificación en Municipio</w:t>
            </w:r>
          </w:p>
        </w:tc>
      </w:tr>
      <w:tr>
        <w:tc>
          <w:tcPr>
            <w:tcW w:type="dxa" w:w="3230"/>
          </w:tcPr>
          <w:p>
            <w:r>
              <w:rPr/>
              <w:t>Especificación de acabados exteriores</w:t>
            </w:r>
          </w:p>
        </w:tc>
        <w:tc>
          <w:tcPr>
            <w:tcW w:type="dxa" w:w="3230"/>
          </w:tcPr>
          <w:p>
            <w:r>
              <w:rPr/>
              <w:t>Materiales, dimensiones, texturas y proveedores del proyecto original</w:t>
            </w:r>
          </w:p>
        </w:tc>
        <w:tc>
          <w:tcPr>
            <w:tcW w:type="dxa" w:w="3230"/>
          </w:tcPr>
          <w:p>
            <w:r>
              <w:rPr/>
              <w:t>HABI (fuente primaria)</w:t>
            </w:r>
          </w:p>
        </w:tc>
      </w:tr>
      <w:tr>
        <w:tc>
          <w:tcPr>
            <w:tcW w:type="dxa" w:w="3230"/>
          </w:tcPr>
          <w:p>
            <w:r>
              <w:rPr/>
              <w:t>Planos de fachadas tipo</w:t>
            </w:r>
          </w:p>
        </w:tc>
        <w:tc>
          <w:tcPr>
            <w:tcW w:type="dxa" w:w="3230"/>
          </w:tcPr>
          <w:p>
            <w:r>
              <w:rPr/>
              <w:t>Fachadas de los prototipos con proporciones y elementos arquitectónicos</w:t>
            </w:r>
          </w:p>
        </w:tc>
        <w:tc>
          <w:tcPr>
            <w:tcW w:type="dxa" w:w="3230"/>
          </w:tcPr>
          <w:p>
            <w:r>
              <w:rPr/>
              <w:t>HABI (fuente primaria) + Municipio</w:t>
            </w:r>
          </w:p>
        </w:tc>
      </w:tr>
    </w:tbl>
    <w:p>
      <w:pPr>
        <w:spacing w:after="160"/>
      </w:pPr>
      <w:r>
        <w:rPr/>
        <w:t>Pasos formales:</w:t>
      </w:r>
    </w:p>
    <w:p>
      <w:pPr>
        <w:pStyle w:val="ListNumber"/>
      </w:pPr>
      <w:r>
        <w:rPr/>
        <w:t xml:space="preserve">Solicitud a HABI con base en el </w:t>
      </w:r>
      <w:r>
        <w:rPr>
          <w:b/>
        </w:rPr>
        <w:t>Art. 86(g) del Reglamento</w:t>
      </w:r>
      <w:r>
        <w:rPr/>
        <w:t xml:space="preserve">, que encomienda al Administrador </w:t>
      </w:r>
      <w:r>
        <w:rPr>
          <w:i/>
        </w:rPr>
        <w:t>«recabar y conservar los libros y la documentación relacionada con EL CONDOMINIO»</w:t>
      </w:r>
    </w:p>
    <w:p>
      <w:pPr>
        <w:pStyle w:val="ListNumber"/>
      </w:pPr>
      <w:r>
        <w:rPr/>
        <w:t xml:space="preserve">Solicitud paralela a la Dirección de Desarrollo Urbano del Municipio de Soledad bajo la </w:t>
      </w:r>
      <w:r>
        <w:rPr>
          <w:b/>
        </w:rPr>
        <w:t>Ley de Transparencia del Estado de SLP</w:t>
      </w:r>
      <w:r>
        <w:rPr/>
        <w:t xml:space="preserve"> — plazo de respuesta: </w:t>
      </w:r>
      <w:r>
        <w:rPr>
          <w:b/>
        </w:rPr>
        <w:t>10 días hábiles</w:t>
      </w:r>
      <w:r>
        <w:rPr/>
      </w:r>
    </w:p>
    <w:p>
      <w:pPr>
        <w:ind w:left="720"/>
        <w:pBdr>
          <w:left w:val="single" w:sz="12" w:space="8" w:color="E2E8F0"/>
        </w:pBdr>
      </w:pPr>
      <w:r>
        <w:rPr/>
        <w:t>HABI es la fuente primaria; el Municipio sirve como verificación. El expediente municipal puede estar parcialmente incompleto en formatos digitales obsoletos.</w:t>
      </w:r>
    </w:p>
    <w:p>
      <w:pPr>
        <w:pStyle w:val="Heading3"/>
        <w:spacing w:before="300" w:after="120"/>
      </w:pPr>
      <w:r>
        <w:rPr>
          <w:b/>
          <w:color w:val="3D5168"/>
          <w:sz w:val="28"/>
        </w:rPr>
        <w:t>8.3 Continuidad del Registro entre administraciones</w:t>
      </w:r>
    </w:p>
    <w:p>
      <w:pPr>
        <w:spacing w:after="160"/>
      </w:pPr>
      <w:r>
        <w:rPr/>
        <w:t>El Registro de Modificaciones por lote es el activo documental más importante del sistema. Su pérdida al cambiar de Administrador es el riesgo operativo más alto. Tres medidas de protección:</w:t>
      </w:r>
    </w:p>
    <w:p>
      <w:pPr>
        <w:pStyle w:val="ListNumber"/>
      </w:pPr>
      <w:r>
        <w:rPr/>
      </w:r>
      <w:r>
        <w:rPr>
          <w:b/>
        </w:rPr>
        <w:t>Formato estandarizado obligatorio</w:t>
      </w:r>
      <w:r>
        <w:rPr/>
        <w:t xml:space="preserve"> en el Anexo Operativo — no en herramientas personales del Administrador</w:t>
      </w:r>
    </w:p>
    <w:p>
      <w:pPr>
        <w:pStyle w:val="ListNumber"/>
      </w:pPr>
      <w:r>
        <w:rPr/>
      </w:r>
      <w:r>
        <w:rPr>
          <w:b/>
        </w:rPr>
        <w:t>Protocolo de entrega-recepción</w:t>
      </w:r>
      <w:r>
        <w:rPr/>
        <w:t xml:space="preserve"> al cambiar de Administrador, con acta circunstanciada conforme al Art. 84 del Reglamento y verificación de integridad por el Comité de Vigilancia</w:t>
      </w:r>
    </w:p>
    <w:p>
      <w:pPr>
        <w:pStyle w:val="ListNumber"/>
      </w:pPr>
      <w:r>
        <w:rPr/>
      </w:r>
      <w:r>
        <w:rPr>
          <w:b/>
        </w:rPr>
        <w:t>Copia de seguridad</w:t>
      </w:r>
      <w:r>
        <w:rPr/>
        <w:t xml:space="preserve"> accesible para el Comité de Representantes, independientemente de quién administre</w:t>
      </w:r>
    </w:p>
    <w:p>
      <w:pPr>
        <w:pStyle w:val="Heading3"/>
        <w:spacing w:before="300" w:after="120"/>
      </w:pPr>
      <w:r>
        <w:rPr>
          <w:b/>
          <w:color w:val="3D5168"/>
          <w:sz w:val="28"/>
        </w:rPr>
        <w:t>8.4 Inventario inicial al activar el sistema</w:t>
      </w:r>
    </w:p>
    <w:p>
      <w:pPr>
        <w:spacing w:after="160"/>
      </w:pPr>
      <w:r>
        <w:rPr/>
        <w:t>Al activarse, el Administrador levanta un inventario inicial dividido en:</w:t>
      </w:r>
    </w:p>
    <w:p>
      <w:pPr>
        <w:pStyle w:val="ListBullet"/>
      </w:pPr>
      <w:r>
        <w:rPr/>
      </w:r>
      <w:r>
        <w:rPr>
          <w:b/>
        </w:rPr>
        <w:t>(a)</w:t>
      </w:r>
      <w:r>
        <w:rPr/>
        <w:t xml:space="preserve"> Obras bajo el proceso del Art. 123 del Reglamento → ingresan al Registro como </w:t>
      </w:r>
      <w:r>
        <w:rPr>
          <w:b/>
        </w:rPr>
        <w:t>autorizadas</w:t>
      </w:r>
      <w:r>
        <w:rPr/>
      </w:r>
    </w:p>
    <w:p>
      <w:pPr>
        <w:pStyle w:val="ListBullet"/>
      </w:pPr>
      <w:r>
        <w:rPr/>
      </w:r>
      <w:r>
        <w:rPr>
          <w:b/>
        </w:rPr>
        <w:t>(b)</w:t>
      </w:r>
      <w:r>
        <w:rPr/>
        <w:t xml:space="preserve"> Obras realizadas antes de que existiera proceso formal → quedan como </w:t>
      </w:r>
      <w:r>
        <w:rPr>
          <w:b/>
        </w:rPr>
        <w:t>pendientes de documentación</w:t>
      </w:r>
      <w:r>
        <w:rPr/>
        <w:t>, a atender con los mecanismos de la Sección 7</w:t>
      </w:r>
    </w:p>
    <w:p>
      <w:pPr>
        <w:pStyle w:val="Heading3"/>
        <w:spacing w:before="300" w:after="120"/>
      </w:pPr>
      <w:r>
        <w:rPr>
          <w:b/>
          <w:color w:val="3D5168"/>
          <w:sz w:val="28"/>
        </w:rPr>
        <w:t>8.5 ¿Quién paga el sistema?</w:t>
      </w:r>
    </w:p>
    <w:p>
      <w:pPr>
        <w:spacing w:after="160"/>
      </w:pPr>
      <w:r>
        <w:rPr/>
        <w:t>Una pregunta frecuente antes de votar a favor de cualquier propuesta es: ¿esto va a generar una cuota extraordinaria? La respuesta es no, y cada componente tiene su fuente identificada:</w:t>
      </w:r>
    </w:p>
    <w:tbl>
      <w:tblPr>
        <w:tblStyle w:val="TableGrid"/>
        <w:tblW w:type="auto" w:w="0"/>
        <w:tblLook w:firstColumn="1" w:firstRow="1" w:lastColumn="0" w:lastRow="0" w:noHBand="0" w:noVBand="1" w:val="04A0"/>
      </w:tblPr>
      <w:tblGrid>
        <w:gridCol w:w="3230"/>
        <w:gridCol w:w="3230"/>
        <w:gridCol w:w="3230"/>
      </w:tblGrid>
      <w:tr>
        <w:tc>
          <w:tcPr>
            <w:tcW w:type="dxa" w:w="3230"/>
          </w:tcPr>
          <w:p>
            <w:r>
              <w:rPr>
                <w:b/>
              </w:rPr>
              <w:t>Componente</w:t>
            </w:r>
          </w:p>
        </w:tc>
        <w:tc>
          <w:tcPr>
            <w:tcW w:type="dxa" w:w="3230"/>
          </w:tcPr>
          <w:p>
            <w:r>
              <w:rPr>
                <w:b/>
              </w:rPr>
              <w:t>Costo para los condóminos</w:t>
            </w:r>
          </w:p>
        </w:tc>
        <w:tc>
          <w:tcPr>
            <w:tcW w:type="dxa" w:w="3230"/>
          </w:tcPr>
          <w:p>
            <w:r>
              <w:rPr>
                <w:b/>
              </w:rPr>
              <w:t>Fuente de financiamiento</w:t>
            </w:r>
          </w:p>
        </w:tc>
      </w:tr>
      <w:tr>
        <w:tc>
          <w:tcPr>
            <w:tcW w:type="dxa" w:w="3230"/>
          </w:tcPr>
          <w:p>
            <w:r>
              <w:rPr/>
            </w:r>
            <w:r>
              <w:rPr>
                <w:b/>
              </w:rPr>
              <w:t>Consejo de Diseño</w:t>
            </w:r>
            <w:r>
              <w:rPr/>
            </w:r>
          </w:p>
        </w:tc>
        <w:tc>
          <w:tcPr>
            <w:tcW w:type="dxa" w:w="3230"/>
          </w:tcPr>
          <w:p>
            <w:r>
              <w:rPr/>
              <w:t>Sin costo — integrado por condóminos voluntarios elegidos en Asamblea</w:t>
            </w:r>
          </w:p>
        </w:tc>
        <w:tc>
          <w:tcPr>
            <w:tcW w:type="dxa" w:w="3230"/>
          </w:tcPr>
          <w:p>
            <w:r>
              <w:rPr/>
              <w:t>El trabajo del Consejo no genera honorarios; es parte del ejercicio de la propiedad en condominio</w:t>
            </w:r>
          </w:p>
        </w:tc>
      </w:tr>
      <w:tr>
        <w:tc>
          <w:tcPr>
            <w:tcW w:type="dxa" w:w="3230"/>
          </w:tcPr>
          <w:p>
            <w:r>
              <w:rPr/>
            </w:r>
            <w:r>
              <w:rPr>
                <w:b/>
              </w:rPr>
              <w:t>Elaboración del Manual</w:t>
            </w:r>
            <w:r>
              <w:rPr/>
            </w:r>
          </w:p>
        </w:tc>
        <w:tc>
          <w:tcPr>
            <w:tcW w:type="dxa" w:w="3230"/>
          </w:tcPr>
          <w:p>
            <w:r>
              <w:rPr/>
              <w:t>$0 a $43,000 MXN en total, una sola vez</w:t>
            </w:r>
          </w:p>
        </w:tc>
        <w:tc>
          <w:tcPr>
            <w:tcW w:type="dxa" w:w="3230"/>
          </w:tcPr>
          <w:p>
            <w:r>
              <w:rPr/>
              <w:t>Fondo de Mantenimiento existente, por Art. 63 del Reglamento — sin cuota extraordinaria</w:t>
            </w:r>
          </w:p>
        </w:tc>
      </w:tr>
      <w:tr>
        <w:tc>
          <w:tcPr>
            <w:tcW w:type="dxa" w:w="3230"/>
          </w:tcPr>
          <w:p>
            <w:r>
              <w:rPr/>
            </w:r>
            <w:r>
              <w:rPr>
                <w:b/>
              </w:rPr>
              <w:t>Operación del sistema</w:t>
            </w:r>
            <w:r>
              <w:rPr/>
            </w:r>
          </w:p>
        </w:tc>
        <w:tc>
          <w:tcPr>
            <w:tcW w:type="dxa" w:w="3230"/>
          </w:tcPr>
          <w:p>
            <w:r>
              <w:rPr/>
              <w:t>Sin costo adicional directo</w:t>
            </w:r>
          </w:p>
        </w:tc>
        <w:tc>
          <w:tcPr>
            <w:tcW w:type="dxa" w:w="3230"/>
          </w:tcPr>
          <w:p>
            <w:r>
              <w:rPr/>
              <w:t>Las cuotas de revisión ($1,500 por solicitud de Categorías II y III) cubren los costos administrativos del proceso</w:t>
            </w:r>
          </w:p>
        </w:tc>
      </w:tr>
      <w:tr>
        <w:tc>
          <w:tcPr>
            <w:tcW w:type="dxa" w:w="3230"/>
          </w:tcPr>
          <w:p>
            <w:r>
              <w:rPr/>
            </w:r>
            <w:r>
              <w:rPr>
                <w:b/>
              </w:rPr>
              <w:t>Ajuste al Administrador</w:t>
            </w:r>
            <w:r>
              <w:rPr/>
            </w:r>
          </w:p>
        </w:tc>
        <w:tc>
          <w:tcPr>
            <w:tcW w:type="dxa" w:w="3230"/>
          </w:tcPr>
          <w:p>
            <w:r>
              <w:rPr/>
              <w:t>Posible, si la carga lo justifica</w:t>
            </w:r>
          </w:p>
        </w:tc>
        <w:tc>
          <w:tcPr>
            <w:tcW w:type="dxa" w:w="3230"/>
          </w:tcPr>
          <w:p>
            <w:r>
              <w:rPr/>
              <w:t>A evaluar con el Comité de Representantes y aprobar en Asamblea — no es automático</w:t>
            </w:r>
          </w:p>
        </w:tc>
      </w:tr>
    </w:tbl>
    <w:p>
      <w:pPr>
        <w:ind w:left="720"/>
        <w:pBdr>
          <w:left w:val="single" w:sz="12" w:space="8" w:color="E2E8F0"/>
        </w:pBdr>
      </w:pPr>
      <w:r>
        <w:rPr/>
        <w:t>El único escenario que genera costo para todos los condóminos es si la carga operativa del Administrador requiere ajuste de honorarios. Eso se aprueba en Asamblea con toda la información, no está incluido en esta propuesta de manera automática.</w:t>
      </w:r>
    </w:p>
    <w:p>
      <w:pPr>
        <w:pStyle w:val="Heading3"/>
        <w:spacing w:before="300" w:after="120"/>
      </w:pPr>
      <w:r>
        <w:rPr>
          <w:b/>
          <w:color w:val="3D5168"/>
          <w:sz w:val="28"/>
        </w:rPr>
        <w:t>8.6 Carga operativa estimada para el Administrador</w:t>
      </w:r>
    </w:p>
    <w:tbl>
      <w:tblPr>
        <w:tblStyle w:val="TableGrid"/>
        <w:tblW w:type="auto" w:w="0"/>
        <w:tblLook w:firstColumn="1" w:firstRow="1" w:lastColumn="0" w:lastRow="0" w:noHBand="0" w:noVBand="1" w:val="04A0"/>
      </w:tblPr>
      <w:tblGrid>
        <w:gridCol w:w="4844"/>
        <w:gridCol w:w="4844"/>
      </w:tblGrid>
      <w:tr>
        <w:tc>
          <w:tcPr>
            <w:tcW w:type="dxa" w:w="4844"/>
          </w:tcPr>
          <w:p>
            <w:r>
              <w:rPr>
                <w:b/>
              </w:rPr>
              <w:t>Actividad</w:t>
            </w:r>
          </w:p>
        </w:tc>
        <w:tc>
          <w:tcPr>
            <w:tcW w:type="dxa" w:w="4844"/>
          </w:tcPr>
          <w:p>
            <w:r>
              <w:rPr>
                <w:b/>
              </w:rPr>
              <w:t>Tiempo estimado</w:t>
            </w:r>
          </w:p>
        </w:tc>
      </w:tr>
      <w:tr>
        <w:tc>
          <w:tcPr>
            <w:tcW w:type="dxa" w:w="4844"/>
          </w:tcPr>
          <w:p>
            <w:r>
              <w:rPr/>
              <w:t>Revisión y clasificación de solicitudes</w:t>
            </w:r>
          </w:p>
        </w:tc>
        <w:tc>
          <w:tcPr>
            <w:tcW w:type="dxa" w:w="4844"/>
          </w:tcPr>
          <w:p>
            <w:r>
              <w:rPr/>
              <w:t>2–3 h/semana en períodos activos</w:t>
            </w:r>
          </w:p>
        </w:tc>
      </w:tr>
      <w:tr>
        <w:tc>
          <w:tcPr>
            <w:tcW w:type="dxa" w:w="4844"/>
          </w:tcPr>
          <w:p>
            <w:r>
              <w:rPr/>
              <w:t>Mantenimiento del Registro</w:t>
            </w:r>
          </w:p>
        </w:tc>
        <w:tc>
          <w:tcPr>
            <w:tcW w:type="dxa" w:w="4844"/>
          </w:tcPr>
          <w:p>
            <w:r>
              <w:rPr/>
              <w:t>1 h/semana</w:t>
            </w:r>
          </w:p>
        </w:tc>
      </w:tr>
      <w:tr>
        <w:tc>
          <w:tcPr>
            <w:tcW w:type="dxa" w:w="4844"/>
          </w:tcPr>
          <w:p>
            <w:r>
              <w:rPr/>
              <w:t>Coordinación con el Consejo</w:t>
            </w:r>
          </w:p>
        </w:tc>
        <w:tc>
          <w:tcPr>
            <w:tcW w:type="dxa" w:w="4844"/>
          </w:tcPr>
          <w:p>
            <w:r>
              <w:rPr/>
              <w:t>1–2 h/semana</w:t>
            </w:r>
          </w:p>
        </w:tc>
      </w:tr>
      <w:tr>
        <w:tc>
          <w:tcPr>
            <w:tcW w:type="dxa" w:w="4844"/>
          </w:tcPr>
          <w:p>
            <w:r>
              <w:rPr/>
              <w:t>Expedición de Constancias</w:t>
            </w:r>
          </w:p>
        </w:tc>
        <w:tc>
          <w:tcPr>
            <w:tcW w:type="dxa" w:w="4844"/>
          </w:tcPr>
          <w:p>
            <w:r>
              <w:rPr/>
              <w:t>30 min por Constancia (máx. 5 días hábiles)</w:t>
            </w:r>
          </w:p>
        </w:tc>
      </w:tr>
      <w:tr>
        <w:tc>
          <w:tcPr>
            <w:tcW w:type="dxa" w:w="4844"/>
          </w:tcPr>
          <w:p>
            <w:r>
              <w:rPr/>
            </w:r>
            <w:r>
              <w:rPr>
                <w:b/>
              </w:rPr>
              <w:t>Total adicional estimado</w:t>
            </w:r>
            <w:r>
              <w:rPr/>
            </w:r>
          </w:p>
        </w:tc>
        <w:tc>
          <w:tcPr>
            <w:tcW w:type="dxa" w:w="4844"/>
          </w:tcPr>
          <w:p>
            <w:r>
              <w:rPr/>
            </w:r>
            <w:r>
              <w:rPr>
                <w:b/>
              </w:rPr>
              <w:t>4–8 h/mes</w:t>
            </w:r>
            <w:r>
              <w:rPr/>
              <w:t xml:space="preserve"> en operación normal</w:t>
            </w:r>
          </w:p>
        </w:tc>
      </w:tr>
    </w:tbl>
    <w:p>
      <w:pPr>
        <w:pBdr>
          <w:left w:val="single" w:sz="20" w:space="8" w:color="3182CE"/>
        </w:pBdr>
        <w:shd w:val="clear" w:color="auto" w:fill="EBF4FF"/>
      </w:pPr>
      <w:r>
        <w:rPr>
          <w:b/>
        </w:rPr>
        <w:t xml:space="preserve">  NOTA</w:t>
      </w:r>
    </w:p>
    <w:p>
      <w:pPr>
        <w:pBdr>
          <w:left w:val="single" w:sz="20" w:space="8" w:color="3182CE"/>
        </w:pBdr>
        <w:shd w:val="clear" w:color="auto" w:fill="EBF4FF"/>
      </w:pPr>
      <w:r>
        <w:rPr/>
        <w:t>Si el incremento de carga requiere ajustar los honorarios del Administrador, ese ajuste debe evaluarse con el Comité de Representantes y aprobarse en Asamblea. Un sistema diseñado sin considerar el costo de operarlo genera frustración y abandono.</w:t>
      </w:r>
    </w:p>
    <w:p>
      <w:pPr>
        <w:spacing w:after="160"/>
      </w:pPr>
      <w:r>
        <w:rPr/>
      </w:r>
      <w:r>
        <w:rPr>
          <w:b/>
        </w:rPr>
        <w:t>Caso A — La Constancia acelera una venta</w:t>
      </w:r>
      <w:r>
        <w:rPr/>
      </w:r>
    </w:p>
    <w:p>
      <w:pPr>
        <w:spacing w:after="160"/>
      </w:pPr>
      <w:r>
        <w:rPr/>
      </w:r>
      <w:r>
        <w:rPr>
          <w:b/>
        </w:rPr>
        <w:t>Situación →</w:t>
      </w:r>
      <w:r>
        <w:rPr/>
        <w:t xml:space="preserve"> Un propietario pone su casa en venta. Un comprador interesado solicita a su banco un crédito hipotecario. El banco pide documentación que acredite el estado legal de las modificaciones del inmueble.</w:t>
      </w:r>
    </w:p>
    <w:p>
      <w:pPr>
        <w:spacing w:after="160"/>
      </w:pPr>
      <w:r>
        <w:rPr/>
      </w:r>
      <w:r>
        <w:rPr>
          <w:b/>
        </w:rPr>
        <w:t>Acción →</w:t>
      </w:r>
      <w:r>
        <w:rPr/>
        <w:t xml:space="preserve"> El propietario solicita al Administrador la Constancia de Estado de Modificaciones. El Administrador la emite en máximo 5 días hábiles. El documento muestra todas las obras del lote autorizadas y ninguna observación pendiente.</w:t>
      </w:r>
    </w:p>
    <w:p>
      <w:pPr>
        <w:spacing w:after="160"/>
      </w:pPr>
      <w:r>
        <w:rPr/>
      </w:r>
      <w:r>
        <w:rPr>
          <w:b/>
        </w:rPr>
        <w:t>Resultado →</w:t>
      </w:r>
      <w:r>
        <w:rPr/>
        <w:t xml:space="preserve"> El banco recibe la documentación completa. El proceso de crédito avanza sin demoras por falta de información. El comprador cierra con mayor certeza sobre lo que adquiere. La Constancia convierte el historial del lote en un activo tangible al momento de vender.</w:t>
      </w:r>
    </w:p>
    <w:p>
      <w:pPr>
        <w:spacing w:after="160"/>
      </w:pPr>
      <w:r>
        <w:rPr/>
      </w:r>
      <w:r>
        <w:rPr>
          <w:b/>
        </w:rPr>
        <w:t>Caso B — Cambio de administrador sin pérdida del historial</w:t>
      </w:r>
      <w:r>
        <w:rPr/>
      </w:r>
    </w:p>
    <w:p>
      <w:pPr>
        <w:spacing w:after="160"/>
      </w:pPr>
      <w:r>
        <w:rPr/>
      </w:r>
      <w:r>
        <w:rPr>
          <w:b/>
        </w:rPr>
        <w:t>Situación →</w:t>
      </w:r>
      <w:r>
        <w:rPr/>
        <w:t xml:space="preserve"> El fraccionamiento cambia de empresa administradora. El nuevo administrador no conoce el historial de obras de cada lote.</w:t>
      </w:r>
    </w:p>
    <w:p>
      <w:pPr>
        <w:spacing w:after="160"/>
      </w:pPr>
      <w:r>
        <w:rPr/>
      </w:r>
      <w:r>
        <w:rPr>
          <w:b/>
        </w:rPr>
        <w:t>Acción →</w:t>
      </w:r>
      <w:r>
        <w:rPr/>
        <w:t xml:space="preserve"> El Registro de Modificaciones está en formato estandarizado y no en herramientas personales del administrador saliente. El protocolo de entrega-recepción exige acta circunstanciada y verificación de integridad por el Comité de Vigilancia.</w:t>
      </w:r>
    </w:p>
    <w:p>
      <w:pPr>
        <w:spacing w:after="160"/>
      </w:pPr>
      <w:r>
        <w:rPr/>
      </w:r>
      <w:r>
        <w:rPr>
          <w:b/>
        </w:rPr>
        <w:t>Resultado →</w:t>
      </w:r>
      <w:r>
        <w:rPr/>
        <w:t xml:space="preserve"> El historial de todos los lotes llega íntegro al nuevo administrador. Ningún propietario pierde su documentación de obras autorizadas por un cambio operativo que estuvo fuera de su control.</w:t>
      </w:r>
    </w:p>
    <w:p>
      <w:pPr>
        <w:pStyle w:val="Heading3"/>
        <w:spacing w:before="300" w:after="120"/>
      </w:pPr>
      <w:r>
        <w:rPr>
          <w:b/>
          <w:color w:val="3D5168"/>
          <w:sz w:val="28"/>
        </w:rPr>
        <w:t>8.7 Lista de DROs disponibles</w:t>
      </w:r>
    </w:p>
    <w:p>
      <w:pPr>
        <w:spacing w:after="160"/>
      </w:pPr>
      <w:r>
        <w:rPr/>
        <w:t xml:space="preserve">El Consejo publicará anualmente una lista de DROs con registro vigente ante el Municipio de Soledad que hayan manifestado disponibilidad para proyectos residenciales en el fraccionamiento, con rango orientativo de honorarios. Esta lista es un </w:t>
      </w:r>
      <w:r>
        <w:rPr>
          <w:b/>
        </w:rPr>
        <w:t>servicio informativo</w:t>
      </w:r>
      <w:r>
        <w:rPr/>
        <w:t xml:space="preserve"> — no es exclusiva ni oficial.</w:t>
      </w:r>
    </w:p>
    <w:p>
      <w:pPr>
        <w:pStyle w:val="Heading3"/>
        <w:spacing w:before="300" w:after="120"/>
      </w:pPr>
      <w:r>
        <w:rPr>
          <w:b/>
          <w:color w:val="3D5168"/>
          <w:sz w:val="28"/>
        </w:rPr>
        <w:t>8.8 La Constancia de Estado de Modificaciones — alcance actual</w:t>
      </w:r>
    </w:p>
    <w:p>
      <w:pPr>
        <w:spacing w:after="160"/>
      </w:pPr>
      <w:r>
        <w:rPr/>
        <w:t xml:space="preserve">La Constancia entra en vigor para compraventas el </w:t>
      </w:r>
      <w:r>
        <w:rPr>
          <w:b/>
        </w:rPr>
        <w:t>día 91 tras el cierre del período de amnistía</w:t>
      </w:r>
      <w:r>
        <w:rPr/>
        <w:t>. Su alcance en esta etapa es informativo: el notario la recibe y la hace constar en el instrumento, pero la Ley estatal de Condominio todavía no la contempla como requisito obligatorio para la venta.</w:t>
      </w:r>
    </w:p>
    <w:p>
      <w:pPr>
        <w:pBdr>
          <w:left w:val="single" w:sz="20" w:space="8" w:color="3182CE"/>
        </w:pBdr>
        <w:shd w:val="clear" w:color="auto" w:fill="EBF4FF"/>
      </w:pPr>
      <w:r>
        <w:rPr>
          <w:b/>
        </w:rPr>
        <w:t xml:space="preserve">  NOTA</w:t>
      </w:r>
    </w:p>
    <w:p>
      <w:pPr>
        <w:pBdr>
          <w:left w:val="single" w:sz="20" w:space="8" w:color="3182CE"/>
        </w:pBdr>
        <w:shd w:val="clear" w:color="auto" w:fill="EBF4FF"/>
      </w:pPr>
      <w:r>
        <w:rPr/>
        <w:t xml:space="preserve">Plazo de expedición: </w:t>
      </w:r>
      <w:r>
        <w:rPr>
          <w:b/>
        </w:rPr>
        <w:t>máximo 5 días hábiles</w:t>
      </w:r>
      <w:r>
        <w:rPr/>
        <w:t xml:space="preserve"> desde la solicitud. Si el Administrador no la emite en ese plazo, se entiende que no existen observaciones registradas. El Administrador asume responsabilidad civil por constancias emitidas con información incorrecta derivada de negligencia grave.</w:t>
      </w:r>
    </w:p>
    <w:p>
      <w:pPr>
        <w:pBdr>
          <w:bottom w:val="single" w:sz="6" w:space="1" w:color="E2E8F0"/>
        </w:pBdr>
      </w:pPr>
    </w:p>
    <w:p>
      <w:pPr>
        <w:pStyle w:val="Heading2"/>
        <w:spacing w:before="360" w:after="180"/>
      </w:pPr>
      <w:r>
        <w:rPr>
          <w:b/>
          <w:color w:val="1B2C3E"/>
          <w:sz w:val="36"/>
        </w:rPr>
        <w:t>9 Situación del desarrollador (HABI)</w:t>
      </w:r>
    </w:p>
    <w:p>
      <w:pPr>
        <w:spacing w:after="160"/>
      </w:pPr>
      <w:r>
        <w:rPr/>
        <w:t xml:space="preserve">HABI mantiene aproximadamente </w:t>
      </w:r>
      <w:r>
        <w:rPr>
          <w:b/>
        </w:rPr>
        <w:t>90 unidades sin escriturar</w:t>
      </w:r>
      <w:r>
        <w:rPr/>
        <w:t xml:space="preserve"> de un total proyectado de </w:t>
      </w:r>
      <w:r>
        <w:rPr>
          <w:b/>
        </w:rPr>
        <w:t>283</w:t>
      </w:r>
      <w:r>
        <w:rPr/>
        <w:t xml:space="preserve"> (~31.8% del total). Mientras conserve esas unidades, es condómino activo con derechos y obligaciones equivalentes a los de cualquier otro propietario. Los intereses de HABI y los de los condóminos actuales están alineados: un Manual basado en los propios planos del desarrollador fortalece el valor de todas las unidades del conjunto.</w:t>
      </w:r>
    </w:p>
    <w:p>
      <w:pPr>
        <w:spacing w:after="160"/>
      </w:pPr>
      <w:r>
        <w:rPr/>
      </w:r>
      <w:r>
        <w:rPr>
          <w:b/>
        </w:rPr>
        <w:t>Derecho a voto de HABI</w:t>
      </w:r>
      <w:r>
        <w:rPr/>
      </w:r>
    </w:p>
    <w:p>
      <w:pPr>
        <w:pStyle w:val="ListBullet"/>
      </w:pPr>
      <w:r>
        <w:rPr/>
      </w:r>
      <w:r>
        <w:rPr>
          <w:b/>
        </w:rPr>
        <w:t>¿Tiene derecho a votar?</w:t>
      </w:r>
      <w:r>
        <w:rPr/>
        <w:t xml:space="preserve"> Sí, con </w:t>
      </w:r>
      <w:r>
        <w:rPr>
          <w:b/>
        </w:rPr>
        <w:t>90 votos</w:t>
      </w:r>
      <w:r>
        <w:rPr/>
        <w:t xml:space="preserve"> — uno por lote, igual que cualquier otro propietario. La ley no crea excepciones para el desarrollador por el hecho de serlo.</w:t>
      </w:r>
    </w:p>
    <w:p>
      <w:pPr>
        <w:pStyle w:val="ListBullet"/>
      </w:pPr>
      <w:r>
        <w:rPr/>
      </w:r>
      <w:r>
        <w:rPr>
          <w:b/>
        </w:rPr>
        <w:t>¿Puede suspenderse su voto?</w:t>
      </w:r>
      <w:r>
        <w:rPr/>
        <w:t xml:space="preserve"> Solo por falta de pago de 2+ cuotas o condena judicial. No existe otra causa legal.</w:t>
      </w:r>
    </w:p>
    <w:p>
      <w:pPr>
        <w:pStyle w:val="ListBullet"/>
      </w:pPr>
      <w:r>
        <w:rPr/>
      </w:r>
      <w:r>
        <w:rPr>
          <w:b/>
        </w:rPr>
        <w:t>¿Puede HABI votar sobre su propia exención?</w:t>
      </w:r>
      <w:r>
        <w:rPr/>
        <w:t xml:space="preserve"> El Art. 95 del Reglamento establece que ningún condómino puede votar en asuntos de interés personal: </w:t>
      </w:r>
      <w:r>
        <w:rPr>
          <w:i/>
        </w:rPr>
        <w:t>«LOS CONDÓMINOS no podrán votar en los asuntos en que estén personalmente interesados.»</w:t>
      </w:r>
      <w:r>
        <w:rPr/>
        <w:t xml:space="preserve"> La cláusula de exención del desarrollador (Art. A, Sec. V) y la cláusula de transición benefician directa y exclusivamente a HABI. Se recomienda que HABI anuncie su abstención voluntaria al votarse esas fracciones específicas.</w:t>
      </w:r>
    </w:p>
    <w:p>
      <w:pPr>
        <w:pStyle w:val="ListBullet"/>
      </w:pPr>
      <w:r>
        <w:rPr/>
      </w:r>
      <w:r>
        <w:rPr>
          <w:b/>
        </w:rPr>
        <w:t>Peso del voto:</w:t>
      </w:r>
      <w:r>
        <w:rPr/>
        <w:t xml:space="preserve"> con 90 de 283 votos (31.8%), HABI es un participante relevante. Su participación activa contribuye a alcanzar el quórum necesario, y su apoyo facilitaría que Solé cuente con un sistema que también beneficia la comercialización de sus unidades restantes.</w:t>
      </w:r>
    </w:p>
    <w:p>
      <w:pPr>
        <w:pBdr>
          <w:left w:val="single" w:sz="20" w:space="8" w:color="3182CE"/>
        </w:pBdr>
        <w:shd w:val="clear" w:color="auto" w:fill="EBF4FF"/>
      </w:pPr>
      <w:r>
        <w:rPr>
          <w:b/>
        </w:rPr>
        <w:t xml:space="preserve">  NOTA</w:t>
      </w:r>
    </w:p>
    <w:p>
      <w:pPr>
        <w:pBdr>
          <w:left w:val="single" w:sz="20" w:space="8" w:color="3182CE"/>
        </w:pBdr>
        <w:shd w:val="clear" w:color="auto" w:fill="EBF4FF"/>
      </w:pPr>
      <w:r>
        <w:rPr/>
      </w:r>
      <w:r>
        <w:rPr>
          <w:b/>
        </w:rPr>
        <w:t>Sobre la abstención voluntaria:</w:t>
      </w:r>
      <w:r>
        <w:rPr/>
        <w:t xml:space="preserve"> para las cláusulas que benefician directamente a HABI, una abstención voluntaria al votarse esas fracciones específicas refuerza la legitimidad del acuerdo para todos. Es una práctica de buena gobernanza que protege la validez del proceso.</w:t>
      </w:r>
    </w:p>
    <w:p>
      <w:pPr>
        <w:pBdr>
          <w:bottom w:val="single" w:sz="6" w:space="1" w:color="E2E8F0"/>
        </w:pBdr>
      </w:pPr>
    </w:p>
    <w:p>
      <w:pPr>
        <w:pBdr>
          <w:bottom w:val="single" w:sz="6" w:space="1" w:color="E2E8F0"/>
        </w:pBdr>
      </w:pPr>
    </w:p>
    <w:p>
      <w:pPr>
        <w:pStyle w:val="Heading2"/>
        <w:spacing w:before="360" w:after="180"/>
      </w:pPr>
      <w:r>
        <w:rPr>
          <w:b/>
          <w:color w:val="1B2C3E"/>
          <w:sz w:val="36"/>
        </w:rPr>
        <w:t>10. Por qué esto protege la plusvalía</w:t>
      </w:r>
    </w:p>
    <w:p>
      <w:pPr>
        <w:spacing w:after="160"/>
      </w:pPr>
      <w:r>
        <w:rPr/>
        <w:t>El valor de una casa no depende solo de sus metros cuadrados. La imagen del conjunto y la gobernanza del fraccionamiento influyen directamente en las decisiones de compra y en el valor de reventa.</w:t>
      </w:r>
    </w:p>
    <w:tbl>
      <w:tblPr>
        <w:tblStyle w:val="TableGrid"/>
        <w:tblW w:type="auto" w:w="0"/>
        <w:tblLook w:firstColumn="1" w:firstRow="1" w:lastColumn="0" w:lastRow="0" w:noHBand="0" w:noVBand="1" w:val="04A0"/>
      </w:tblPr>
      <w:tblGrid>
        <w:gridCol w:w="3230"/>
        <w:gridCol w:w="3230"/>
        <w:gridCol w:w="3230"/>
      </w:tblGrid>
      <w:tr>
        <w:tc>
          <w:tcPr>
            <w:tcW w:type="dxa" w:w="3230"/>
          </w:tcPr>
          <w:p>
            <w:r>
              <w:rPr>
                <w:b/>
              </w:rPr>
              <w:t>Tipo de protección</w:t>
            </w:r>
          </w:p>
        </w:tc>
        <w:tc>
          <w:tcPr>
            <w:tcW w:type="dxa" w:w="3230"/>
          </w:tcPr>
          <w:p>
            <w:r>
              <w:rPr>
                <w:b/>
              </w:rPr>
              <w:t>Mecanismo</w:t>
            </w:r>
          </w:p>
        </w:tc>
        <w:tc>
          <w:tcPr>
            <w:tcW w:type="dxa" w:w="3230"/>
          </w:tcPr>
          <w:p>
            <w:r>
              <w:rPr>
                <w:b/>
              </w:rPr>
              <w:t>Impacto</w:t>
            </w:r>
          </w:p>
        </w:tc>
      </w:tr>
      <w:tr>
        <w:tc>
          <w:tcPr>
            <w:tcW w:type="dxa" w:w="3230"/>
          </w:tcPr>
          <w:p>
            <w:r>
              <w:rPr/>
            </w:r>
            <w:r>
              <w:rPr>
                <w:b/>
              </w:rPr>
              <w:t>Preventiva</w:t>
            </w:r>
            <w:r>
              <w:rPr/>
            </w:r>
          </w:p>
        </w:tc>
        <w:tc>
          <w:tcPr>
            <w:tcW w:type="dxa" w:w="3230"/>
          </w:tcPr>
          <w:p>
            <w:r>
              <w:rPr/>
              <w:t>El Manual define de antemano qué modificaciones son aceptables. Elimina la incertidumbre del «¿me lo van a aprobar?»</w:t>
            </w:r>
          </w:p>
        </w:tc>
        <w:tc>
          <w:tcPr>
            <w:tcW w:type="dxa" w:w="3230"/>
          </w:tcPr>
          <w:p>
            <w:r>
              <w:rPr/>
              <w:t>Reduce conflictos y acelera decisiones de compra</w:t>
            </w:r>
          </w:p>
        </w:tc>
      </w:tr>
      <w:tr>
        <w:tc>
          <w:tcPr>
            <w:tcW w:type="dxa" w:w="3230"/>
          </w:tcPr>
          <w:p>
            <w:r>
              <w:rPr/>
            </w:r>
            <w:r>
              <w:rPr>
                <w:b/>
              </w:rPr>
              <w:t>Correctiva</w:t>
            </w:r>
            <w:r>
              <w:rPr/>
            </w:r>
          </w:p>
        </w:tc>
        <w:tc>
          <w:tcPr>
            <w:tcW w:type="dxa" w:w="3230"/>
          </w:tcPr>
          <w:p>
            <w:r>
              <w:rPr/>
              <w:t>La obligación de restitución establece que las obras fuera del proceso tienen consecuencias proporcionales. Da consistencia al sistema</w:t>
            </w:r>
          </w:p>
        </w:tc>
        <w:tc>
          <w:tcPr>
            <w:tcW w:type="dxa" w:w="3230"/>
          </w:tcPr>
          <w:p>
            <w:r>
              <w:rPr/>
              <w:t>Genera incentivos para seguir el proceso; protege a vecinos colindantes</w:t>
            </w:r>
          </w:p>
        </w:tc>
      </w:tr>
      <w:tr>
        <w:tc>
          <w:tcPr>
            <w:tcW w:type="dxa" w:w="3230"/>
          </w:tcPr>
          <w:p>
            <w:r>
              <w:rPr/>
            </w:r>
            <w:r>
              <w:rPr>
                <w:b/>
              </w:rPr>
              <w:t>Transaccional</w:t>
            </w:r>
            <w:r>
              <w:rPr/>
            </w:r>
          </w:p>
        </w:tc>
        <w:tc>
          <w:tcPr>
            <w:tcW w:type="dxa" w:w="3230"/>
          </w:tcPr>
          <w:p>
            <w:r>
              <w:rPr/>
              <w:t>La Constancia convierte el cumplimiento arquitectónico en un activo verificable al vender</w:t>
            </w:r>
          </w:p>
        </w:tc>
        <w:tc>
          <w:tcPr>
            <w:tcW w:type="dxa" w:w="3230"/>
          </w:tcPr>
          <w:p>
            <w:r>
              <w:rPr/>
              <w:t>Impacto directo en valor de reventa y acceso a crédito hipotecario</w:t>
            </w:r>
          </w:p>
        </w:tc>
      </w:tr>
    </w:tbl>
    <w:p>
      <w:pPr>
        <w:pStyle w:val="Heading3"/>
        <w:spacing w:before="300" w:after="120"/>
      </w:pPr>
      <w:r>
        <w:rPr>
          <w:b/>
          <w:color w:val="3D5168"/>
          <w:sz w:val="28"/>
        </w:rPr>
        <w:t>10.1 Evidencia con fuentes verificables</w:t>
      </w:r>
    </w:p>
    <w:tbl>
      <w:tblPr>
        <w:tblStyle w:val="TableGrid"/>
        <w:tblW w:type="auto" w:w="0"/>
        <w:tblLook w:firstColumn="1" w:firstRow="1" w:lastColumn="0" w:lastRow="0" w:noHBand="0" w:noVBand="1" w:val="04A0"/>
      </w:tblPr>
      <w:tblGrid>
        <w:gridCol w:w="4844"/>
        <w:gridCol w:w="4844"/>
      </w:tblGrid>
      <w:tr>
        <w:tc>
          <w:tcPr>
            <w:tcW w:type="dxa" w:w="4844"/>
          </w:tcPr>
          <w:p>
            <w:r>
              <w:rPr>
                <w:b/>
              </w:rPr>
              <w:t>Fuente</w:t>
            </w:r>
          </w:p>
        </w:tc>
        <w:tc>
          <w:tcPr>
            <w:tcW w:type="dxa" w:w="4844"/>
          </w:tcPr>
          <w:p>
            <w:r>
              <w:rPr>
                <w:b/>
              </w:rPr>
              <w:t>Hallazgo</w:t>
            </w:r>
          </w:p>
        </w:tc>
      </w:tr>
      <w:tr>
        <w:tc>
          <w:tcPr>
            <w:tcW w:type="dxa" w:w="4844"/>
          </w:tcPr>
          <w:p>
            <w:r>
              <w:rPr/>
              <w:t>Community Associations Institute (CAI, 2025)</w:t>
            </w:r>
          </w:p>
        </w:tc>
        <w:tc>
          <w:tcPr>
            <w:tcW w:type="dxa" w:w="4844"/>
          </w:tcPr>
          <w:p>
            <w:r>
              <w:rPr/>
              <w:t xml:space="preserve">Comunidades con estándares de diseño bien aplicados protegen e incrementan el valor entre </w:t>
            </w:r>
            <w:r>
              <w:rPr>
                <w:b/>
              </w:rPr>
              <w:t>2% y 17%</w:t>
            </w:r>
            <w:r>
              <w:rPr/>
            </w:r>
          </w:p>
        </w:tc>
      </w:tr>
      <w:tr>
        <w:tc>
          <w:tcPr>
            <w:tcW w:type="dxa" w:w="4844"/>
          </w:tcPr>
          <w:p>
            <w:r>
              <w:rPr/>
              <w:t>Journal of Housing Economics — Cheung, Cunningham y Meltzer (2014)</w:t>
            </w:r>
          </w:p>
        </w:tc>
        <w:tc>
          <w:tcPr>
            <w:tcW w:type="dxa" w:w="4844"/>
          </w:tcPr>
          <w:p>
            <w:r>
              <w:rPr/>
              <w:t xml:space="preserve">Casas en comunidades con reglas de diseño activas tienen precios en promedio al menos </w:t>
            </w:r>
            <w:r>
              <w:rPr>
                <w:b/>
              </w:rPr>
              <w:t>4% superiores</w:t>
            </w:r>
            <w:r>
              <w:rPr/>
            </w:r>
          </w:p>
        </w:tc>
      </w:tr>
      <w:tr>
        <w:tc>
          <w:tcPr>
            <w:tcW w:type="dxa" w:w="4844"/>
          </w:tcPr>
          <w:p>
            <w:r>
              <w:rPr/>
              <w:t>Sociedad Hipotecaria Federal (SHF), Índice de Precios de la Vivienda 2T 2025</w:t>
            </w:r>
          </w:p>
        </w:tc>
        <w:tc>
          <w:tcPr>
            <w:tcW w:type="dxa" w:w="4844"/>
          </w:tcPr>
          <w:p>
            <w:r>
              <w:rPr/>
              <w:t xml:space="preserve">Diferencia en plusvalía anual entre zonas organizadas y no organizadas: </w:t>
            </w:r>
            <w:r>
              <w:rPr>
                <w:b/>
              </w:rPr>
              <w:t>2–3% vs. 9–11%</w:t>
            </w:r>
            <w:r>
              <w:rPr/>
            </w:r>
          </w:p>
        </w:tc>
      </w:tr>
    </w:tbl>
    <w:p>
      <w:pPr>
        <w:spacing w:after="160"/>
      </w:pPr>
      <w:r>
        <w:rPr/>
      </w:r>
      <w:r>
        <w:rPr>
          <w:b/>
        </w:rPr>
        <w:t>Caso A — Con gobernanza activa:</w:t>
      </w:r>
      <w:r>
        <w:rPr/>
        <w:t xml:space="preserve"> Ocho años de plusvalía acumulada</w:t>
      </w:r>
    </w:p>
    <w:p>
      <w:pPr>
        <w:spacing w:after="160"/>
      </w:pPr>
      <w:r>
        <w:rPr/>
      </w:r>
      <w:r>
        <w:rPr>
          <w:b/>
        </w:rPr>
        <w:t>Situación →</w:t>
      </w:r>
      <w:r>
        <w:rPr/>
        <w:t xml:space="preserve"> Un propietario compra en Solé cuando el sistema lleva tres años operando. Paga $1,400,000. Ocho años después decide vender.</w:t>
      </w:r>
    </w:p>
    <w:p>
      <w:pPr>
        <w:spacing w:after="160"/>
      </w:pPr>
      <w:r>
        <w:rPr/>
      </w:r>
      <w:r>
        <w:rPr>
          <w:b/>
        </w:rPr>
        <w:t>Acción →</w:t>
      </w:r>
      <w:r>
        <w:rPr/>
        <w:t xml:space="preserve"> Durante esos ocho años, el fraccionamiento mantuvo imagen coherente, el Consejo operó con regularidad y las obras siguieron el proceso establecido. El Manual dio certeza a compradores e inquilinos. La zona creció a una tasa cercana al 9% anual.</w:t>
      </w:r>
    </w:p>
    <w:p>
      <w:pPr>
        <w:spacing w:after="160"/>
      </w:pPr>
      <w:r>
        <w:rPr/>
      </w:r>
      <w:r>
        <w:rPr>
          <w:b/>
        </w:rPr>
        <w:t>Resultado →</w:t>
      </w:r>
      <w:r>
        <w:rPr/>
        <w:t xml:space="preserve"> Al momento de vender, el propietario recibe ofertas cercanas a $2,700,000. La Constancia de Estado de Modificaciones muestra un historial limpio. El comprador cierra rápido porque tiene certeza de lo que adquiere.</w:t>
      </w:r>
    </w:p>
    <w:p>
      <w:pPr>
        <w:spacing w:after="160"/>
      </w:pPr>
      <w:r>
        <w:rPr/>
      </w:r>
      <w:r>
        <w:rPr>
          <w:b/>
        </w:rPr>
        <w:t>Caso B — Sin gobernanza:</w:t>
      </w:r>
      <w:r>
        <w:rPr/>
        <w:t xml:space="preserve"> El mismo plazo, un resultado distinto</w:t>
      </w:r>
    </w:p>
    <w:p>
      <w:pPr>
        <w:spacing w:after="160"/>
      </w:pPr>
      <w:r>
        <w:rPr/>
      </w:r>
      <w:r>
        <w:rPr>
          <w:b/>
        </w:rPr>
        <w:t>Situación →</w:t>
      </w:r>
      <w:r>
        <w:rPr/>
        <w:t xml:space="preserve"> Un propietario en un fraccionamiento similar, sin sistema de gobernanza activo, compra en el mismo momento y al mismo precio: $1,400,000.</w:t>
      </w:r>
    </w:p>
    <w:p>
      <w:pPr>
        <w:spacing w:after="160"/>
      </w:pPr>
      <w:r>
        <w:rPr/>
      </w:r>
      <w:r>
        <w:rPr>
          <w:b/>
        </w:rPr>
        <w:t>Acción →</w:t>
      </w:r>
      <w:r>
        <w:rPr/>
        <w:t xml:space="preserve"> Durante ocho años, las fachadas del fraccionamiento se fueron diferenciando sin criterio común: materiales distintos, colores discordantes, obras de distintos tamaños sin registro. Los compradores potenciales empezaron a notar la falta de coherencia y a preguntar si "eso se iba a quedar así."</w:t>
      </w:r>
    </w:p>
    <w:p>
      <w:pPr>
        <w:spacing w:after="160"/>
      </w:pPr>
      <w:r>
        <w:rPr/>
      </w:r>
      <w:r>
        <w:rPr>
          <w:b/>
        </w:rPr>
        <w:t>Resultado →</w:t>
      </w:r>
      <w:r>
        <w:rPr/>
        <w:t xml:space="preserve"> Al vender, las ofertas rondan $1,750,000 — un crecimiento de apenas 2.5% anual, por debajo de la inflación. La diferencia acumulada frente al escenario con gobernanza supera el millón de pesos, sin que el propietario haya hecho nada distinto dentro de su propia casa.</w:t>
      </w:r>
    </w:p>
    <w:p>
      <w:pPr>
        <w:pBdr>
          <w:bottom w:val="single" w:sz="6" w:space="1" w:color="E2E8F0"/>
        </w:pBdr>
      </w:pPr>
    </w:p>
    <w:p>
      <w:pPr>
        <w:pBdr>
          <w:bottom w:val="single" w:sz="6" w:space="1" w:color="E2E8F0"/>
        </w:pBdr>
      </w:pPr>
    </w:p>
    <w:p>
      <w:pPr>
        <w:pStyle w:val="Heading2"/>
        <w:spacing w:before="360" w:after="180"/>
      </w:pPr>
      <w:r>
        <w:rPr>
          <w:b/>
          <w:color w:val="1B2C3E"/>
          <w:sz w:val="36"/>
        </w:rPr>
        <w:t>Nota final</w:t>
      </w:r>
    </w:p>
    <w:p>
      <w:pPr>
        <w:spacing w:after="160"/>
      </w:pPr>
      <w:r>
        <w:rPr/>
        <w:t>El objetivo de esta propuesta no es hacer el fraccionamiento más estricto ni más permisivo. Es hacerlo predecible, transparente y justo para todos. Cuando las reglas son claras y conocidas de antemano, las decisiones dejan de depender del criterio personal de quien esté en turno: el Manual define los límites, y el Manual lo construimos y aprobamos entre todos como comunidad.</w:t>
      </w:r>
    </w:p>
    <w:p>
      <w:pPr>
        <w:spacing w:after="160"/>
      </w:pPr>
      <w:r>
        <w:rPr/>
        <w:t>Estoy disponible para responder preguntas, recibir propuestas de modificación y trabajar con quien quiera mejorar esto antes de llevarlo a votación. El objetivo no es que se apruebe mi versión: es que Solé tenga un sistema que funcione para todos.</w:t>
      </w:r>
    </w:p>
    <w:p>
      <w:pPr>
        <w:spacing w:after="160"/>
      </w:pPr>
      <w:r>
        <w:rPr/>
      </w:r>
      <w:r>
        <w:rPr>
          <w:b/>
        </w:rPr>
        <w:t>Daniel Chávez Flores</w:t>
      </w:r>
      <w:r>
        <w:rPr/>
      </w:r>
      <w:r>
        <w:t xml:space="preserve"> </w:t>
      </w:r>
      <w:r>
        <w:rPr/>
        <w:t>Circuito de los Robles 136-B · Tel. 444-105-8700 · dchavezf@gmail.com</w:t>
      </w:r>
    </w:p>
    <w:p>
      <w:pPr>
        <w:pBdr>
          <w:bottom w:val="single" w:sz="6" w:space="1" w:color="E2E8F0"/>
        </w:pBdr>
      </w:pPr>
    </w:p>
    <w:p>
      <w:pPr>
        <w:pStyle w:val="Heading3"/>
        <w:spacing w:before="300" w:after="120"/>
      </w:pPr>
      <w:r>
        <w:rPr>
          <w:b/>
          <w:color w:val="3D5168"/>
          <w:sz w:val="28"/>
        </w:rPr>
        <w:t>¿Te suma esta propuesta? Aquí está el siguiente paso.</w:t>
      </w:r>
    </w:p>
    <w:p>
      <w:pPr>
        <w:spacing w:after="160"/>
      </w:pPr>
      <w:r>
        <w:rPr/>
        <w:t>No te pido que estés de acuerdo con cada artículo. Te pido algo más sencillo: que esta conversación ocurra en el lugar que le corresponde — la Asamblea General — donde todos podemos opinar, proponer cambios y votar.</w:t>
      </w:r>
    </w:p>
    <w:p>
      <w:pPr>
        <w:spacing w:after="160"/>
      </w:pPr>
      <w:r>
        <w:rPr/>
        <w:t>Para llegar ahí necesitamos que al menos el 25% de los condóminos pidan formalmente que se convoque. Tu firma en ese proceso no aprueba nada: abre la puerta para que todos decidan.</w:t>
      </w:r>
    </w:p>
    <w:p>
      <w:pPr>
        <w:spacing w:after="160"/>
      </w:pPr>
      <w:r>
        <w:rPr/>
        <w:t>Si ya leíste hasta aquí, ya tienes el contexto completo. Lo que sigue es simple:</w:t>
      </w:r>
    </w:p>
    <w:p>
      <w:pPr>
        <w:spacing w:after="160"/>
      </w:pPr>
      <w:r>
        <w:rPr/>
      </w:r>
      <w:r>
        <w:rPr>
          <w:b/>
        </w:rPr>
        <w:t>Escríbeme o acércate personalmente:</w:t>
      </w:r>
      <w:r>
        <w:rPr/>
      </w:r>
    </w:p>
    <w:p>
      <w:pPr>
        <w:ind w:left="720"/>
        <w:pBdr>
          <w:left w:val="single" w:sz="12" w:space="8" w:color="E2E8F0"/>
        </w:pBdr>
      </w:pPr>
      <w:r>
        <w:rPr/>
      </w:r>
      <w:r>
        <w:rPr>
          <w:b/>
        </w:rPr>
        <w:t>Daniel Chávez Flores</w:t>
      </w:r>
      <w:r>
        <w:rPr/>
      </w:r>
      <w:r>
        <w:t xml:space="preserve"> </w:t>
      </w:r>
      <w:r>
        <w:rPr/>
        <w:t>Circuito de los Robles 136-B</w:t>
      </w:r>
      <w:r>
        <w:t xml:space="preserve"> </w:t>
      </w:r>
      <w:r>
        <w:rPr/>
        <w:t>Tel. 444-105-8700</w:t>
      </w:r>
      <w:r>
        <w:t xml:space="preserve"> </w:t>
      </w:r>
      <w:r>
        <w:rPr/>
        <w:t>dchavezf@gmail.com</w:t>
      </w:r>
    </w:p>
    <w:p>
      <w:pPr>
        <w:spacing w:after="160"/>
      </w:pPr>
      <w:r>
        <w:rPr/>
        <w:t>Y si tienes observaciones, correcciones o partes con las que no estás de acuerdo — mejor todavía. Llega con eso. Esta propuesta mejora con más voces, no con menos.</w:t>
      </w:r>
    </w:p>
    <w:p>
      <w:pPr>
        <w:pBdr>
          <w:bottom w:val="single" w:sz="6" w:space="1" w:color="E2E8F0"/>
        </w:pBdr>
      </w:pPr>
    </w:p>
    <w:p>
      <w:pPr>
        <w:spacing w:after="160"/>
      </w:pPr>
      <w:r>
        <w:rPr>
          <w:i/>
        </w:rPr>
        <w:t>Esta propuesta no tiene efecto vinculante. Su aprobación, modificación o rechazo corresponde exclusivamente a la Asamblea General de Condóminos del Fraccionamiento Solé, conforme al Reglamento Interno vigente y la Ley sobre el Régimen de la Propiedad en Condominio del Estado de San Luis Potosí.</w:t>
      </w:r>
    </w:p>
    <w:p>
      <w:pPr>
        <w:pBdr>
          <w:bottom w:val="single" w:sz="6" w:space="1" w:color="E2E8F0"/>
        </w:pBdr>
      </w:pPr>
    </w:p>
    <w:p>
      <w:pPr>
        <w:pStyle w:val="Heading1"/>
        <w:pageBreakBefore/>
        <w:spacing w:before="480" w:after="240"/>
        <w:jc w:val="center"/>
      </w:pPr>
      <w:r>
        <w:rPr>
          <w:b/>
          <w:color w:val="1B2C3E"/>
          <w:sz w:val="48"/>
        </w:rPr>
        <w:t>Texto normativo para votación</w:t>
      </w:r>
    </w:p>
    <w:p>
      <w:pPr>
        <w:pBdr>
          <w:bottom w:val="single" w:sz="6" w:space="1" w:color="E2E8F0"/>
        </w:pBdr>
      </w:pPr>
    </w:p>
    <w:p>
      <w:pPr>
        <w:pBdr>
          <w:left w:val="single" w:sz="20" w:space="8" w:color="DD6B20"/>
        </w:pBdr>
        <w:shd w:val="clear" w:color="auto" w:fill="FFF3E0"/>
      </w:pPr>
      <w:r>
        <w:rPr>
          <w:b/>
        </w:rPr>
        <w:t xml:space="preserve">  IMPORTANTE</w:t>
      </w:r>
    </w:p>
    <w:p>
      <w:pPr>
        <w:pBdr>
          <w:left w:val="single" w:sz="20" w:space="8" w:color="DD6B20"/>
        </w:pBdr>
        <w:shd w:val="clear" w:color="auto" w:fill="FFF3E0"/>
      </w:pPr>
      <w:r>
        <w:rPr/>
        <w:t>Esta propuesta no tiene efecto vinculante por sí misma. Solo la Asamblea General de Condóminos puede aprobarla, modificarla o rechazarla. Cualquier condómino puede proponer cambios antes de la votación.</w:t>
      </w:r>
    </w:p>
    <w:p>
      <w:pPr>
        <w:pBdr>
          <w:bottom w:val="single" w:sz="6" w:space="1" w:color="E2E8F0"/>
        </w:pBdr>
      </w:pPr>
    </w:p>
    <w:p>
      <w:pPr>
        <w:spacing w:after="160"/>
      </w:pPr>
      <w:r>
        <w:rPr/>
      </w:r>
      <w:r>
        <w:rPr>
          <w:b/>
        </w:rPr>
        <w:t>Para quién:</w:t>
      </w:r>
      <w:r>
        <w:rPr/>
        <w:t xml:space="preserve"> vecinos que quieran revisar exactamente qué se estaría aprobando en Asamblea, palabra por palabra.</w:t>
      </w:r>
    </w:p>
    <w:p>
      <w:pPr>
        <w:pBdr>
          <w:bottom w:val="single" w:sz="6" w:space="1" w:color="E2E8F0"/>
        </w:pBdr>
      </w:pPr>
    </w:p>
    <w:p>
      <w:pPr>
        <w:spacing w:after="160"/>
      </w:pPr>
      <w:r>
        <w:rPr/>
        <w:t>Antes de votar, conviene leer lo que se vota.</w:t>
      </w:r>
    </w:p>
    <w:p>
      <w:pPr>
        <w:spacing w:after="160"/>
      </w:pPr>
      <w:r>
        <w:rPr/>
        <w:t>Esta sección reúne los documentos de referencia que respaldan la propuesta: el texto íntegro de los cinco artículos para modificar el Reglamento, los formatos oficiales sugeridos para operar el nuevo sistema y los manuales de proceso que describen cómo se autorizarían las obras en la práctica.</w:t>
      </w:r>
    </w:p>
    <w:p>
      <w:pPr>
        <w:spacing w:after="160"/>
      </w:pPr>
      <w:r>
        <w:rPr/>
        <w:t>Los cinco artículos cubren:</w:t>
      </w:r>
    </w:p>
    <w:p>
      <w:pPr>
        <w:pStyle w:val="ListBullet"/>
      </w:pPr>
      <w:r>
        <w:rPr/>
      </w:r>
      <w:r>
        <w:rPr>
          <w:b/>
        </w:rPr>
        <w:t>Artículo A</w:t>
      </w:r>
      <w:r>
        <w:rPr/>
        <w:t xml:space="preserve"> — Constitución y funciones del Consejo de Diseño</w:t>
      </w:r>
    </w:p>
    <w:p>
      <w:pPr>
        <w:pStyle w:val="ListBullet"/>
      </w:pPr>
      <w:r>
        <w:rPr/>
      </w:r>
      <w:r>
        <w:rPr>
          <w:b/>
        </w:rPr>
        <w:t>Artículo B</w:t>
      </w:r>
      <w:r>
        <w:rPr/>
        <w:t xml:space="preserve"> — El Manual de Imagen como norma reglamentaria obligatoria</w:t>
      </w:r>
    </w:p>
    <w:p>
      <w:pPr>
        <w:pStyle w:val="ListBullet"/>
      </w:pPr>
      <w:r>
        <w:rPr/>
      </w:r>
      <w:r>
        <w:rPr>
          <w:b/>
        </w:rPr>
        <w:t>Artículo C</w:t>
      </w:r>
      <w:r>
        <w:rPr/>
        <w:t xml:space="preserve"> — Clasificación de obras según su impacto en imagen urbana</w:t>
      </w:r>
    </w:p>
    <w:p>
      <w:pPr>
        <w:pStyle w:val="ListBullet"/>
      </w:pPr>
      <w:r>
        <w:rPr/>
      </w:r>
      <w:r>
        <w:rPr>
          <w:b/>
        </w:rPr>
        <w:t>Artículo D</w:t>
      </w:r>
      <w:r>
        <w:rPr/>
        <w:t xml:space="preserve"> — Registro histórico de intervenciones por lote</w:t>
      </w:r>
    </w:p>
    <w:p>
      <w:pPr>
        <w:pStyle w:val="ListBullet"/>
      </w:pPr>
      <w:r>
        <w:rPr/>
      </w:r>
      <w:r>
        <w:rPr>
          <w:b/>
        </w:rPr>
        <w:t>Artículo E</w:t>
      </w:r>
      <w:r>
        <w:rPr/>
        <w:t xml:space="preserve"> — Sistema de cumplimiento con período de amnistía</w:t>
      </w:r>
    </w:p>
    <w:p>
      <w:pPr>
        <w:spacing w:after="160"/>
      </w:pPr>
      <w:r>
        <w:rPr/>
        <w:t>Los formatos y manuales de proceso no son parte del Reglamento en sí, pero muestran cómo funcionaría el sistema en la vida cotidiana: qué llenar, ante quién, en qué plazo y con qué criterios se respondería.</w:t>
      </w:r>
    </w:p>
    <w:p>
      <w:pPr>
        <w:spacing w:after="160"/>
      </w:pPr>
      <w:r>
        <w:rPr/>
      </w:r>
      <w:r>
        <w:rPr>
          <w:b/>
        </w:rPr>
        <w:t>Formatos oficiales sugeridos:</w:t>
      </w:r>
      <w:r>
        <w:rPr/>
      </w:r>
    </w:p>
    <w:p>
      <w:pPr>
        <w:pStyle w:val="ListBullet"/>
      </w:pPr>
      <w:r>
        <w:rPr/>
      </w:r>
      <w:r>
        <w:rPr>
          <w:b/>
        </w:rPr>
        <w:t>C-1</w:t>
      </w:r>
      <w:r>
        <w:rPr/>
        <w:t xml:space="preserve"> — Aviso de Obra Pequeña (notificación de 48 h al Administrador)</w:t>
      </w:r>
    </w:p>
    <w:p>
      <w:pPr>
        <w:pStyle w:val="ListBullet"/>
      </w:pPr>
      <w:r>
        <w:rPr/>
      </w:r>
      <w:r>
        <w:rPr>
          <w:b/>
        </w:rPr>
        <w:t>C-2</w:t>
      </w:r>
      <w:r>
        <w:rPr/>
        <w:t xml:space="preserve"> — Solicitud de Autorización de Obra Mediana (ante el Consejo de Diseño)</w:t>
      </w:r>
    </w:p>
    <w:p>
      <w:pPr>
        <w:pStyle w:val="ListBullet"/>
      </w:pPr>
      <w:r>
        <w:rPr/>
      </w:r>
      <w:r>
        <w:rPr>
          <w:b/>
        </w:rPr>
        <w:t>C-3</w:t>
      </w:r>
      <w:r>
        <w:rPr/>
        <w:t xml:space="preserve"> — Solicitud de Autorización de Obra Grande (con DRO y permisos municipales)</w:t>
      </w:r>
    </w:p>
    <w:p>
      <w:pPr>
        <w:pStyle w:val="ListBullet"/>
      </w:pPr>
      <w:r>
        <w:rPr/>
      </w:r>
      <w:r>
        <w:rPr>
          <w:b/>
        </w:rPr>
        <w:t>D-1</w:t>
      </w:r>
      <w:r>
        <w:rPr/>
        <w:t xml:space="preserve"> — Constancia de Estado de Modificaciones (historial del lote para compraventas)</w:t>
      </w:r>
    </w:p>
    <w:p>
      <w:pPr>
        <w:pStyle w:val="ListBullet"/>
      </w:pPr>
      <w:r>
        <w:rPr/>
      </w:r>
      <w:r>
        <w:rPr>
          <w:b/>
        </w:rPr>
        <w:t>R-1</w:t>
      </w:r>
      <w:r>
        <w:rPr/>
        <w:t xml:space="preserve"> — Solicitud de Regularización / Amnistía (para obras sin proceso previo)</w:t>
      </w:r>
    </w:p>
    <w:p>
      <w:pPr>
        <w:spacing w:after="160"/>
      </w:pPr>
      <w:r>
        <w:rPr/>
      </w:r>
      <w:r>
        <w:rPr>
          <w:b/>
        </w:rPr>
        <w:t>Manuales de proceso:</w:t>
      </w:r>
      <w:r>
        <w:rPr/>
      </w:r>
    </w:p>
    <w:p>
      <w:pPr>
        <w:pStyle w:val="ListBullet"/>
      </w:pPr>
      <w:r>
        <w:rPr/>
      </w:r>
      <w:r>
        <w:rPr>
          <w:b/>
        </w:rPr>
        <w:t>P-3</w:t>
      </w:r>
      <w:r>
        <w:rPr/>
        <w:t xml:space="preserve"> — Proceso de Apelación de resolución del Consejo de Diseño</w:t>
      </w:r>
    </w:p>
    <w:p>
      <w:pPr>
        <w:pStyle w:val="ListBullet"/>
      </w:pPr>
      <w:r>
        <w:rPr/>
      </w:r>
      <w:r>
        <w:rPr>
          <w:b/>
        </w:rPr>
        <w:t>P-4</w:t>
      </w:r>
      <w:r>
        <w:rPr/>
        <w:t xml:space="preserve"> — Protocolo de Entrega-Recepción entre administradores</w:t>
      </w:r>
    </w:p>
    <w:p>
      <w:pPr>
        <w:pStyle w:val="ListBullet"/>
      </w:pPr>
      <w:r>
        <w:rPr/>
      </w:r>
      <w:r>
        <w:rPr>
          <w:b/>
        </w:rPr>
        <w:t>P-5</w:t>
      </w:r>
      <w:r>
        <w:rPr/>
        <w:t xml:space="preserve"> — Inventario Inicial de Obras al activarse el sistema</w:t>
      </w:r>
    </w:p>
    <w:p>
      <w:pPr>
        <w:pStyle w:val="ListBullet"/>
      </w:pPr>
      <w:r>
        <w:rPr/>
      </w:r>
      <w:r>
        <w:rPr>
          <w:b/>
        </w:rPr>
        <w:t>P-6</w:t>
      </w:r>
      <w:r>
        <w:rPr/>
        <w:t xml:space="preserve"> — Solicitud de planos originales a HABI y al Municipio</w:t>
      </w:r>
    </w:p>
    <w:p>
      <w:pPr>
        <w:spacing w:after="160"/>
      </w:pPr>
      <w:r>
        <w:rPr/>
      </w:r>
      <w:r>
        <w:rPr>
          <w:b/>
        </w:rPr>
        <w:t>Propuesta complementaria:</w:t>
      </w:r>
      <w:r>
        <w:rPr/>
      </w:r>
    </w:p>
    <w:p>
      <w:pPr>
        <w:pStyle w:val="ListBullet"/>
      </w:pPr>
      <w:r>
        <w:rPr/>
      </w:r>
      <w:r>
        <w:rPr>
          <w:b/>
        </w:rPr>
        <w:t>Modificaciones al Catálogo de Multas</w:t>
      </w:r>
      <w:r>
        <w:rPr/>
        <w:t xml:space="preserve"> — Actualización de los conceptos de construcción del Catálogo vigente (Nos. 8–10) y nuevos conceptos (Nos. 17–20) derivados del sistema propuesto. No es parte del Reglamento; requiere aprobación de la administración y el Comité de Representantes.</w:t>
      </w:r>
    </w:p>
    <w:p>
      <w:pPr>
        <w:spacing w:after="160"/>
      </w:pPr>
      <w:r>
        <w:rPr/>
        <w:t>Puedes leer los artículos en orden, consultar un formato específico o llevar estos documentos impresos a la Asamblea para seguir el debate en tiempo real.</w:t>
      </w:r>
    </w:p>
    <w:p>
      <w:pPr>
        <w:spacing w:after="160"/>
      </w:pPr>
      <w:r>
        <w:rPr/>
      </w:r>
      <w:r>
        <w:rPr>
          <w:b/>
        </w:rPr>
        <w:t>Al terminar esta sección sabrás</w:t>
      </w:r>
      <w:r>
        <w:rPr/>
        <w:t xml:space="preserve"> exactamente qué estarías votando y cómo operaría el sistema una vez aprobado.</w:t>
      </w:r>
    </w:p>
    <w:p>
      <w:pPr>
        <w:pBdr>
          <w:bottom w:val="single" w:sz="6" w:space="1" w:color="E2E8F0"/>
        </w:pBdr>
      </w:pPr>
    </w:p>
    <w:p>
      <w:pPr>
        <w:pStyle w:val="Heading1"/>
        <w:pageBreakBefore/>
        <w:spacing w:before="480" w:after="240"/>
        <w:jc w:val="center"/>
      </w:pPr>
      <w:r>
        <w:rPr>
          <w:b/>
          <w:color w:val="1B2C3E"/>
          <w:sz w:val="48"/>
        </w:rPr>
        <w:t>Apéndice: Texto Propuesto de los Artículos A–E</w:t>
      </w:r>
    </w:p>
    <w:p>
      <w:pPr>
        <w:spacing w:after="160"/>
      </w:pPr>
      <w:r>
        <w:rPr>
          <w:i/>
        </w:rPr>
        <w:t>Para adición al Reglamento del Régimen de Propiedad en Condominio El Toro — Fraccionamiento Solé. Los siguientes textos son propuestas de redacción normativa para consideración y modificación por la Asamblea General de Condóminos. No tienen efecto vinculante hasta su aprobación formal.</w:t>
      </w:r>
    </w:p>
    <w:p>
      <w:pPr>
        <w:pBdr>
          <w:bottom w:val="single" w:sz="6" w:space="1" w:color="E2E8F0"/>
        </w:pBdr>
      </w:pPr>
    </w:p>
    <w:p>
      <w:pPr>
        <w:spacing w:after="160"/>
      </w:pPr>
      <w:r>
        <w:rPr/>
      </w:r>
      <w:r>
        <w:rPr>
          <w:b/>
        </w:rPr>
        <w:t>ARTÍCULO A — CONSTITUCIÓN FORMAL DEL CONSEJO DE DISEÑO</w:t>
      </w:r>
      <w:r>
        <w:rPr/>
      </w:r>
    </w:p>
    <w:p>
      <w:pPr>
        <w:spacing w:after="160"/>
      </w:pPr>
      <w:r>
        <w:rPr/>
        <w:t>I. INTEGRACIÓN</w:t>
      </w:r>
    </w:p>
    <w:p>
      <w:pPr>
        <w:spacing w:after="160"/>
      </w:pPr>
      <w:r>
        <w:rPr/>
        <w:t>El CONSEJO DE DISEÑO se integrará por cinco miembros: (a) Tres CONDÓMINOS propietarios elegidos en Asamblea General por voto nominal. Al menos uno deberá acreditar cédula profesional vigente en Arquitectura, Ingeniería Civil, Ingeniería Arquitectónica, Diseño Arquitectónico o Diseño de Interiores ante la Dirección General de Profesiones, o registro vigente como DRO ante el Municipio de Soledad de Graciano Sánchez. Esta condición es preferente pero no excluyente si ningún condómino con ese perfil acepta el cargo. (b) EL ADMINISTRADOR o su representante, con voz pero sin voto. (c) Un representante del COMITÉ DE VIGILANCIA, con voz pero sin voto.</w:t>
      </w:r>
    </w:p>
    <w:p>
      <w:pPr>
        <w:spacing w:after="160"/>
      </w:pPr>
      <w:r>
        <w:rPr/>
        <w:t>Los tres miembros votantes durarán en su cargo un año, con posibilidad de máximo dos reelecciones consecutivas. El CONSEJO designará de entre sus miembros un Presidente cuyo voto es de calidad en caso de empate.</w:t>
      </w:r>
    </w:p>
    <w:p>
      <w:pPr>
        <w:spacing w:after="160"/>
      </w:pPr>
      <w:r>
        <w:rPr/>
        <w:t>II. FUNCIONAMIENTO</w:t>
      </w:r>
    </w:p>
    <w:p>
      <w:pPr>
        <w:spacing w:after="160"/>
      </w:pPr>
      <w:r>
        <w:rPr/>
        <w:t>(a) El CONSEJO se reunirá cuando exista al menos una solicitud pendiente, y al menos una vez al mes para revisar obras en proceso. (b) Las resoluciones — aprobaciones y rechazos — deberán constar por escrito con referencia expresa al Reglamento o al MANUAL. Una negativa sin fundamento escrito dentro del plazo se considerará aprobación tácita. (c) La aprobación del CONSEJO es exclusivamente estética y de cumplimiento con el MANUAL. No sustituye la responsabilidad técnica y estructural del DRO.</w:t>
      </w:r>
    </w:p>
    <w:p>
      <w:pPr>
        <w:spacing w:after="160"/>
      </w:pPr>
      <w:r>
        <w:rPr/>
        <w:t>III. PLAZOS</w:t>
      </w:r>
    </w:p>
    <w:tbl>
      <w:tblPr>
        <w:tblStyle w:val="TableGrid"/>
        <w:tblW w:type="auto" w:w="0"/>
        <w:tblLook w:firstColumn="1" w:firstRow="1" w:lastColumn="0" w:lastRow="0" w:noHBand="0" w:noVBand="1" w:val="04A0"/>
      </w:tblPr>
      <w:tblGrid>
        <w:gridCol w:w="3230"/>
        <w:gridCol w:w="3230"/>
        <w:gridCol w:w="3230"/>
      </w:tblGrid>
      <w:tr>
        <w:tc>
          <w:tcPr>
            <w:tcW w:type="dxa" w:w="3230"/>
          </w:tcPr>
          <w:p>
            <w:r>
              <w:rPr>
                <w:b/>
              </w:rPr>
            </w:r>
            <w:r>
              <w:rPr>
                <w:b/>
              </w:rPr>
              <w:t>Tipo</w:t>
            </w:r>
            <w:r>
              <w:rPr>
                <w:b/>
              </w:rPr>
            </w:r>
          </w:p>
        </w:tc>
        <w:tc>
          <w:tcPr>
            <w:tcW w:type="dxa" w:w="3230"/>
          </w:tcPr>
          <w:p>
            <w:r>
              <w:rPr>
                <w:b/>
              </w:rPr>
            </w:r>
            <w:r>
              <w:rPr>
                <w:b/>
              </w:rPr>
              <w:t>Acción</w:t>
            </w:r>
            <w:r>
              <w:rPr>
                <w:b/>
              </w:rPr>
            </w:r>
          </w:p>
        </w:tc>
        <w:tc>
          <w:tcPr>
            <w:tcW w:type="dxa" w:w="3230"/>
          </w:tcPr>
          <w:p>
            <w:r>
              <w:rPr>
                <w:b/>
              </w:rPr>
            </w:r>
            <w:r>
              <w:rPr>
                <w:b/>
              </w:rPr>
              <w:t>Plazo</w:t>
            </w:r>
            <w:r>
              <w:rPr>
                <w:b/>
              </w:rPr>
            </w:r>
          </w:p>
        </w:tc>
      </w:tr>
      <w:tr>
        <w:tc>
          <w:tcPr>
            <w:tcW w:type="dxa" w:w="3230"/>
          </w:tcPr>
          <w:p>
            <w:r>
              <w:rPr/>
              <w:t>Obra Menor</w:t>
            </w:r>
          </w:p>
        </w:tc>
        <w:tc>
          <w:tcPr>
            <w:tcW w:type="dxa" w:w="3230"/>
          </w:tcPr>
          <w:p>
            <w:r>
              <w:rPr/>
              <w:t>Verificación del Administrador</w:t>
            </w:r>
          </w:p>
        </w:tc>
        <w:tc>
          <w:tcPr>
            <w:tcW w:type="dxa" w:w="3230"/>
          </w:tcPr>
          <w:p>
            <w:r>
              <w:rPr/>
              <w:t>24 horas desde notificación</w:t>
            </w:r>
          </w:p>
        </w:tc>
      </w:tr>
      <w:tr>
        <w:tc>
          <w:tcPr>
            <w:tcW w:type="dxa" w:w="3230"/>
          </w:tcPr>
          <w:p>
            <w:r>
              <w:rPr/>
              <w:t>Obra Intermedia</w:t>
            </w:r>
          </w:p>
        </w:tc>
        <w:tc>
          <w:tcPr>
            <w:tcW w:type="dxa" w:w="3230"/>
          </w:tcPr>
          <w:p>
            <w:r>
              <w:rPr/>
              <w:t>Resolución del Consejo de Diseño</w:t>
            </w:r>
          </w:p>
        </w:tc>
        <w:tc>
          <w:tcPr>
            <w:tcW w:type="dxa" w:w="3230"/>
          </w:tcPr>
          <w:p>
            <w:r>
              <w:rPr/>
              <w:t>5 días hábiles</w:t>
            </w:r>
          </w:p>
        </w:tc>
      </w:tr>
      <w:tr>
        <w:tc>
          <w:tcPr>
            <w:tcW w:type="dxa" w:w="3230"/>
          </w:tcPr>
          <w:p>
            <w:r>
              <w:rPr/>
              <w:t>Obra Mayor</w:t>
            </w:r>
          </w:p>
        </w:tc>
        <w:tc>
          <w:tcPr>
            <w:tcW w:type="dxa" w:w="3230"/>
          </w:tcPr>
          <w:p>
            <w:r>
              <w:rPr/>
              <w:t>Resolución del Consejo de Diseño</w:t>
            </w:r>
          </w:p>
        </w:tc>
        <w:tc>
          <w:tcPr>
            <w:tcW w:type="dxa" w:w="3230"/>
          </w:tcPr>
          <w:p>
            <w:r>
              <w:rPr/>
              <w:t>15 días hábiles — sin aprobación tácita</w:t>
            </w:r>
          </w:p>
        </w:tc>
      </w:tr>
    </w:tbl>
    <w:p>
      <w:pPr>
        <w:spacing w:after="160"/>
      </w:pPr>
      <w:r>
        <w:rPr/>
        <w:t>IV. VACANCIA: Ante vacancia, el COMITÉ DE REPRESENTANTES designará sustituto provisional en 15 días naturales.</w:t>
      </w:r>
    </w:p>
    <w:p>
      <w:pPr>
        <w:spacing w:after="160"/>
      </w:pPr>
      <w:r>
        <w:rPr/>
        <w:t>V. EXENCIÓN DEL DESARROLLADOR: La construcción de PROMOCIONES HABI, S.A. de C.V. conforme al proyecto ejecutivo autorizado por el Municipio no requiere autorización del CONSEJO DE DISEÑO, en tanto corresponda al proyecto original o a sus variantes aprobadas municipalmente. Los lotes en poder del desarrollador al momento de aprobación del presente artículo quedan sujetos al sistema desde la fecha en que se escrituren a compradores finales, no desde la aprobación del presente.</w:t>
      </w:r>
    </w:p>
    <w:p>
      <w:pPr>
        <w:pBdr>
          <w:bottom w:val="single" w:sz="6" w:space="1" w:color="E2E8F0"/>
        </w:pBdr>
      </w:pPr>
    </w:p>
    <w:p>
      <w:pPr>
        <w:spacing w:after="160"/>
      </w:pPr>
      <w:r>
        <w:rPr/>
      </w:r>
      <w:r>
        <w:rPr>
          <w:b/>
        </w:rPr>
        <w:t>ARTÍCULO B — EL MANUAL DE IMAGEN URBANA COMO NORMA OBLIGATORIA</w:t>
      </w:r>
      <w:r>
        <w:rPr/>
      </w:r>
    </w:p>
    <w:p>
      <w:pPr>
        <w:spacing w:after="160"/>
      </w:pPr>
      <w:r>
        <w:rPr/>
        <w:t>I. NATURALEZA Y JERARQUÍA: El Manual de Imagen Urbana y Lineamientos Arquitectónicos ('el MANUAL') constituye un Anexo Técnico de observancia obligatoria del Reglamento, con la misma jerarquía normativa. En caso de contradicción, prevalece la disposición más restrictiva. El MANUAL no puede relajar los mínimos de seguridad estructural, habitabilidad o uso de suelo establecidos por el Reglamento de Construcción del Municipio de Soledad de Graciano Sánchez.</w:t>
      </w:r>
    </w:p>
    <w:p>
      <w:pPr>
        <w:spacing w:after="160"/>
      </w:pPr>
      <w:r>
        <w:rPr/>
        <w:t>II. ELABORACIÓN: El MANUAL se elaborará con base en los planos arquitectónicos del proyecto original de PROMOCIONES HABI, S.A. de C.V. — específicamente: carta cromática, especificación de acabados exteriores y planos de fachadas tipo, incluyendo las variantes aprobadas por el Municipio. EL ADMINISTRADOR deberá obtener y conservar dichos documentos como acervo oficial del condominio. El MANUAL se someterá a aprobación de la ASAMBLEA GENERAL en un plazo máximo de 180 días desde la entrada en vigor del presente artículo.</w:t>
      </w:r>
    </w:p>
    <w:p>
      <w:pPr>
        <w:spacing w:after="160"/>
      </w:pPr>
      <w:r>
        <w:rPr/>
        <w:t>III. CONTENIDO MÍNIMO: El MANUAL contendrá como mínimo: (1) Paleta de Materiales con especificaciones técnicas; (2) Paleta de Colores con códigos en al menos dos marcas disponibles en SLP; (3) Lineamientos de Fachada y Frente de Lote; (4) Lineamientos de Ampliaciones; (5) Instalaciones y Servicios; (6) Jardinería y Paisajismo.</w:t>
      </w:r>
    </w:p>
    <w:p>
      <w:pPr>
        <w:spacing w:after="160"/>
      </w:pPr>
      <w:r>
        <w:rPr/>
        <w:t>IV. MATERIALES EQUIVALENTES: Cuando un material especificado en el MANUAL no esté disponible en el mercado, el condómino puede proponer al CONSEJO DE DISEÑO un material equivalente. El CONSEJO evaluará textura, color, dimensiones y durabilidad, y emitirá resolución escrita. Los equivalentes aprobados se incorporarán al MANUAL en su siguiente actualización.</w:t>
      </w:r>
    </w:p>
    <w:p>
      <w:pPr>
        <w:spacing w:after="160"/>
      </w:pPr>
      <w:r>
        <w:rPr/>
        <w:t>V. PUBLICACIÓN: El MANUAL se entregará a cada condómino y arrendatario, se publicará en el canal oficial del condominio, estará disponible con el ADMINISTRADOR y se entregará obligatoriamente a cada nuevo adquiriente o arrendatario.</w:t>
      </w:r>
    </w:p>
    <w:p>
      <w:pPr>
        <w:pBdr>
          <w:bottom w:val="single" w:sz="6" w:space="1" w:color="E2E8F0"/>
        </w:pBdr>
      </w:pPr>
    </w:p>
    <w:p>
      <w:pPr>
        <w:spacing w:after="160"/>
      </w:pPr>
      <w:r>
        <w:rPr/>
      </w:r>
      <w:r>
        <w:rPr>
          <w:b/>
        </w:rPr>
        <w:t>ARTÍCULO C — CLASIFICACIÓN DE OBRAS Y REQUISITOS POR TIPO</w:t>
      </w:r>
      <w:r>
        <w:rPr/>
      </w:r>
    </w:p>
    <w:p>
      <w:pPr>
        <w:spacing w:after="160"/>
      </w:pPr>
      <w:r>
        <w:rPr/>
        <w:t>CATEGORÍA I — OBRA MENOR: Intervenciones de mantenimiento o cambio de acabados que no modifican estructura, distribución, fachada ni superficie construida. Excepción: si incluye fachada o superficie visible desde calle o área común, eleva a Categoría II. Requisitos: Notificación al ADMINISTRADOR 48 horas antes (Formato C-1). Sin autorización previa del CONSEJO. Sin depósito. El ADMINISTRADOR notificará reclasificación en 24 horas si el trabajo no encuadra en esta categoría.</w:t>
      </w:r>
    </w:p>
    <w:p>
      <w:pPr>
        <w:spacing w:after="160"/>
      </w:pPr>
      <w:r>
        <w:rPr/>
        <w:t>CATEGORÍA II — OBRA INTERMEDIA: Modificaciones con impacto en apariencia exterior o instalación de elementos visibles desde calle o áreas comunes. Requisitos: (a) Solicitud escrita al CONSEJO con materiales referenciados al MANUAL. (b) Último recibo de cuota al corriente. (c) Cuota de revisión: $1,500 MXN. (d) Depósito en garantía: $3,000 MXN, reembolsable al término satisfactorio. (e) El CONSEJO resolverá en 5 días hábiles. Aprobación tácita si no hay respuesta en plazo.</w:t>
      </w:r>
    </w:p>
    <w:p>
      <w:pPr>
        <w:spacing w:after="160"/>
      </w:pPr>
      <w:r>
        <w:rPr/>
        <w:t xml:space="preserve">CATEGORÍA III — OBRA MAYOR: Ampliaciones de superficie construida, nuevos volúmenes, modificaciones estructurales, adición de niveles, o cualquier obra que requiera permiso municipal. Requisitos: (a) Solicitud completa conforme al </w:t>
      </w:r>
      <w:r>
        <w:rPr>
          <w:b/>
        </w:rPr>
        <w:t>Art. 123 vigente</w:t>
      </w:r>
      <w:r>
        <w:rPr/>
        <w:t xml:space="preserve"> </w:t>
      </w:r>
      <w:r>
        <w:rPr>
          <w:i/>
        </w:rPr>
        <w:t>(el condómino deberá presentar: plano del proyecto acotado, descripción de acabados, copia de escrituras, último recibo de cuota de mantenimiento, copia del acta de entrega de la vivienda; generando cuota de revisión de $1,500 MXN más cuota de supervisión).</w:t>
      </w:r>
      <w:r>
        <w:rPr/>
        <w:t xml:space="preserve"> (b) DRO con cédula profesional vigente, quien asume responsabilidad técnica y legal. (c) Autorización previa del CONSEJO antes de gestionar permisos municipales. (d) Permisos de la Dirección de Desarrollo Urbano de Soledad. (e) Depósito en garantía: 15% del presupuesto, mínimo $10,000 MXN. (f) Visitas de supervisión del CONSEJO durante la obra. No hay aprobación tácita.</w:t>
      </w:r>
    </w:p>
    <w:p>
      <w:pPr>
        <w:pBdr>
          <w:bottom w:val="single" w:sz="6" w:space="1" w:color="E2E8F0"/>
        </w:pBdr>
      </w:pPr>
    </w:p>
    <w:p>
      <w:pPr>
        <w:spacing w:after="160"/>
      </w:pPr>
      <w:r>
        <w:rPr/>
      </w:r>
      <w:r>
        <w:rPr>
          <w:b/>
        </w:rPr>
        <w:t>ARTÍCULO D — REGISTRO HISTÓRICO DE MODIFICACIONES Y CONSTANCIA NOTARIAL</w:t>
      </w:r>
      <w:r>
        <w:rPr/>
      </w:r>
    </w:p>
    <w:p>
      <w:pPr>
        <w:spacing w:after="160"/>
      </w:pPr>
      <w:r>
        <w:rPr/>
        <w:t xml:space="preserve">I. REGISTRO: EL ADMINISTRADOR llevará un Registro de Modificaciones por lote en formato estandarizado que contendrá: número de lote, tipo de obra, descripción autorizada, fecha de autorización, nombre del DRO (para Categoría III), fecha de conclusión y liberación del depósito, y observaciones de inspección final. Este registro es accesible para cualquier CONDÓMINO y se presenta en la rendición semestral del </w:t>
      </w:r>
      <w:r>
        <w:rPr>
          <w:b/>
        </w:rPr>
        <w:t>Art. 70 del Reglamento</w:t>
      </w:r>
      <w:r>
        <w:rPr/>
        <w:t xml:space="preserve"> </w:t>
      </w:r>
      <w:r>
        <w:rPr>
          <w:i/>
        </w:rPr>
        <w:t>("EL ADMINISTRADOR tiene la obligación de presentar a LOS CONDÓMINOS liquidaciones semestrales por escrito que especifiquen: relación de gastos, relación de ingresos y relación por lote que muestre el adeudo al empezar el semestre")</w:t>
      </w:r>
      <w:r>
        <w:rPr/>
        <w:t>.</w:t>
      </w:r>
    </w:p>
    <w:p>
      <w:pPr>
        <w:spacing w:after="160"/>
      </w:pPr>
      <w:r>
        <w:rPr/>
        <w:t xml:space="preserve">II. CONTINUIDAD DEL REGISTRO: Al cambiar de Administrador, el Registro se transfiere como parte del acta de entrega-recepción del </w:t>
      </w:r>
      <w:r>
        <w:rPr>
          <w:b/>
        </w:rPr>
        <w:t>Art. 84 del Reglamento</w:t>
      </w:r>
      <w:r>
        <w:rPr/>
        <w:t xml:space="preserve"> </w:t>
      </w:r>
      <w:r>
        <w:rPr>
          <w:i/>
        </w:rPr>
        <w:t>("la saliente en el ejercicio de su cargo, entregará el mismo a quien deba sustituirlo, junto con todos los documentos correspondientes, incluyendo los estados de cuenta, valores, muebles, inmuebles y demás bienes que tuviera bajo su resguardo [...] debiéndose levantar un acta circunstanciada de dicha entrega–recepción")</w:t>
      </w:r>
      <w:r>
        <w:rPr/>
        <w:t>, con verificación de integridad por el COMITÉ DE VIGILANCIA. El Registro deberá tener copia de seguridad accesible para el COMITÉ DE REPRESENTANTES, independientemente de quién administre.</w:t>
      </w:r>
    </w:p>
    <w:p>
      <w:pPr>
        <w:spacing w:after="160"/>
      </w:pPr>
      <w:r>
        <w:rPr/>
        <w:t xml:space="preserve">III. CONSTANCIA EN TRANSMISIONES DE PROPIEDAD: En toda transmisión de propiedad, EL ADMINISTRADOR expedirá una Constancia de Estado de Modificaciones del Lote en un plazo máximo de 5 días hábiles desde la solicitud. Si no la expide en ese plazo, se entiende que no existen observaciones registradas. La Constancia se entrega junto con la constancia de no adeudo del </w:t>
      </w:r>
      <w:r>
        <w:rPr>
          <w:b/>
        </w:rPr>
        <w:t>Art. 14 del Reglamento</w:t>
      </w:r>
      <w:r>
        <w:rPr/>
        <w:t xml:space="preserve"> </w:t>
      </w:r>
      <w:r>
        <w:rPr>
          <w:i/>
        </w:rPr>
        <w:t>("Cuando se celebre un contrato traslativo de dominio [...] la parte vendedora deberá presentar ante notario público una constancia de no adeudo del pago de las CUOTAS DE MANTENIMIENTO, administración y de reserva, por EL ADMINISTRADOR. Si no se presenta la constancia de no adeudo, el notario se abstendrá de realizar la operación")</w:t>
      </w:r>
      <w:r>
        <w:rPr/>
        <w:t xml:space="preserve"> e indica si existen obras no autorizadas pendientes de regularización. El notario que formalice la operación la recibirá y mencionará en el instrumento. Sus efectos son informativos en la presente etapa. EL ADMINISTRADOR asume responsabilidad civil por constancias emitidas con información incorrecta derivada de negligencia grave.</w:t>
      </w:r>
    </w:p>
    <w:p>
      <w:pPr>
        <w:spacing w:after="160"/>
      </w:pPr>
      <w:r>
        <w:rPr/>
        <w:t>IV. ENTRADA EN VIGOR DE LA CONSTANCIA: La Constancia de Estado de Modificaciones no será exigible en compraventas sino hasta el día siguiente al cierre del período de amnistía establecido en el Artículo E.</w:t>
      </w:r>
    </w:p>
    <w:p>
      <w:pPr>
        <w:pBdr>
          <w:bottom w:val="single" w:sz="6" w:space="1" w:color="E2E8F0"/>
        </w:pBdr>
      </w:pPr>
    </w:p>
    <w:p>
      <w:pPr>
        <w:spacing w:after="160"/>
      </w:pPr>
      <w:r>
        <w:rPr/>
      </w:r>
      <w:r>
        <w:rPr>
          <w:b/>
        </w:rPr>
        <w:t>ARTÍCULO E — OBRAS NO AUTORIZADAS, AMNISTÍA Y OBLIGACIÓN DE RESTITUCIÓN</w:t>
      </w:r>
      <w:r>
        <w:rPr/>
      </w:r>
    </w:p>
    <w:p>
      <w:pPr>
        <w:spacing w:after="160"/>
      </w:pPr>
      <w:r>
        <w:rPr/>
        <w:t>I. DEFINICIÓN: Es obra no autorizada toda intervención realizada sin seguir el proceso del Artículo C, o que habiendo iniciado el proceso se ejecute sin resolución favorable del CONSEJO DE DISEÑO. Detectada una obra no autorizada, EL ADMINISTRADOR o el CONSEJO notificarán al CONDÓMINO en 48 horas, indicando la obra, el artículo del Reglamento o sección del MANUAL que contraviene, y las opciones disponibles.</w:t>
      </w:r>
    </w:p>
    <w:p>
      <w:pPr>
        <w:spacing w:after="160"/>
      </w:pPr>
      <w:r>
        <w:rPr/>
        <w:t>II. PERÍODO DE AMNISTÍA: Durante los 90 días naturales siguientes a la aprobación del MANUAL, los CONDÓMINOS con obras preexistentes no autorizadas podrán acogerse a las siguientes condiciones reducidas: (a) Si la obra puede regularizarse conforme al MANUAL: multa de regularización equivalente al 50% de la tarifa normal (es decir, equivalente a un depósito en garantía en lugar de dos). (b) Si la obra no puede regularizarse por contravenir prohibiciones vigentes del Reglamento: la restitución procede con reducción del 50% en las penalidades administrativas. El período de amnistía es aplicable por una sola vez.</w:t>
      </w:r>
    </w:p>
    <w:p>
      <w:pPr>
        <w:spacing w:after="160"/>
      </w:pPr>
      <w:r>
        <w:rPr/>
        <w:t>Ejemplo de cálculo con amnistía: Para una Obra Mayor con presupuesto original de $150,000 MXN — Depósito en garantía normal: $22,500 (15%). Multa de regularización tarifa normal: $45,000 (doble del depósito). Multa con período de amnistía: $22,500 (50% de descuento).</w:t>
      </w:r>
    </w:p>
    <w:p>
      <w:pPr>
        <w:spacing w:after="160"/>
      </w:pPr>
      <w:r>
        <w:rPr/>
        <w:t>III. RECONOCIMIENTO DE MEJORAS PREEXISTENTES: Las obras realizadas antes de la entrada en vigor del presente artículo, por condóminos que no podían seguir ningún proceso formal porque éste no existía, podrán ser certificadas por el CONSEJO DE DISEÑO mediante Constancia de Conformidad sin cargo de multa, siempre que cumplan con los criterios del MANUAL una vez aprobado. Este mecanismo es distinto a la amnistía y aplica a condóminos de buena fe cuyas obras se realizaron en ausencia de proceso, no en evasión de él.</w:t>
      </w:r>
    </w:p>
    <w:p>
      <w:pPr>
        <w:spacing w:after="160"/>
      </w:pPr>
      <w:r>
        <w:rPr/>
        <w:t>IV. OPCIONES ANTE OBRA NO AUTORIZADA (fuera del período de amnistía): Dentro de los 15 días hábiles siguientes a la notificación, el CONDÓMINO elegirá: Opción A — Regularización: multa equivalente al doble del depósito en garantía correspondiente, si la obra cumple el MANUAL. Opción B — Restitución: devolver el inmueble a su estado anterior en plazo máximo de 60 días naturales.</w:t>
      </w:r>
    </w:p>
    <w:p>
      <w:pPr>
        <w:spacing w:after="160"/>
      </w:pPr>
      <w:r>
        <w:rPr/>
        <w:t>V. INCUMPLIMIENTO: Si el CONDÓMINO no elige ni ejecuta ninguna opción: (a) EL ADMINISTRADOR aplicará la multa máxima del Capítulo Sexto. (b) El COMITÉ DE REPRESENTANTES contratará la restitución con cargo al CONDÓMINO infractor. (c) EL ADMINISTRADOR presentará denuncia ante la Dirección de Desarrollo Urbano del Municipio si la obra requería permiso municipal. La denuncia municipal es un mecanismo de fiscalización administrativa; su resolución por parte del Municipio puede tomar tiempo variable y está sujeta a sus propios procedimientos y recursos disponibles.</w:t>
      </w:r>
    </w:p>
    <w:p>
      <w:pPr>
        <w:pBdr>
          <w:bottom w:val="single" w:sz="6" w:space="1" w:color="E2E8F0"/>
        </w:pBdr>
      </w:pPr>
    </w:p>
    <w:p>
      <w:pPr>
        <w:spacing w:after="160"/>
      </w:pPr>
      <w:r>
        <w:rPr>
          <w:i/>
        </w:rPr>
        <w:t>Propuesta ciudadana — Art. 99 Reglamento Interno · Junio 2026</w:t>
      </w:r>
    </w:p>
    <w:p>
      <w:pPr>
        <w:pBdr>
          <w:bottom w:val="single" w:sz="6" w:space="1" w:color="E2E8F0"/>
        </w:pBdr>
      </w:pPr>
    </w:p>
    <w:p>
      <w:pPr>
        <w:pStyle w:val="Heading1"/>
        <w:pageBreakBefore/>
        <w:spacing w:before="480" w:after="240"/>
        <w:jc w:val="center"/>
      </w:pPr>
      <w:r>
        <w:rPr>
          <w:b/>
          <w:color w:val="1B2C3E"/>
          <w:sz w:val="48"/>
        </w:rPr>
        <w:t>Formato C-1 — Aviso de Obra Pequeña</w:t>
      </w:r>
    </w:p>
    <w:p>
      <w:pPr>
        <w:spacing w:after="160"/>
      </w:pPr>
      <w:r>
        <w:rPr>
          <w:i/>
        </w:rPr>
        <w:t>Categoría I — Para obras de mantenimiento o cambio de acabados que no afectan estructura, distribución interna, fachada ni superficie construida. Presentar al Administrador con mínimo 48 horas de anticipación al inicio de la obra.</w:t>
      </w:r>
    </w:p>
    <w:p>
      <w:pPr>
        <w:pBdr>
          <w:bottom w:val="single" w:sz="6" w:space="1" w:color="E2E8F0"/>
        </w:pBdr>
      </w:pPr>
    </w:p>
    <w:p>
      <w:pPr>
        <w:pStyle w:val="Heading2"/>
        <w:spacing w:before="360" w:after="180"/>
      </w:pPr>
      <w:r>
        <w:rPr>
          <w:b/>
          <w:color w:val="1B2C3E"/>
          <w:sz w:val="36"/>
        </w:rPr>
        <w:t>Datos del solicitante</w:t>
      </w:r>
    </w:p>
    <w:tbl>
      <w:tblPr>
        <w:tblStyle w:val="TableGrid"/>
        <w:tblW w:type="auto" w:w="0"/>
        <w:tblLook w:firstColumn="1" w:firstRow="1" w:lastColumn="0" w:lastRow="0" w:noHBand="0" w:noVBand="1" w:val="04A0"/>
      </w:tblPr>
      <w:tblGrid>
        <w:gridCol w:w="4844"/>
        <w:gridCol w:w="4844"/>
      </w:tblGrid>
      <w:tr>
        <w:tc>
          <w:tcPr>
            <w:tcW w:type="dxa" w:w="4844"/>
          </w:tcPr>
          <w:p>
            <w:r>
              <w:rPr>
                <w:b/>
              </w:rPr>
              <w:t>Campo</w:t>
            </w:r>
          </w:p>
        </w:tc>
        <w:tc>
          <w:tcPr>
            <w:tcW w:type="dxa" w:w="4844"/>
          </w:tcPr>
          <w:p>
            <w:r>
              <w:rPr>
                <w:b/>
              </w:rPr>
              <w:t>Dato</w:t>
            </w:r>
          </w:p>
        </w:tc>
      </w:tr>
      <w:tr>
        <w:tc>
          <w:tcPr>
            <w:tcW w:type="dxa" w:w="4844"/>
          </w:tcPr>
          <w:p>
            <w:r>
              <w:rPr/>
              <w:t>Nombre completo del propietario</w:t>
            </w:r>
          </w:p>
        </w:tc>
        <w:tc>
          <w:tcPr>
            <w:tcW w:type="dxa" w:w="4844"/>
          </w:tcPr>
          <w:p/>
        </w:tc>
      </w:tr>
      <w:tr>
        <w:tc>
          <w:tcPr>
            <w:tcW w:type="dxa" w:w="4844"/>
          </w:tcPr>
          <w:p>
            <w:r>
              <w:rPr/>
              <w:t>Lote número</w:t>
            </w:r>
          </w:p>
        </w:tc>
        <w:tc>
          <w:tcPr>
            <w:tcW w:type="dxa" w:w="4844"/>
          </w:tcPr>
          <w:p/>
        </w:tc>
      </w:tr>
      <w:tr>
        <w:tc>
          <w:tcPr>
            <w:tcW w:type="dxa" w:w="4844"/>
          </w:tcPr>
          <w:p>
            <w:r>
              <w:rPr/>
              <w:t>Circuito / Calle</w:t>
            </w:r>
          </w:p>
        </w:tc>
        <w:tc>
          <w:tcPr>
            <w:tcW w:type="dxa" w:w="4844"/>
          </w:tcPr>
          <w:p/>
        </w:tc>
      </w:tr>
      <w:tr>
        <w:tc>
          <w:tcPr>
            <w:tcW w:type="dxa" w:w="4844"/>
          </w:tcPr>
          <w:p>
            <w:r>
              <w:rPr/>
              <w:t>Teléfono de contacto</w:t>
            </w:r>
          </w:p>
        </w:tc>
        <w:tc>
          <w:tcPr>
            <w:tcW w:type="dxa" w:w="4844"/>
          </w:tcPr>
          <w:p/>
        </w:tc>
      </w:tr>
      <w:tr>
        <w:tc>
          <w:tcPr>
            <w:tcW w:type="dxa" w:w="4844"/>
          </w:tcPr>
          <w:p>
            <w:r>
              <w:rPr/>
              <w:t>Correo electrónico</w:t>
            </w:r>
          </w:p>
        </w:tc>
        <w:tc>
          <w:tcPr>
            <w:tcW w:type="dxa" w:w="4844"/>
          </w:tcPr>
          <w:p/>
        </w:tc>
      </w:tr>
    </w:tbl>
    <w:p>
      <w:pPr>
        <w:pBdr>
          <w:bottom w:val="single" w:sz="6" w:space="1" w:color="E2E8F0"/>
        </w:pBdr>
      </w:pPr>
    </w:p>
    <w:p>
      <w:pPr>
        <w:pStyle w:val="Heading2"/>
        <w:spacing w:before="360" w:after="180"/>
      </w:pPr>
      <w:r>
        <w:rPr>
          <w:b/>
          <w:color w:val="1B2C3E"/>
          <w:sz w:val="36"/>
        </w:rPr>
        <w:t>Descripción de la obra</w:t>
      </w:r>
    </w:p>
    <w:p>
      <w:pPr>
        <w:spacing w:after="160"/>
      </w:pPr>
      <w:r>
        <w:rPr/>
      </w:r>
      <w:r>
        <w:rPr>
          <w:b/>
        </w:rPr>
        <w:t>Tipo de trabajo a realizar:</w:t>
      </w:r>
      <w:r>
        <w:rPr/>
      </w:r>
    </w:p>
    <w:p>
      <w:pPr>
        <w:spacing w:after="160"/>
      </w:pPr>
      <w:r>
        <w:rPr>
          <w:i/>
        </w:rPr>
        <w:t>(Ej: repintar recámaras, cambiar azulejos en baño, sustituir pisos interiores, cambiar puertas interiores)</w:t>
      </w:r>
    </w:p>
    <w:p>
      <w:pPr>
        <w:spacing w:after="160"/>
      </w:pPr>
      <w:r>
        <w:rPr/>
        <w:t xml:space="preserve"> </w:t>
      </w:r>
    </w:p>
    <w:p>
      <w:pPr>
        <w:spacing w:after="160"/>
      </w:pPr>
      <w:r>
        <w:rPr/>
        <w:t xml:space="preserve"> </w:t>
      </w:r>
    </w:p>
    <w:p>
      <w:pPr>
        <w:spacing w:after="160"/>
      </w:pPr>
      <w:r>
        <w:rPr/>
      </w:r>
      <w:r>
        <w:rPr>
          <w:b/>
        </w:rPr>
        <w:t>Área aproximada de intervención:</w:t>
      </w:r>
      <w:r>
        <w:rPr/>
        <w:t xml:space="preserve"> _______ m²</w:t>
      </w:r>
    </w:p>
    <w:p>
      <w:pPr>
        <w:spacing w:after="160"/>
      </w:pPr>
      <w:r>
        <w:rPr/>
      </w:r>
      <w:r>
        <w:rPr>
          <w:b/>
        </w:rPr>
        <w:t>Fecha estimada de inicio:</w:t>
      </w:r>
      <w:r>
        <w:rPr/>
        <w:t xml:space="preserve"> </w:t>
      </w:r>
      <w:r>
        <w:rPr>
          <w:i/>
        </w:rPr>
      </w:r>
      <w:r>
        <w:rPr>
          <w:b/>
          <w:i/>
        </w:rPr>
        <w:t>/</w:t>
      </w:r>
      <w:r>
        <w:rPr>
          <w:i/>
        </w:rPr>
      </w:r>
      <w:r>
        <w:rPr/>
        <w:t>/______</w:t>
      </w:r>
    </w:p>
    <w:p>
      <w:pPr>
        <w:spacing w:after="160"/>
      </w:pPr>
      <w:r>
        <w:rPr/>
      </w:r>
      <w:r>
        <w:rPr>
          <w:b/>
        </w:rPr>
        <w:t>Duración estimada:</w:t>
      </w:r>
      <w:r>
        <w:rPr/>
        <w:t xml:space="preserve"> _______ días</w:t>
      </w:r>
    </w:p>
    <w:p>
      <w:pPr>
        <w:pBdr>
          <w:bottom w:val="single" w:sz="6" w:space="1" w:color="E2E8F0"/>
        </w:pBdr>
      </w:pPr>
    </w:p>
    <w:p>
      <w:pPr>
        <w:pStyle w:val="Heading2"/>
        <w:spacing w:before="360" w:after="180"/>
      </w:pPr>
      <w:r>
        <w:rPr>
          <w:b/>
          <w:color w:val="1B2C3E"/>
          <w:sz w:val="36"/>
        </w:rPr>
        <w:t>Declaración de categoría</w:t>
      </w:r>
    </w:p>
    <w:p>
      <w:pPr>
        <w:spacing w:after="160"/>
      </w:pPr>
      <w:r>
        <w:rPr/>
        <w:t>El propietario declara que la obra descrita cumple con todos los criterios de Obra Pequeña (Categoría I):</w:t>
      </w:r>
    </w:p>
    <w:p>
      <w:pPr>
        <w:pStyle w:val="ListBullet"/>
      </w:pPr>
      <w:r>
        <w:rPr/>
        <w:t xml:space="preserve"> No afecta estructura ni elementos de carga</w:t>
      </w:r>
    </w:p>
    <w:p>
      <w:pPr>
        <w:pStyle w:val="ListBullet"/>
      </w:pPr>
      <w:r>
        <w:rPr/>
        <w:t xml:space="preserve"> No modifica distribución interna de espacios</w:t>
      </w:r>
    </w:p>
    <w:p>
      <w:pPr>
        <w:pStyle w:val="ListBullet"/>
      </w:pPr>
      <w:r>
        <w:rPr/>
        <w:t xml:space="preserve"> No modifica fachada ni elementos visibles desde calle o áreas comunes</w:t>
      </w:r>
    </w:p>
    <w:p>
      <w:pPr>
        <w:pStyle w:val="ListBullet"/>
      </w:pPr>
      <w:r>
        <w:rPr/>
        <w:t xml:space="preserve"> No incrementa superficie construida</w:t>
      </w:r>
    </w:p>
    <w:p>
      <w:pPr>
        <w:ind w:left="720"/>
        <w:pBdr>
          <w:left w:val="single" w:sz="12" w:space="8" w:color="E2E8F0"/>
        </w:pBdr>
      </w:pPr>
      <w:r>
        <w:rPr/>
      </w:r>
      <w:r>
        <w:rPr>
          <w:b/>
        </w:rPr>
        <w:t>Nota:</w:t>
      </w:r>
      <w:r>
        <w:rPr/>
        <w:t xml:space="preserve"> Si la obra incluye cualquier elemento visible desde calle o áreas comunes, corresponde presentar Solicitud de Obra Mediana (Categoría II).</w:t>
      </w:r>
    </w:p>
    <w:p>
      <w:pPr>
        <w:pBdr>
          <w:bottom w:val="single" w:sz="6" w:space="1" w:color="E2E8F0"/>
        </w:pBdr>
      </w:pPr>
    </w:p>
    <w:p>
      <w:pPr>
        <w:pStyle w:val="Heading2"/>
        <w:spacing w:before="360" w:after="180"/>
      </w:pPr>
      <w:r>
        <w:rPr>
          <w:b/>
          <w:color w:val="1B2C3E"/>
          <w:sz w:val="36"/>
        </w:rPr>
        <w:t>Empresa o persona que ejecutará la obra</w:t>
      </w:r>
    </w:p>
    <w:tbl>
      <w:tblPr>
        <w:tblStyle w:val="TableGrid"/>
        <w:tblW w:type="auto" w:w="0"/>
        <w:tblLook w:firstColumn="1" w:firstRow="1" w:lastColumn="0" w:lastRow="0" w:noHBand="0" w:noVBand="1" w:val="04A0"/>
      </w:tblPr>
      <w:tblGrid>
        <w:gridCol w:w="4844"/>
        <w:gridCol w:w="4844"/>
      </w:tblGrid>
      <w:tr>
        <w:tc>
          <w:tcPr>
            <w:tcW w:type="dxa" w:w="4844"/>
          </w:tcPr>
          <w:p>
            <w:r>
              <w:rPr>
                <w:b/>
              </w:rPr>
              <w:t>Campo</w:t>
            </w:r>
          </w:p>
        </w:tc>
        <w:tc>
          <w:tcPr>
            <w:tcW w:type="dxa" w:w="4844"/>
          </w:tcPr>
          <w:p>
            <w:r>
              <w:rPr>
                <w:b/>
              </w:rPr>
              <w:t>Dato</w:t>
            </w:r>
          </w:p>
        </w:tc>
      </w:tr>
      <w:tr>
        <w:tc>
          <w:tcPr>
            <w:tcW w:type="dxa" w:w="4844"/>
          </w:tcPr>
          <w:p>
            <w:r>
              <w:rPr/>
              <w:t>Nombre del contratista / empresa</w:t>
            </w:r>
          </w:p>
        </w:tc>
        <w:tc>
          <w:tcPr>
            <w:tcW w:type="dxa" w:w="4844"/>
          </w:tcPr>
          <w:p/>
        </w:tc>
      </w:tr>
      <w:tr>
        <w:tc>
          <w:tcPr>
            <w:tcW w:type="dxa" w:w="4844"/>
          </w:tcPr>
          <w:p>
            <w:r>
              <w:rPr/>
              <w:t>Teléfono</w:t>
            </w:r>
          </w:p>
        </w:tc>
        <w:tc>
          <w:tcPr>
            <w:tcW w:type="dxa" w:w="4844"/>
          </w:tcPr>
          <w:p/>
        </w:tc>
      </w:tr>
    </w:tbl>
    <w:p>
      <w:pPr>
        <w:pBdr>
          <w:bottom w:val="single" w:sz="6" w:space="1" w:color="E2E8F0"/>
        </w:pBdr>
      </w:pPr>
    </w:p>
    <w:p>
      <w:pPr>
        <w:pStyle w:val="Heading2"/>
        <w:spacing w:before="360" w:after="180"/>
      </w:pPr>
      <w:r>
        <w:rPr>
          <w:b/>
          <w:color w:val="1B2C3E"/>
          <w:sz w:val="36"/>
        </w:rPr>
        <w:t>Firma del solicitante</w:t>
      </w:r>
    </w:p>
    <w:p>
      <w:pPr>
        <w:spacing w:after="160"/>
      </w:pPr>
      <w:r>
        <w:rPr/>
        <w:t>Nombre: ________________________________</w:t>
      </w:r>
    </w:p>
    <w:p>
      <w:pPr>
        <w:spacing w:after="160"/>
      </w:pPr>
      <w:r>
        <w:rPr/>
        <w:t>Firma: ________________________________</w:t>
      </w:r>
    </w:p>
    <w:p>
      <w:pPr>
        <w:spacing w:after="160"/>
      </w:pPr>
      <w:r>
        <w:rPr/>
        <w:t xml:space="preserve">Fecha: </w:t>
      </w:r>
      <w:r>
        <w:rPr>
          <w:i/>
        </w:rPr>
      </w:r>
      <w:r>
        <w:rPr>
          <w:b/>
          <w:i/>
        </w:rPr>
        <w:t>/</w:t>
      </w:r>
      <w:r>
        <w:rPr>
          <w:i/>
        </w:rPr>
      </w:r>
      <w:r>
        <w:rPr/>
        <w:t>/______</w:t>
      </w:r>
    </w:p>
    <w:p>
      <w:pPr>
        <w:pBdr>
          <w:bottom w:val="single" w:sz="6" w:space="1" w:color="E2E8F0"/>
        </w:pBdr>
      </w:pPr>
    </w:p>
    <w:p>
      <w:pPr>
        <w:pStyle w:val="Heading2"/>
        <w:spacing w:before="360" w:after="180"/>
      </w:pPr>
      <w:r>
        <w:rPr>
          <w:b/>
          <w:color w:val="1B2C3E"/>
          <w:sz w:val="36"/>
        </w:rPr>
        <w:t>Para uso del Administrador</w:t>
      </w:r>
    </w:p>
    <w:tbl>
      <w:tblPr>
        <w:tblStyle w:val="TableGrid"/>
        <w:tblW w:type="auto" w:w="0"/>
        <w:tblLook w:firstColumn="1" w:firstRow="1" w:lastColumn="0" w:lastRow="0" w:noHBand="0" w:noVBand="1" w:val="04A0"/>
      </w:tblPr>
      <w:tblGrid>
        <w:gridCol w:w="4844"/>
        <w:gridCol w:w="4844"/>
      </w:tblGrid>
      <w:tr>
        <w:tc>
          <w:tcPr>
            <w:tcW w:type="dxa" w:w="4844"/>
          </w:tcPr>
          <w:p>
            <w:r>
              <w:rPr>
                <w:b/>
              </w:rPr>
              <w:t>Campo</w:t>
            </w:r>
          </w:p>
        </w:tc>
        <w:tc>
          <w:tcPr>
            <w:tcW w:type="dxa" w:w="4844"/>
          </w:tcPr>
          <w:p>
            <w:r>
              <w:rPr>
                <w:b/>
              </w:rPr>
              <w:t>Dato</w:t>
            </w:r>
          </w:p>
        </w:tc>
      </w:tr>
      <w:tr>
        <w:tc>
          <w:tcPr>
            <w:tcW w:type="dxa" w:w="4844"/>
          </w:tcPr>
          <w:p>
            <w:r>
              <w:rPr/>
              <w:t>Fecha y hora de recepción</w:t>
            </w:r>
          </w:p>
        </w:tc>
        <w:tc>
          <w:tcPr>
            <w:tcW w:type="dxa" w:w="4844"/>
          </w:tcPr>
          <w:p/>
        </w:tc>
      </w:tr>
      <w:tr>
        <w:tc>
          <w:tcPr>
            <w:tcW w:type="dxa" w:w="4844"/>
          </w:tcPr>
          <w:p>
            <w:r>
              <w:rPr/>
              <w:t>Recibido por</w:t>
            </w:r>
          </w:p>
        </w:tc>
        <w:tc>
          <w:tcPr>
            <w:tcW w:type="dxa" w:w="4844"/>
          </w:tcPr>
          <w:p/>
        </w:tc>
      </w:tr>
      <w:tr>
        <w:tc>
          <w:tcPr>
            <w:tcW w:type="dxa" w:w="4844"/>
          </w:tcPr>
          <w:p>
            <w:r>
              <w:rPr/>
              <w:t>Número de folio asignado</w:t>
            </w:r>
          </w:p>
        </w:tc>
        <w:tc>
          <w:tcPr>
            <w:tcW w:type="dxa" w:w="4844"/>
          </w:tcPr>
          <w:p>
            <w:r>
              <w:rPr/>
              <w:t>C1 - _______</w:t>
            </w:r>
          </w:p>
        </w:tc>
      </w:tr>
      <w:tr>
        <w:tc>
          <w:tcPr>
            <w:tcW w:type="dxa" w:w="4844"/>
          </w:tcPr>
          <w:p>
            <w:r>
              <w:rPr/>
              <w:t>Observaciones</w:t>
            </w:r>
          </w:p>
        </w:tc>
        <w:tc>
          <w:tcPr>
            <w:tcW w:type="dxa" w:w="4844"/>
          </w:tcPr>
          <w:p/>
        </w:tc>
      </w:tr>
    </w:tbl>
    <w:p>
      <w:pPr>
        <w:spacing w:after="160"/>
      </w:pPr>
      <w:r>
        <w:rPr/>
      </w:r>
      <w:r>
        <w:rPr>
          <w:b/>
        </w:rPr>
        <w:t>Verificación (plazo: 24 horas desde recepción):</w:t>
      </w:r>
      <w:r>
        <w:rPr/>
      </w:r>
    </w:p>
    <w:p>
      <w:pPr>
        <w:pStyle w:val="ListBullet"/>
      </w:pPr>
      <w:r>
        <w:rPr/>
        <w:t xml:space="preserve"> La obra encuadra en Categoría I — aviso recibido, obra puede proceder</w:t>
      </w:r>
    </w:p>
    <w:p>
      <w:pPr>
        <w:pStyle w:val="ListBullet"/>
      </w:pPr>
      <w:r>
        <w:rPr/>
        <w:t xml:space="preserve"> La obra NO encuadra en Categoría I — se notifica al propietario para presentar solicitud correspondiente</w:t>
      </w:r>
    </w:p>
    <w:p>
      <w:pPr>
        <w:spacing w:after="160"/>
      </w:pPr>
      <w:r>
        <w:rPr/>
        <w:t>Firma del Administrador: ________________________________</w:t>
      </w:r>
    </w:p>
    <w:p>
      <w:pPr>
        <w:spacing w:after="160"/>
      </w:pPr>
      <w:r>
        <w:rPr/>
        <w:t xml:space="preserve">Fecha de verificación: </w:t>
      </w:r>
      <w:r>
        <w:rPr>
          <w:i/>
        </w:rPr>
      </w:r>
      <w:r>
        <w:rPr>
          <w:b/>
          <w:i/>
        </w:rPr>
        <w:t>/</w:t>
      </w:r>
      <w:r>
        <w:rPr>
          <w:i/>
        </w:rPr>
      </w:r>
      <w:r>
        <w:rPr/>
        <w:t>/______</w:t>
      </w:r>
    </w:p>
    <w:p>
      <w:pPr>
        <w:pBdr>
          <w:bottom w:val="single" w:sz="6" w:space="1" w:color="E2E8F0"/>
        </w:pBdr>
      </w:pPr>
    </w:p>
    <w:p>
      <w:pPr>
        <w:spacing w:after="160"/>
      </w:pPr>
      <w:r>
        <w:rPr>
          <w:i/>
        </w:rPr>
        <w:t>Conserve este formato sellado como comprobante. El Administrador entregará copia al propietario al momento de recepción.</w:t>
      </w:r>
    </w:p>
    <w:p>
      <w:pPr>
        <w:pBdr>
          <w:bottom w:val="single" w:sz="6" w:space="1" w:color="E2E8F0"/>
        </w:pBdr>
      </w:pPr>
    </w:p>
    <w:p>
      <w:pPr>
        <w:pStyle w:val="Heading1"/>
        <w:pageBreakBefore/>
        <w:spacing w:before="480" w:after="240"/>
        <w:jc w:val="center"/>
      </w:pPr>
      <w:r>
        <w:rPr>
          <w:b/>
          <w:color w:val="1B2C3E"/>
          <w:sz w:val="48"/>
        </w:rPr>
        <w:t>Formato C-2 — Solicitud de Autorización de Obra Mediana</w:t>
      </w:r>
    </w:p>
    <w:p>
      <w:pPr>
        <w:spacing w:after="160"/>
      </w:pPr>
      <w:r>
        <w:rPr>
          <w:i/>
        </w:rPr>
        <w:t>Categoría II — Para cambios en apariencia exterior, elementos visibles desde calle o distribución interna sin afectar estructura. El Consejo de Diseño responde en 5 días hábiles. Si no responde en ese plazo, la solicitud se considera aprobada automáticamente.</w:t>
      </w:r>
    </w:p>
    <w:p>
      <w:pPr>
        <w:pBdr>
          <w:bottom w:val="single" w:sz="6" w:space="1" w:color="E2E8F0"/>
        </w:pBdr>
      </w:pPr>
    </w:p>
    <w:p>
      <w:pPr>
        <w:pStyle w:val="Heading2"/>
        <w:spacing w:before="360" w:after="180"/>
      </w:pPr>
      <w:r>
        <w:rPr>
          <w:b/>
          <w:color w:val="1B2C3E"/>
          <w:sz w:val="36"/>
        </w:rPr>
        <w:t>Datos del solicitante</w:t>
      </w:r>
    </w:p>
    <w:tbl>
      <w:tblPr>
        <w:tblStyle w:val="TableGrid"/>
        <w:tblW w:type="auto" w:w="0"/>
        <w:tblLook w:firstColumn="1" w:firstRow="1" w:lastColumn="0" w:lastRow="0" w:noHBand="0" w:noVBand="1" w:val="04A0"/>
      </w:tblPr>
      <w:tblGrid>
        <w:gridCol w:w="4844"/>
        <w:gridCol w:w="4844"/>
      </w:tblGrid>
      <w:tr>
        <w:tc>
          <w:tcPr>
            <w:tcW w:type="dxa" w:w="4844"/>
          </w:tcPr>
          <w:p>
            <w:r>
              <w:rPr>
                <w:b/>
              </w:rPr>
              <w:t>Campo</w:t>
            </w:r>
          </w:p>
        </w:tc>
        <w:tc>
          <w:tcPr>
            <w:tcW w:type="dxa" w:w="4844"/>
          </w:tcPr>
          <w:p>
            <w:r>
              <w:rPr>
                <w:b/>
              </w:rPr>
              <w:t>Dato</w:t>
            </w:r>
          </w:p>
        </w:tc>
      </w:tr>
      <w:tr>
        <w:tc>
          <w:tcPr>
            <w:tcW w:type="dxa" w:w="4844"/>
          </w:tcPr>
          <w:p>
            <w:r>
              <w:rPr/>
              <w:t>Nombre completo del propietario</w:t>
            </w:r>
          </w:p>
        </w:tc>
        <w:tc>
          <w:tcPr>
            <w:tcW w:type="dxa" w:w="4844"/>
          </w:tcPr>
          <w:p/>
        </w:tc>
      </w:tr>
      <w:tr>
        <w:tc>
          <w:tcPr>
            <w:tcW w:type="dxa" w:w="4844"/>
          </w:tcPr>
          <w:p>
            <w:r>
              <w:rPr/>
              <w:t>Lote número</w:t>
            </w:r>
          </w:p>
        </w:tc>
        <w:tc>
          <w:tcPr>
            <w:tcW w:type="dxa" w:w="4844"/>
          </w:tcPr>
          <w:p/>
        </w:tc>
      </w:tr>
      <w:tr>
        <w:tc>
          <w:tcPr>
            <w:tcW w:type="dxa" w:w="4844"/>
          </w:tcPr>
          <w:p>
            <w:r>
              <w:rPr/>
              <w:t>Circuito / Calle</w:t>
            </w:r>
          </w:p>
        </w:tc>
        <w:tc>
          <w:tcPr>
            <w:tcW w:type="dxa" w:w="4844"/>
          </w:tcPr>
          <w:p/>
        </w:tc>
      </w:tr>
      <w:tr>
        <w:tc>
          <w:tcPr>
            <w:tcW w:type="dxa" w:w="4844"/>
          </w:tcPr>
          <w:p>
            <w:r>
              <w:rPr/>
              <w:t>Teléfono de contacto</w:t>
            </w:r>
          </w:p>
        </w:tc>
        <w:tc>
          <w:tcPr>
            <w:tcW w:type="dxa" w:w="4844"/>
          </w:tcPr>
          <w:p/>
        </w:tc>
      </w:tr>
      <w:tr>
        <w:tc>
          <w:tcPr>
            <w:tcW w:type="dxa" w:w="4844"/>
          </w:tcPr>
          <w:p>
            <w:r>
              <w:rPr/>
              <w:t>Correo electrónico</w:t>
            </w:r>
          </w:p>
        </w:tc>
        <w:tc>
          <w:tcPr>
            <w:tcW w:type="dxa" w:w="4844"/>
          </w:tcPr>
          <w:p/>
        </w:tc>
      </w:tr>
    </w:tbl>
    <w:p>
      <w:pPr>
        <w:pBdr>
          <w:bottom w:val="single" w:sz="6" w:space="1" w:color="E2E8F0"/>
        </w:pBdr>
      </w:pPr>
    </w:p>
    <w:p>
      <w:pPr>
        <w:pStyle w:val="Heading2"/>
        <w:spacing w:before="360" w:after="180"/>
      </w:pPr>
      <w:r>
        <w:rPr>
          <w:b/>
          <w:color w:val="1B2C3E"/>
          <w:sz w:val="36"/>
        </w:rPr>
        <w:t>Descripción de la obra</w:t>
      </w:r>
    </w:p>
    <w:p>
      <w:pPr>
        <w:spacing w:after="160"/>
      </w:pPr>
      <w:r>
        <w:rPr/>
      </w:r>
      <w:r>
        <w:rPr>
          <w:b/>
        </w:rPr>
        <w:t>Tipo de intervención:</w:t>
      </w:r>
      <w:r>
        <w:rPr/>
      </w:r>
    </w:p>
    <w:p>
      <w:pPr>
        <w:spacing w:after="160"/>
      </w:pPr>
      <w:r>
        <w:rPr>
          <w:i/>
        </w:rPr>
        <w:t>(Ej: repintar fachada, cambiar ventanas, instalar toldo, paneles solares, cambiar puerta de acceso, jardinería frontal)</w:t>
      </w:r>
    </w:p>
    <w:p>
      <w:pPr>
        <w:spacing w:after="160"/>
      </w:pPr>
      <w:r>
        <w:rPr/>
        <w:t xml:space="preserve"> </w:t>
      </w:r>
    </w:p>
    <w:p>
      <w:pPr>
        <w:spacing w:after="160"/>
      </w:pPr>
      <w:r>
        <w:rPr/>
        <w:t xml:space="preserve"> </w:t>
      </w:r>
    </w:p>
    <w:p>
      <w:pPr>
        <w:spacing w:after="160"/>
      </w:pPr>
      <w:r>
        <w:rPr/>
      </w:r>
      <w:r>
        <w:rPr>
          <w:b/>
        </w:rPr>
        <w:t>Área aproximada de intervención:</w:t>
      </w:r>
      <w:r>
        <w:rPr/>
        <w:t xml:space="preserve"> _______ m²</w:t>
      </w:r>
    </w:p>
    <w:p>
      <w:pPr>
        <w:spacing w:after="160"/>
      </w:pPr>
      <w:r>
        <w:rPr/>
      </w:r>
      <w:r>
        <w:rPr>
          <w:b/>
        </w:rPr>
        <w:t>Fecha estimada de inicio:</w:t>
      </w:r>
      <w:r>
        <w:rPr/>
        <w:t xml:space="preserve"> </w:t>
      </w:r>
      <w:r>
        <w:rPr>
          <w:i/>
        </w:rPr>
      </w:r>
      <w:r>
        <w:rPr>
          <w:b/>
          <w:i/>
        </w:rPr>
        <w:t>/</w:t>
      </w:r>
      <w:r>
        <w:rPr>
          <w:i/>
        </w:rPr>
      </w:r>
      <w:r>
        <w:rPr/>
        <w:t>/______</w:t>
      </w:r>
    </w:p>
    <w:p>
      <w:pPr>
        <w:spacing w:after="160"/>
      </w:pPr>
      <w:r>
        <w:rPr/>
      </w:r>
      <w:r>
        <w:rPr>
          <w:b/>
        </w:rPr>
        <w:t>Duración estimada:</w:t>
      </w:r>
      <w:r>
        <w:rPr/>
        <w:t xml:space="preserve"> _______ días</w:t>
      </w:r>
    </w:p>
    <w:p>
      <w:pPr>
        <w:pBdr>
          <w:bottom w:val="single" w:sz="6" w:space="1" w:color="E2E8F0"/>
        </w:pBdr>
      </w:pPr>
    </w:p>
    <w:p>
      <w:pPr>
        <w:pStyle w:val="Heading2"/>
        <w:spacing w:before="360" w:after="180"/>
      </w:pPr>
      <w:r>
        <w:rPr>
          <w:b/>
          <w:color w:val="1B2C3E"/>
          <w:sz w:val="36"/>
        </w:rPr>
        <w:t>Referencia al Manual de Imagen Urbana</w:t>
      </w:r>
    </w:p>
    <w:p>
      <w:pPr>
        <w:spacing w:after="160"/>
      </w:pPr>
      <w:r>
        <w:rPr>
          <w:i/>
        </w:rPr>
        <w:t>Para cada elemento visible que se modifica, indicar la sección del Manual que aplica y el material o color propuesto con su especificación.</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r>
              <w:rPr>
                <w:b/>
              </w:rPr>
              <w:t>Elemento</w:t>
            </w:r>
          </w:p>
        </w:tc>
        <w:tc>
          <w:tcPr>
            <w:tcW w:type="dxa" w:w="2422"/>
          </w:tcPr>
          <w:p>
            <w:r>
              <w:rPr>
                <w:b/>
              </w:rPr>
              <w:t>Sección del Manual</w:t>
            </w:r>
          </w:p>
        </w:tc>
        <w:tc>
          <w:tcPr>
            <w:tcW w:type="dxa" w:w="2422"/>
          </w:tcPr>
          <w:p>
            <w:r>
              <w:rPr>
                <w:b/>
              </w:rPr>
              <w:t>Material / Color propuesto</w:t>
            </w:r>
          </w:p>
        </w:tc>
        <w:tc>
          <w:tcPr>
            <w:tcW w:type="dxa" w:w="2422"/>
          </w:tcPr>
          <w:p>
            <w:r>
              <w:rPr>
                <w:b/>
              </w:rPr>
              <w:t>Código de referencia</w:t>
            </w:r>
          </w:p>
        </w:tc>
      </w:tr>
      <w:tr>
        <w:tc>
          <w:tcPr>
            <w:tcW w:type="dxa" w:w="2422"/>
          </w:tcPr>
          <w:p/>
        </w:tc>
        <w:tc>
          <w:tcPr>
            <w:tcW w:type="dxa" w:w="2422"/>
          </w:tcPr>
          <w:p/>
        </w:tc>
        <w:tc>
          <w:tcPr>
            <w:tcW w:type="dxa" w:w="2422"/>
          </w:tcPr>
          <w:p/>
        </w:tc>
        <w:tc>
          <w:tcPr>
            <w:tcW w:type="dxa" w:w="2422"/>
          </w:tcPr>
          <w:p/>
        </w:tc>
      </w:tr>
      <w:tr>
        <w:tc>
          <w:tcPr>
            <w:tcW w:type="dxa" w:w="2422"/>
          </w:tcPr>
          <w:p/>
        </w:tc>
        <w:tc>
          <w:tcPr>
            <w:tcW w:type="dxa" w:w="2422"/>
          </w:tcPr>
          <w:p/>
        </w:tc>
        <w:tc>
          <w:tcPr>
            <w:tcW w:type="dxa" w:w="2422"/>
          </w:tcPr>
          <w:p/>
        </w:tc>
        <w:tc>
          <w:tcPr>
            <w:tcW w:type="dxa" w:w="2422"/>
          </w:tcPr>
          <w:p/>
        </w:tc>
      </w:tr>
      <w:tr>
        <w:tc>
          <w:tcPr>
            <w:tcW w:type="dxa" w:w="2422"/>
          </w:tcPr>
          <w:p/>
        </w:tc>
        <w:tc>
          <w:tcPr>
            <w:tcW w:type="dxa" w:w="2422"/>
          </w:tcPr>
          <w:p/>
        </w:tc>
        <w:tc>
          <w:tcPr>
            <w:tcW w:type="dxa" w:w="2422"/>
          </w:tcPr>
          <w:p/>
        </w:tc>
        <w:tc>
          <w:tcPr>
            <w:tcW w:type="dxa" w:w="2422"/>
          </w:tcPr>
          <w:p/>
        </w:tc>
      </w:tr>
    </w:tbl>
    <w:p>
      <w:pPr>
        <w:spacing w:after="160"/>
      </w:pPr>
      <w:r>
        <w:rPr/>
      </w:r>
      <w:r>
        <w:rPr>
          <w:b/>
        </w:rPr>
        <w:t>Documentos adjuntos:</w:t>
      </w:r>
      <w:r>
        <w:rPr/>
      </w:r>
    </w:p>
    <w:p>
      <w:pPr>
        <w:pStyle w:val="ListBullet"/>
      </w:pPr>
      <w:r>
        <w:rPr/>
        <w:t xml:space="preserve"> Fotografías del estado actual (mínimo 2, desde calle)</w:t>
      </w:r>
    </w:p>
    <w:p>
      <w:pPr>
        <w:pStyle w:val="ListBullet"/>
      </w:pPr>
      <w:r>
        <w:rPr/>
        <w:t xml:space="preserve"> Croquis o render del resultado propuesto</w:t>
      </w:r>
    </w:p>
    <w:p>
      <w:pPr>
        <w:pStyle w:val="ListBullet"/>
      </w:pPr>
      <w:r>
        <w:rPr/>
        <w:t xml:space="preserve"> Fichas técnicas o muestras de materiales referenciados al Manual</w:t>
      </w:r>
    </w:p>
    <w:p>
      <w:pPr>
        <w:pStyle w:val="ListBullet"/>
      </w:pPr>
      <w:r>
        <w:rPr/>
        <w:t xml:space="preserve"> Otros: ___________________________________</w:t>
      </w:r>
    </w:p>
    <w:p>
      <w:pPr>
        <w:pBdr>
          <w:bottom w:val="single" w:sz="6" w:space="1" w:color="E2E8F0"/>
        </w:pBdr>
      </w:pPr>
    </w:p>
    <w:p>
      <w:pPr>
        <w:pStyle w:val="Heading2"/>
        <w:spacing w:before="360" w:after="180"/>
      </w:pPr>
      <w:r>
        <w:rPr>
          <w:b/>
          <w:color w:val="1B2C3E"/>
          <w:sz w:val="36"/>
        </w:rPr>
        <w:t>Empresa o persona que ejecutará la obra</w:t>
      </w:r>
    </w:p>
    <w:tbl>
      <w:tblPr>
        <w:tblStyle w:val="TableGrid"/>
        <w:tblW w:type="auto" w:w="0"/>
        <w:tblLook w:firstColumn="1" w:firstRow="1" w:lastColumn="0" w:lastRow="0" w:noHBand="0" w:noVBand="1" w:val="04A0"/>
      </w:tblPr>
      <w:tblGrid>
        <w:gridCol w:w="4844"/>
        <w:gridCol w:w="4844"/>
      </w:tblGrid>
      <w:tr>
        <w:tc>
          <w:tcPr>
            <w:tcW w:type="dxa" w:w="4844"/>
          </w:tcPr>
          <w:p>
            <w:r>
              <w:rPr>
                <w:b/>
              </w:rPr>
              <w:t>Campo</w:t>
            </w:r>
          </w:p>
        </w:tc>
        <w:tc>
          <w:tcPr>
            <w:tcW w:type="dxa" w:w="4844"/>
          </w:tcPr>
          <w:p>
            <w:r>
              <w:rPr>
                <w:b/>
              </w:rPr>
              <w:t>Dato</w:t>
            </w:r>
          </w:p>
        </w:tc>
      </w:tr>
      <w:tr>
        <w:tc>
          <w:tcPr>
            <w:tcW w:type="dxa" w:w="4844"/>
          </w:tcPr>
          <w:p>
            <w:r>
              <w:rPr/>
              <w:t>Nombre del contratista / empresa</w:t>
            </w:r>
          </w:p>
        </w:tc>
        <w:tc>
          <w:tcPr>
            <w:tcW w:type="dxa" w:w="4844"/>
          </w:tcPr>
          <w:p/>
        </w:tc>
      </w:tr>
      <w:tr>
        <w:tc>
          <w:tcPr>
            <w:tcW w:type="dxa" w:w="4844"/>
          </w:tcPr>
          <w:p>
            <w:r>
              <w:rPr/>
              <w:t>Teléfono</w:t>
            </w:r>
          </w:p>
        </w:tc>
        <w:tc>
          <w:tcPr>
            <w:tcW w:type="dxa" w:w="4844"/>
          </w:tcPr>
          <w:p/>
        </w:tc>
      </w:tr>
    </w:tbl>
    <w:p>
      <w:pPr>
        <w:pBdr>
          <w:bottom w:val="single" w:sz="6" w:space="1" w:color="E2E8F0"/>
        </w:pBdr>
      </w:pPr>
    </w:p>
    <w:p>
      <w:pPr>
        <w:pStyle w:val="Heading2"/>
        <w:spacing w:before="360" w:after="180"/>
      </w:pPr>
      <w:r>
        <w:rPr>
          <w:b/>
          <w:color w:val="1B2C3E"/>
          <w:sz w:val="36"/>
        </w:rPr>
        <w:t>Cuotas y depósito</w:t>
      </w:r>
    </w:p>
    <w:tbl>
      <w:tblPr>
        <w:tblStyle w:val="TableGrid"/>
        <w:tblW w:type="auto" w:w="0"/>
        <w:tblLook w:firstColumn="1" w:firstRow="1" w:lastColumn="0" w:lastRow="0" w:noHBand="0" w:noVBand="1" w:val="04A0"/>
      </w:tblPr>
      <w:tblGrid>
        <w:gridCol w:w="3230"/>
        <w:gridCol w:w="3230"/>
        <w:gridCol w:w="3230"/>
      </w:tblGrid>
      <w:tr>
        <w:tc>
          <w:tcPr>
            <w:tcW w:type="dxa" w:w="3230"/>
          </w:tcPr>
          <w:p>
            <w:r>
              <w:rPr>
                <w:b/>
              </w:rPr>
              <w:t>Concepto</w:t>
            </w:r>
          </w:p>
        </w:tc>
        <w:tc>
          <w:tcPr>
            <w:tcW w:type="dxa" w:w="3230"/>
          </w:tcPr>
          <w:p>
            <w:r>
              <w:rPr>
                <w:b/>
              </w:rPr>
              <w:t>Monto</w:t>
            </w:r>
          </w:p>
        </w:tc>
        <w:tc>
          <w:tcPr>
            <w:tcW w:type="dxa" w:w="3230"/>
          </w:tcPr>
          <w:p>
            <w:r>
              <w:rPr>
                <w:b/>
              </w:rPr>
              <w:t>Estado</w:t>
            </w:r>
          </w:p>
        </w:tc>
      </w:tr>
      <w:tr>
        <w:tc>
          <w:tcPr>
            <w:tcW w:type="dxa" w:w="3230"/>
          </w:tcPr>
          <w:p>
            <w:r>
              <w:rPr/>
              <w:t>Cuota de revisión</w:t>
            </w:r>
          </w:p>
        </w:tc>
        <w:tc>
          <w:tcPr>
            <w:tcW w:type="dxa" w:w="3230"/>
          </w:tcPr>
          <w:p>
            <w:r>
              <w:rPr/>
              <w:t>$1,500 MXN</w:t>
            </w:r>
          </w:p>
        </w:tc>
        <w:tc>
          <w:tcPr>
            <w:tcW w:type="dxa" w:w="3230"/>
          </w:tcPr>
          <w:p>
            <w:r>
              <w:rPr/>
              <w:t>[ ] Pagado</w:t>
            </w:r>
          </w:p>
        </w:tc>
      </w:tr>
      <w:tr>
        <w:tc>
          <w:tcPr>
            <w:tcW w:type="dxa" w:w="3230"/>
          </w:tcPr>
          <w:p>
            <w:r>
              <w:rPr/>
              <w:t>Depósito reembolsable</w:t>
            </w:r>
          </w:p>
        </w:tc>
        <w:tc>
          <w:tcPr>
            <w:tcW w:type="dxa" w:w="3230"/>
          </w:tcPr>
          <w:p>
            <w:r>
              <w:rPr/>
              <w:t>$3,000 MXN</w:t>
            </w:r>
          </w:p>
        </w:tc>
        <w:tc>
          <w:tcPr>
            <w:tcW w:type="dxa" w:w="3230"/>
          </w:tcPr>
          <w:p>
            <w:r>
              <w:rPr/>
              <w:t>[ ] Pagado</w:t>
            </w:r>
          </w:p>
        </w:tc>
      </w:tr>
      <w:tr>
        <w:tc>
          <w:tcPr>
            <w:tcW w:type="dxa" w:w="3230"/>
          </w:tcPr>
          <w:p>
            <w:r>
              <w:rPr/>
            </w:r>
            <w:r>
              <w:rPr>
                <w:b/>
              </w:rPr>
              <w:t>Total</w:t>
            </w:r>
            <w:r>
              <w:rPr/>
            </w:r>
          </w:p>
        </w:tc>
        <w:tc>
          <w:tcPr>
            <w:tcW w:type="dxa" w:w="3230"/>
          </w:tcPr>
          <w:p>
            <w:r>
              <w:rPr/>
            </w:r>
            <w:r>
              <w:rPr>
                <w:b/>
              </w:rPr>
              <w:t>$4,500 MXN</w:t>
            </w:r>
            <w:r>
              <w:rPr/>
            </w:r>
          </w:p>
        </w:tc>
        <w:tc>
          <w:tcPr>
            <w:tcW w:type="dxa" w:w="3230"/>
          </w:tcPr>
          <w:p/>
        </w:tc>
      </w:tr>
    </w:tbl>
    <w:p>
      <w:pPr>
        <w:spacing w:after="160"/>
      </w:pPr>
      <w:r>
        <w:rPr>
          <w:i/>
        </w:rPr>
        <w:t>El depósito se reembolsa íntegramente al concluir la obra conforme a lo autorizado.</w:t>
      </w:r>
    </w:p>
    <w:p>
      <w:pPr>
        <w:spacing w:after="160"/>
      </w:pPr>
      <w:r>
        <w:rPr>
          <w:i/>
        </w:rPr>
        <w:t>La cuota de revisión se devuelve al 100% si el Consejo no responde en el plazo de 5 días hábiles (aprobación tácita). Ver política de devoluciones en el Reglamento.</w:t>
      </w:r>
    </w:p>
    <w:p>
      <w:pPr>
        <w:pBdr>
          <w:bottom w:val="single" w:sz="6" w:space="1" w:color="E2E8F0"/>
        </w:pBdr>
      </w:pPr>
    </w:p>
    <w:p>
      <w:pPr>
        <w:pStyle w:val="Heading2"/>
        <w:spacing w:before="360" w:after="180"/>
      </w:pPr>
      <w:r>
        <w:rPr>
          <w:b/>
          <w:color w:val="1B2C3E"/>
          <w:sz w:val="36"/>
        </w:rPr>
        <w:t>Firma del solicitante</w:t>
      </w:r>
    </w:p>
    <w:p>
      <w:pPr>
        <w:spacing w:after="160"/>
      </w:pPr>
      <w:r>
        <w:rPr/>
        <w:t>Nombre: ________________________________</w:t>
      </w:r>
    </w:p>
    <w:p>
      <w:pPr>
        <w:spacing w:after="160"/>
      </w:pPr>
      <w:r>
        <w:rPr/>
        <w:t>Firma: ________________________________</w:t>
      </w:r>
    </w:p>
    <w:p>
      <w:pPr>
        <w:spacing w:after="160"/>
      </w:pPr>
      <w:r>
        <w:rPr/>
        <w:t xml:space="preserve">Fecha: </w:t>
      </w:r>
      <w:r>
        <w:rPr>
          <w:i/>
        </w:rPr>
      </w:r>
      <w:r>
        <w:rPr>
          <w:b/>
          <w:i/>
        </w:rPr>
        <w:t>/</w:t>
      </w:r>
      <w:r>
        <w:rPr>
          <w:i/>
        </w:rPr>
      </w:r>
      <w:r>
        <w:rPr/>
        <w:t>/______</w:t>
      </w:r>
    </w:p>
    <w:p>
      <w:pPr>
        <w:pBdr>
          <w:bottom w:val="single" w:sz="6" w:space="1" w:color="E2E8F0"/>
        </w:pBdr>
      </w:pPr>
    </w:p>
    <w:p>
      <w:pPr>
        <w:pStyle w:val="Heading2"/>
        <w:spacing w:before="360" w:after="180"/>
      </w:pPr>
      <w:r>
        <w:rPr>
          <w:b/>
          <w:color w:val="1B2C3E"/>
          <w:sz w:val="36"/>
        </w:rPr>
        <w:t>Para uso del Administrador — Recepción</w:t>
      </w:r>
    </w:p>
    <w:tbl>
      <w:tblPr>
        <w:tblStyle w:val="TableGrid"/>
        <w:tblW w:type="auto" w:w="0"/>
        <w:tblLook w:firstColumn="1" w:firstRow="1" w:lastColumn="0" w:lastRow="0" w:noHBand="0" w:noVBand="1" w:val="04A0"/>
      </w:tblPr>
      <w:tblGrid>
        <w:gridCol w:w="4844"/>
        <w:gridCol w:w="4844"/>
      </w:tblGrid>
      <w:tr>
        <w:tc>
          <w:tcPr>
            <w:tcW w:type="dxa" w:w="4844"/>
          </w:tcPr>
          <w:p>
            <w:r>
              <w:rPr>
                <w:b/>
              </w:rPr>
              <w:t>Campo</w:t>
            </w:r>
          </w:p>
        </w:tc>
        <w:tc>
          <w:tcPr>
            <w:tcW w:type="dxa" w:w="4844"/>
          </w:tcPr>
          <w:p>
            <w:r>
              <w:rPr>
                <w:b/>
              </w:rPr>
              <w:t>Dato</w:t>
            </w:r>
          </w:p>
        </w:tc>
      </w:tr>
      <w:tr>
        <w:tc>
          <w:tcPr>
            <w:tcW w:type="dxa" w:w="4844"/>
          </w:tcPr>
          <w:p>
            <w:r>
              <w:rPr/>
              <w:t>Fecha y hora de recepción</w:t>
            </w:r>
          </w:p>
        </w:tc>
        <w:tc>
          <w:tcPr>
            <w:tcW w:type="dxa" w:w="4844"/>
          </w:tcPr>
          <w:p/>
        </w:tc>
      </w:tr>
      <w:tr>
        <w:tc>
          <w:tcPr>
            <w:tcW w:type="dxa" w:w="4844"/>
          </w:tcPr>
          <w:p>
            <w:r>
              <w:rPr/>
              <w:t>Recibido por</w:t>
            </w:r>
          </w:p>
        </w:tc>
        <w:tc>
          <w:tcPr>
            <w:tcW w:type="dxa" w:w="4844"/>
          </w:tcPr>
          <w:p/>
        </w:tc>
      </w:tr>
      <w:tr>
        <w:tc>
          <w:tcPr>
            <w:tcW w:type="dxa" w:w="4844"/>
          </w:tcPr>
          <w:p>
            <w:r>
              <w:rPr/>
              <w:t>Número de folio asignado</w:t>
            </w:r>
          </w:p>
        </w:tc>
        <w:tc>
          <w:tcPr>
            <w:tcW w:type="dxa" w:w="4844"/>
          </w:tcPr>
          <w:p>
            <w:r>
              <w:rPr/>
              <w:t>C2 - _______</w:t>
            </w:r>
          </w:p>
        </w:tc>
      </w:tr>
      <w:tr>
        <w:tc>
          <w:tcPr>
            <w:tcW w:type="dxa" w:w="4844"/>
          </w:tcPr>
          <w:p>
            <w:r>
              <w:rPr/>
              <w:t>Expediente completo</w:t>
            </w:r>
          </w:p>
        </w:tc>
        <w:tc>
          <w:tcPr>
            <w:tcW w:type="dxa" w:w="4844"/>
          </w:tcPr>
          <w:p>
            <w:r>
              <w:rPr/>
              <w:t>[ ] Sí — procede a Consejo [ ] No — devuelto por incompleto</w:t>
            </w:r>
          </w:p>
        </w:tc>
      </w:tr>
      <w:tr>
        <w:tc>
          <w:tcPr>
            <w:tcW w:type="dxa" w:w="4844"/>
          </w:tcPr>
          <w:p>
            <w:r>
              <w:rPr/>
              <w:t>Fecha límite de resolución del Consejo</w:t>
            </w:r>
          </w:p>
        </w:tc>
        <w:tc>
          <w:tcPr>
            <w:tcW w:type="dxa" w:w="4844"/>
          </w:tcPr>
          <w:p/>
        </w:tc>
      </w:tr>
    </w:tbl>
    <w:p>
      <w:pPr>
        <w:spacing w:after="160"/>
      </w:pPr>
      <w:r>
        <w:rPr/>
        <w:t>Firma del Administrador: ________________________________</w:t>
      </w:r>
    </w:p>
    <w:p>
      <w:pPr>
        <w:pBdr>
          <w:bottom w:val="single" w:sz="6" w:space="1" w:color="E2E8F0"/>
        </w:pBdr>
      </w:pPr>
    </w:p>
    <w:p>
      <w:pPr>
        <w:pStyle w:val="Heading2"/>
        <w:spacing w:before="360" w:after="180"/>
      </w:pPr>
      <w:r>
        <w:rPr>
          <w:b/>
          <w:color w:val="1B2C3E"/>
          <w:sz w:val="36"/>
        </w:rPr>
        <w:t>Para uso del Consejo de Diseño — Resolución</w:t>
      </w:r>
    </w:p>
    <w:p>
      <w:pPr>
        <w:spacing w:after="160"/>
      </w:pPr>
      <w:r>
        <w:rPr/>
      </w:r>
      <w:r>
        <w:rPr>
          <w:b/>
        </w:rPr>
        <w:t>Fecha de resolución:</w:t>
      </w:r>
      <w:r>
        <w:rPr/>
        <w:t xml:space="preserve"> </w:t>
      </w:r>
      <w:r>
        <w:rPr>
          <w:i/>
        </w:rPr>
      </w:r>
      <w:r>
        <w:rPr>
          <w:b/>
          <w:i/>
        </w:rPr>
        <w:t>/</w:t>
      </w:r>
      <w:r>
        <w:rPr>
          <w:i/>
        </w:rPr>
      </w:r>
      <w:r>
        <w:rPr/>
        <w:t>/______</w:t>
      </w:r>
    </w:p>
    <w:p>
      <w:pPr>
        <w:spacing w:after="160"/>
      </w:pPr>
      <w:r>
        <w:rPr/>
      </w:r>
      <w:r>
        <w:rPr>
          <w:b/>
        </w:rPr>
        <w:t>Resolución:</w:t>
      </w:r>
      <w:r>
        <w:rPr/>
      </w:r>
    </w:p>
    <w:p>
      <w:pPr>
        <w:pStyle w:val="ListBullet"/>
      </w:pPr>
      <w:r>
        <w:rPr/>
        <w:t xml:space="preserve"> </w:t>
      </w:r>
      <w:r>
        <w:rPr>
          <w:b/>
        </w:rPr>
        <w:t>Aprobada</w:t>
      </w:r>
      <w:r>
        <w:rPr/>
        <w:t xml:space="preserve"> — la obra puede proceder conforme a lo solicitado</w:t>
      </w:r>
    </w:p>
    <w:p>
      <w:pPr>
        <w:pStyle w:val="ListBullet"/>
      </w:pPr>
      <w:r>
        <w:rPr/>
        <w:t xml:space="preserve"> </w:t>
      </w:r>
      <w:r>
        <w:rPr>
          <w:b/>
        </w:rPr>
        <w:t>Aprobada con condiciones</w:t>
      </w:r>
      <w:r>
        <w:rPr/>
        <w:t xml:space="preserve"> — ver condiciones al reverso</w:t>
      </w:r>
    </w:p>
    <w:p>
      <w:pPr>
        <w:pStyle w:val="ListBullet"/>
      </w:pPr>
      <w:r>
        <w:rPr/>
        <w:t xml:space="preserve"> </w:t>
      </w:r>
      <w:r>
        <w:rPr>
          <w:b/>
        </w:rPr>
        <w:t>Rechazada</w:t>
      </w:r>
      <w:r>
        <w:rPr/>
        <w:t xml:space="preserve"> — ver fundamento al reverso</w:t>
      </w:r>
    </w:p>
    <w:p>
      <w:pPr>
        <w:pStyle w:val="ListBullet"/>
      </w:pPr>
      <w:r>
        <w:rPr/>
        <w:t xml:space="preserve"> </w:t>
      </w:r>
      <w:r>
        <w:rPr>
          <w:b/>
        </w:rPr>
        <w:t>Aprobación tácita</w:t>
      </w:r>
      <w:r>
        <w:rPr/>
        <w:t xml:space="preserve"> — el Consejo no respondió en el plazo establecido</w:t>
      </w:r>
    </w:p>
    <w:p>
      <w:pPr>
        <w:spacing w:after="160"/>
      </w:pPr>
      <w:r>
        <w:rPr/>
      </w:r>
      <w:r>
        <w:rPr>
          <w:b/>
        </w:rPr>
        <w:t>Fundamento (referencia al Manual o al Reglamento):</w:t>
      </w:r>
      <w:r>
        <w:rPr/>
      </w:r>
    </w:p>
    <w:p>
      <w:pPr>
        <w:spacing w:after="160"/>
      </w:pPr>
      <w:r>
        <w:rPr/>
        <w:t xml:space="preserve"> </w:t>
      </w:r>
    </w:p>
    <w:p>
      <w:pPr>
        <w:spacing w:after="160"/>
      </w:pPr>
      <w:r>
        <w:rPr/>
        <w:t xml:space="preserve"> </w:t>
      </w:r>
    </w:p>
    <w:p>
      <w:pPr>
        <w:spacing w:after="160"/>
      </w:pPr>
      <w:r>
        <w:rPr/>
        <w:t>Firma del Presidente del Consejo: ________________________________</w:t>
      </w:r>
    </w:p>
    <w:p>
      <w:pPr>
        <w:spacing w:after="160"/>
      </w:pPr>
      <w:r>
        <w:rPr/>
        <w:t>Firma de miembro 2: ________________________________</w:t>
      </w:r>
    </w:p>
    <w:p>
      <w:pPr>
        <w:spacing w:after="160"/>
      </w:pPr>
      <w:r>
        <w:rPr/>
        <w:t>Firma de miembro 3: ________________________________</w:t>
      </w:r>
    </w:p>
    <w:p>
      <w:pPr>
        <w:pBdr>
          <w:bottom w:val="single" w:sz="6" w:space="1" w:color="E2E8F0"/>
        </w:pBdr>
      </w:pPr>
    </w:p>
    <w:p>
      <w:pPr>
        <w:spacing w:after="160"/>
      </w:pPr>
      <w:r>
        <w:rPr>
          <w:i/>
        </w:rPr>
        <w:t>El propietario puede apelar una resolución desfavorable ante el Comité de Representantes dentro de los 10 días hábiles siguientes a la notificación. Ver Proceso de Apelación (Formato P-3).</w:t>
      </w:r>
    </w:p>
    <w:p>
      <w:pPr>
        <w:pBdr>
          <w:bottom w:val="single" w:sz="6" w:space="1" w:color="E2E8F0"/>
        </w:pBdr>
      </w:pPr>
    </w:p>
    <w:p>
      <w:pPr>
        <w:pStyle w:val="Heading1"/>
        <w:pageBreakBefore/>
        <w:spacing w:before="480" w:after="240"/>
        <w:jc w:val="center"/>
      </w:pPr>
      <w:r>
        <w:rPr>
          <w:b/>
          <w:color w:val="1B2C3E"/>
          <w:sz w:val="48"/>
        </w:rPr>
        <w:t>Formato C-3 — Solicitud de Autorización de Obra Grande</w:t>
      </w:r>
    </w:p>
    <w:p>
      <w:pPr>
        <w:spacing w:after="160"/>
      </w:pPr>
      <w:r>
        <w:rPr>
          <w:i/>
        </w:rPr>
        <w:t>Categoría III — Para ampliaciones de superficie, nuevos volúmenes, cambios estructurales, adición de niveles, o cualquier obra que requiera permiso municipal. No aplica aprobación tácita por silencio del Consejo. Requiere DRO con registro vigente ante el Municipio de Soledad de Graciano Sánchez.</w:t>
      </w:r>
    </w:p>
    <w:p>
      <w:pPr>
        <w:pBdr>
          <w:bottom w:val="single" w:sz="6" w:space="1" w:color="E2E8F0"/>
        </w:pBdr>
      </w:pPr>
    </w:p>
    <w:p>
      <w:pPr>
        <w:pStyle w:val="Heading2"/>
        <w:spacing w:before="360" w:after="180"/>
      </w:pPr>
      <w:r>
        <w:rPr>
          <w:b/>
          <w:color w:val="1B2C3E"/>
          <w:sz w:val="36"/>
        </w:rPr>
        <w:t>Datos del solicitante</w:t>
      </w:r>
    </w:p>
    <w:tbl>
      <w:tblPr>
        <w:tblStyle w:val="TableGrid"/>
        <w:tblW w:type="auto" w:w="0"/>
        <w:tblLook w:firstColumn="1" w:firstRow="1" w:lastColumn="0" w:lastRow="0" w:noHBand="0" w:noVBand="1" w:val="04A0"/>
      </w:tblPr>
      <w:tblGrid>
        <w:gridCol w:w="4844"/>
        <w:gridCol w:w="4844"/>
      </w:tblGrid>
      <w:tr>
        <w:tc>
          <w:tcPr>
            <w:tcW w:type="dxa" w:w="4844"/>
          </w:tcPr>
          <w:p>
            <w:r>
              <w:rPr>
                <w:b/>
              </w:rPr>
              <w:t>Campo</w:t>
            </w:r>
          </w:p>
        </w:tc>
        <w:tc>
          <w:tcPr>
            <w:tcW w:type="dxa" w:w="4844"/>
          </w:tcPr>
          <w:p>
            <w:r>
              <w:rPr>
                <w:b/>
              </w:rPr>
              <w:t>Dato</w:t>
            </w:r>
          </w:p>
        </w:tc>
      </w:tr>
      <w:tr>
        <w:tc>
          <w:tcPr>
            <w:tcW w:type="dxa" w:w="4844"/>
          </w:tcPr>
          <w:p>
            <w:r>
              <w:rPr/>
              <w:t>Nombre completo del propietario</w:t>
            </w:r>
          </w:p>
        </w:tc>
        <w:tc>
          <w:tcPr>
            <w:tcW w:type="dxa" w:w="4844"/>
          </w:tcPr>
          <w:p/>
        </w:tc>
      </w:tr>
      <w:tr>
        <w:tc>
          <w:tcPr>
            <w:tcW w:type="dxa" w:w="4844"/>
          </w:tcPr>
          <w:p>
            <w:r>
              <w:rPr/>
              <w:t>Lote número</w:t>
            </w:r>
          </w:p>
        </w:tc>
        <w:tc>
          <w:tcPr>
            <w:tcW w:type="dxa" w:w="4844"/>
          </w:tcPr>
          <w:p/>
        </w:tc>
      </w:tr>
      <w:tr>
        <w:tc>
          <w:tcPr>
            <w:tcW w:type="dxa" w:w="4844"/>
          </w:tcPr>
          <w:p>
            <w:r>
              <w:rPr/>
              <w:t>Circuito / Calle</w:t>
            </w:r>
          </w:p>
        </w:tc>
        <w:tc>
          <w:tcPr>
            <w:tcW w:type="dxa" w:w="4844"/>
          </w:tcPr>
          <w:p/>
        </w:tc>
      </w:tr>
      <w:tr>
        <w:tc>
          <w:tcPr>
            <w:tcW w:type="dxa" w:w="4844"/>
          </w:tcPr>
          <w:p>
            <w:r>
              <w:rPr/>
              <w:t>Teléfono de contacto</w:t>
            </w:r>
          </w:p>
        </w:tc>
        <w:tc>
          <w:tcPr>
            <w:tcW w:type="dxa" w:w="4844"/>
          </w:tcPr>
          <w:p/>
        </w:tc>
      </w:tr>
      <w:tr>
        <w:tc>
          <w:tcPr>
            <w:tcW w:type="dxa" w:w="4844"/>
          </w:tcPr>
          <w:p>
            <w:r>
              <w:rPr/>
              <w:t>Correo electrónico</w:t>
            </w:r>
          </w:p>
        </w:tc>
        <w:tc>
          <w:tcPr>
            <w:tcW w:type="dxa" w:w="4844"/>
          </w:tcPr>
          <w:p/>
        </w:tc>
      </w:tr>
    </w:tbl>
    <w:p>
      <w:pPr>
        <w:pBdr>
          <w:bottom w:val="single" w:sz="6" w:space="1" w:color="E2E8F0"/>
        </w:pBdr>
      </w:pPr>
    </w:p>
    <w:p>
      <w:pPr>
        <w:pStyle w:val="Heading2"/>
        <w:spacing w:before="360" w:after="180"/>
      </w:pPr>
      <w:r>
        <w:rPr>
          <w:b/>
          <w:color w:val="1B2C3E"/>
          <w:sz w:val="36"/>
        </w:rPr>
        <w:t>Datos del Director Responsable de Obra (DRO)</w:t>
      </w:r>
    </w:p>
    <w:tbl>
      <w:tblPr>
        <w:tblStyle w:val="TableGrid"/>
        <w:tblW w:type="auto" w:w="0"/>
        <w:tblLook w:firstColumn="1" w:firstRow="1" w:lastColumn="0" w:lastRow="0" w:noHBand="0" w:noVBand="1" w:val="04A0"/>
      </w:tblPr>
      <w:tblGrid>
        <w:gridCol w:w="4844"/>
        <w:gridCol w:w="4844"/>
      </w:tblGrid>
      <w:tr>
        <w:tc>
          <w:tcPr>
            <w:tcW w:type="dxa" w:w="4844"/>
          </w:tcPr>
          <w:p>
            <w:r>
              <w:rPr>
                <w:b/>
              </w:rPr>
              <w:t>Campo</w:t>
            </w:r>
          </w:p>
        </w:tc>
        <w:tc>
          <w:tcPr>
            <w:tcW w:type="dxa" w:w="4844"/>
          </w:tcPr>
          <w:p>
            <w:r>
              <w:rPr>
                <w:b/>
              </w:rPr>
              <w:t>Dato</w:t>
            </w:r>
          </w:p>
        </w:tc>
      </w:tr>
      <w:tr>
        <w:tc>
          <w:tcPr>
            <w:tcW w:type="dxa" w:w="4844"/>
          </w:tcPr>
          <w:p>
            <w:r>
              <w:rPr/>
              <w:t>Nombre completo</w:t>
            </w:r>
          </w:p>
        </w:tc>
        <w:tc>
          <w:tcPr>
            <w:tcW w:type="dxa" w:w="4844"/>
          </w:tcPr>
          <w:p/>
        </w:tc>
      </w:tr>
      <w:tr>
        <w:tc>
          <w:tcPr>
            <w:tcW w:type="dxa" w:w="4844"/>
          </w:tcPr>
          <w:p>
            <w:r>
              <w:rPr/>
              <w:t>Número de cédula profesional</w:t>
            </w:r>
          </w:p>
        </w:tc>
        <w:tc>
          <w:tcPr>
            <w:tcW w:type="dxa" w:w="4844"/>
          </w:tcPr>
          <w:p/>
        </w:tc>
      </w:tr>
      <w:tr>
        <w:tc>
          <w:tcPr>
            <w:tcW w:type="dxa" w:w="4844"/>
          </w:tcPr>
          <w:p>
            <w:r>
              <w:rPr/>
              <w:t>Número de registro DRO ante Municipio de Soledad</w:t>
            </w:r>
          </w:p>
        </w:tc>
        <w:tc>
          <w:tcPr>
            <w:tcW w:type="dxa" w:w="4844"/>
          </w:tcPr>
          <w:p/>
        </w:tc>
      </w:tr>
      <w:tr>
        <w:tc>
          <w:tcPr>
            <w:tcW w:type="dxa" w:w="4844"/>
          </w:tcPr>
          <w:p>
            <w:r>
              <w:rPr/>
              <w:t>Vigencia del registro</w:t>
            </w:r>
          </w:p>
        </w:tc>
        <w:tc>
          <w:tcPr>
            <w:tcW w:type="dxa" w:w="4844"/>
          </w:tcPr>
          <w:p/>
        </w:tc>
      </w:tr>
      <w:tr>
        <w:tc>
          <w:tcPr>
            <w:tcW w:type="dxa" w:w="4844"/>
          </w:tcPr>
          <w:p>
            <w:r>
              <w:rPr/>
              <w:t>Teléfono de contacto</w:t>
            </w:r>
          </w:p>
        </w:tc>
        <w:tc>
          <w:tcPr>
            <w:tcW w:type="dxa" w:w="4844"/>
          </w:tcPr>
          <w:p/>
        </w:tc>
      </w:tr>
      <w:tr>
        <w:tc>
          <w:tcPr>
            <w:tcW w:type="dxa" w:w="4844"/>
          </w:tcPr>
          <w:p>
            <w:r>
              <w:rPr/>
              <w:t>Correo electrónico</w:t>
            </w:r>
          </w:p>
        </w:tc>
        <w:tc>
          <w:tcPr>
            <w:tcW w:type="dxa" w:w="4844"/>
          </w:tcPr>
          <w:p/>
        </w:tc>
      </w:tr>
    </w:tbl>
    <w:p>
      <w:pPr>
        <w:pBdr>
          <w:bottom w:val="single" w:sz="6" w:space="1" w:color="E2E8F0"/>
        </w:pBdr>
      </w:pPr>
    </w:p>
    <w:p>
      <w:pPr>
        <w:pStyle w:val="Heading2"/>
        <w:spacing w:before="360" w:after="180"/>
      </w:pPr>
      <w:r>
        <w:rPr>
          <w:b/>
          <w:color w:val="1B2C3E"/>
          <w:sz w:val="36"/>
        </w:rPr>
        <w:t>Descripción de la obra</w:t>
      </w:r>
    </w:p>
    <w:p>
      <w:pPr>
        <w:spacing w:after="160"/>
      </w:pPr>
      <w:r>
        <w:rPr/>
      </w:r>
      <w:r>
        <w:rPr>
          <w:b/>
        </w:rPr>
        <w:t>Tipo de intervención:</w:t>
      </w:r>
      <w:r>
        <w:rPr/>
      </w:r>
    </w:p>
    <w:p>
      <w:pPr>
        <w:spacing w:after="160"/>
      </w:pPr>
      <w:r>
        <w:rPr>
          <w:i/>
        </w:rPr>
        <w:t>(Ej: ampliación de superficie habitable, construcción de segundo nivel, modificación estructural, adición de volumen)</w:t>
      </w:r>
    </w:p>
    <w:p>
      <w:pPr>
        <w:spacing w:after="160"/>
      </w:pPr>
      <w:r>
        <w:rPr/>
        <w:t xml:space="preserve"> </w:t>
      </w:r>
    </w:p>
    <w:p>
      <w:pPr>
        <w:spacing w:after="160"/>
      </w:pPr>
      <w:r>
        <w:rPr/>
        <w:t xml:space="preserve"> </w:t>
      </w:r>
    </w:p>
    <w:p>
      <w:pPr>
        <w:spacing w:after="160"/>
      </w:pPr>
      <w:r>
        <w:rPr/>
      </w:r>
      <w:r>
        <w:rPr>
          <w:b/>
        </w:rPr>
        <w:t>Superficie actual construida:</w:t>
      </w:r>
      <w:r>
        <w:rPr/>
        <w:t xml:space="preserve"> _______ m²</w:t>
      </w:r>
    </w:p>
    <w:p>
      <w:pPr>
        <w:spacing w:after="160"/>
      </w:pPr>
      <w:r>
        <w:rPr/>
      </w:r>
      <w:r>
        <w:rPr>
          <w:b/>
        </w:rPr>
        <w:t>Superficie a agregar:</w:t>
      </w:r>
      <w:r>
        <w:rPr/>
        <w:t xml:space="preserve"> _______ m²</w:t>
      </w:r>
    </w:p>
    <w:p>
      <w:pPr>
        <w:spacing w:after="160"/>
      </w:pPr>
      <w:r>
        <w:rPr/>
      </w:r>
      <w:r>
        <w:rPr>
          <w:b/>
        </w:rPr>
        <w:t>Superficie total resultante:</w:t>
      </w:r>
      <w:r>
        <w:rPr/>
        <w:t xml:space="preserve"> _______ m²</w:t>
      </w:r>
    </w:p>
    <w:p>
      <w:pPr>
        <w:spacing w:after="160"/>
      </w:pPr>
      <w:r>
        <w:rPr/>
      </w:r>
      <w:r>
        <w:rPr>
          <w:b/>
        </w:rPr>
        <w:t>Verificación de límites del Reglamento:</w:t>
      </w:r>
      <w:r>
        <w:rPr/>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r>
              <w:rPr>
                <w:b/>
              </w:rPr>
              <w:t>Parámetro</w:t>
            </w:r>
          </w:p>
        </w:tc>
        <w:tc>
          <w:tcPr>
            <w:tcW w:type="dxa" w:w="2422"/>
          </w:tcPr>
          <w:p>
            <w:r>
              <w:rPr>
                <w:b/>
              </w:rPr>
              <w:t>Límite</w:t>
            </w:r>
          </w:p>
        </w:tc>
        <w:tc>
          <w:tcPr>
            <w:tcW w:type="dxa" w:w="2422"/>
          </w:tcPr>
          <w:p>
            <w:r>
              <w:rPr>
                <w:b/>
              </w:rPr>
              <w:t>Valor resultante</w:t>
            </w:r>
          </w:p>
        </w:tc>
        <w:tc>
          <w:tcPr>
            <w:tcW w:type="dxa" w:w="2422"/>
          </w:tcPr>
          <w:p>
            <w:r>
              <w:rPr>
                <w:b/>
              </w:rPr>
              <w:t>¿Cumple?</w:t>
            </w:r>
          </w:p>
        </w:tc>
      </w:tr>
      <w:tr>
        <w:tc>
          <w:tcPr>
            <w:tcW w:type="dxa" w:w="2422"/>
          </w:tcPr>
          <w:p>
            <w:r>
              <w:rPr/>
              <w:t>COS (Coeficiente de Ocupación del Suelo)</w:t>
            </w:r>
          </w:p>
        </w:tc>
        <w:tc>
          <w:tcPr>
            <w:tcW w:type="dxa" w:w="2422"/>
          </w:tcPr>
          <w:p>
            <w:r>
              <w:rPr/>
              <w:t>70%</w:t>
            </w:r>
          </w:p>
        </w:tc>
        <w:tc>
          <w:tcPr>
            <w:tcW w:type="dxa" w:w="2422"/>
          </w:tcPr>
          <w:p>
            <w:r>
              <w:rPr/>
              <w:t>_______ %</w:t>
            </w:r>
          </w:p>
        </w:tc>
        <w:tc>
          <w:tcPr>
            <w:tcW w:type="dxa" w:w="2422"/>
          </w:tcPr>
          <w:p>
            <w:r>
              <w:rPr/>
              <w:t>[ ] Sí [ ] No</w:t>
            </w:r>
          </w:p>
        </w:tc>
      </w:tr>
      <w:tr>
        <w:tc>
          <w:tcPr>
            <w:tcW w:type="dxa" w:w="2422"/>
          </w:tcPr>
          <w:p>
            <w:r>
              <w:rPr/>
              <w:t>CUS (Coeficiente de Utilización del Suelo)</w:t>
            </w:r>
          </w:p>
        </w:tc>
        <w:tc>
          <w:tcPr>
            <w:tcW w:type="dxa" w:w="2422"/>
          </w:tcPr>
          <w:p>
            <w:r>
              <w:rPr/>
              <w:t>2.5</w:t>
            </w:r>
          </w:p>
        </w:tc>
        <w:tc>
          <w:tcPr>
            <w:tcW w:type="dxa" w:w="2422"/>
          </w:tcPr>
          <w:p>
            <w:r>
              <w:rPr/>
              <w:t>_______</w:t>
            </w:r>
          </w:p>
        </w:tc>
        <w:tc>
          <w:tcPr>
            <w:tcW w:type="dxa" w:w="2422"/>
          </w:tcPr>
          <w:p>
            <w:r>
              <w:rPr/>
              <w:t>[ ] Sí [ ] No</w:t>
            </w:r>
          </w:p>
        </w:tc>
      </w:tr>
      <w:tr>
        <w:tc>
          <w:tcPr>
            <w:tcW w:type="dxa" w:w="2422"/>
          </w:tcPr>
          <w:p>
            <w:r>
              <w:rPr/>
              <w:t>Altura máxima</w:t>
            </w:r>
          </w:p>
        </w:tc>
        <w:tc>
          <w:tcPr>
            <w:tcW w:type="dxa" w:w="2422"/>
          </w:tcPr>
          <w:p>
            <w:r>
              <w:rPr/>
              <w:t>12 m</w:t>
            </w:r>
          </w:p>
        </w:tc>
        <w:tc>
          <w:tcPr>
            <w:tcW w:type="dxa" w:w="2422"/>
          </w:tcPr>
          <w:p>
            <w:r>
              <w:rPr/>
              <w:t>_______ m</w:t>
            </w:r>
          </w:p>
        </w:tc>
        <w:tc>
          <w:tcPr>
            <w:tcW w:type="dxa" w:w="2422"/>
          </w:tcPr>
          <w:p>
            <w:r>
              <w:rPr/>
              <w:t>[ ] Sí [ ] No</w:t>
            </w:r>
          </w:p>
        </w:tc>
      </w:tr>
    </w:tbl>
    <w:p>
      <w:pPr>
        <w:spacing w:after="160"/>
      </w:pPr>
      <w:r>
        <w:rPr/>
      </w:r>
      <w:r>
        <w:rPr>
          <w:b/>
        </w:rPr>
        <w:t>Fecha estimada de inicio:</w:t>
      </w:r>
      <w:r>
        <w:rPr/>
        <w:t xml:space="preserve"> </w:t>
      </w:r>
      <w:r>
        <w:rPr>
          <w:i/>
        </w:rPr>
      </w:r>
      <w:r>
        <w:rPr>
          <w:b/>
          <w:i/>
        </w:rPr>
        <w:t>/</w:t>
      </w:r>
      <w:r>
        <w:rPr>
          <w:i/>
        </w:rPr>
      </w:r>
      <w:r>
        <w:rPr/>
        <w:t>/______</w:t>
      </w:r>
    </w:p>
    <w:p>
      <w:pPr>
        <w:spacing w:after="160"/>
      </w:pPr>
      <w:r>
        <w:rPr/>
      </w:r>
      <w:r>
        <w:rPr>
          <w:b/>
        </w:rPr>
        <w:t>Duración estimada:</w:t>
      </w:r>
      <w:r>
        <w:rPr/>
        <w:t xml:space="preserve"> _______ días</w:t>
      </w:r>
    </w:p>
    <w:p>
      <w:pPr>
        <w:spacing w:after="160"/>
      </w:pPr>
      <w:r>
        <w:rPr/>
      </w:r>
      <w:r>
        <w:rPr>
          <w:b/>
        </w:rPr>
        <w:t>Presupuesto total de obra:</w:t>
      </w:r>
      <w:r>
        <w:rPr/>
        <w:t xml:space="preserve"> $_______ MXN</w:t>
      </w:r>
    </w:p>
    <w:p>
      <w:pPr>
        <w:pBdr>
          <w:bottom w:val="single" w:sz="6" w:space="1" w:color="E2E8F0"/>
        </w:pBdr>
      </w:pPr>
    </w:p>
    <w:p>
      <w:pPr>
        <w:pStyle w:val="Heading2"/>
        <w:spacing w:before="360" w:after="180"/>
      </w:pPr>
      <w:r>
        <w:rPr>
          <w:b/>
          <w:color w:val="1B2C3E"/>
          <w:sz w:val="36"/>
        </w:rPr>
        <w:t>Referencia al Manual de Imagen Urbana</w:t>
      </w:r>
    </w:p>
    <w:p>
      <w:pPr>
        <w:spacing w:after="160"/>
      </w:pPr>
      <w:r>
        <w:rPr>
          <w:i/>
        </w:rPr>
        <w:t>Para cada elemento exterior visible que se modifica o agrega, indicar la sección del Manual que aplica.</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r>
              <w:rPr>
                <w:b/>
              </w:rPr>
              <w:t>Elemento</w:t>
            </w:r>
          </w:p>
        </w:tc>
        <w:tc>
          <w:tcPr>
            <w:tcW w:type="dxa" w:w="2422"/>
          </w:tcPr>
          <w:p>
            <w:r>
              <w:rPr>
                <w:b/>
              </w:rPr>
              <w:t>Sección del Manual</w:t>
            </w:r>
          </w:p>
        </w:tc>
        <w:tc>
          <w:tcPr>
            <w:tcW w:type="dxa" w:w="2422"/>
          </w:tcPr>
          <w:p>
            <w:r>
              <w:rPr>
                <w:b/>
              </w:rPr>
              <w:t>Material / Acabado propuesto</w:t>
            </w:r>
          </w:p>
        </w:tc>
        <w:tc>
          <w:tcPr>
            <w:tcW w:type="dxa" w:w="2422"/>
          </w:tcPr>
          <w:p>
            <w:r>
              <w:rPr>
                <w:b/>
              </w:rPr>
              <w:t>Código de referencia</w:t>
            </w:r>
          </w:p>
        </w:tc>
      </w:tr>
      <w:tr>
        <w:tc>
          <w:tcPr>
            <w:tcW w:type="dxa" w:w="2422"/>
          </w:tcPr>
          <w:p/>
        </w:tc>
        <w:tc>
          <w:tcPr>
            <w:tcW w:type="dxa" w:w="2422"/>
          </w:tcPr>
          <w:p/>
        </w:tc>
        <w:tc>
          <w:tcPr>
            <w:tcW w:type="dxa" w:w="2422"/>
          </w:tcPr>
          <w:p/>
        </w:tc>
        <w:tc>
          <w:tcPr>
            <w:tcW w:type="dxa" w:w="2422"/>
          </w:tcPr>
          <w:p/>
        </w:tc>
      </w:tr>
      <w:tr>
        <w:tc>
          <w:tcPr>
            <w:tcW w:type="dxa" w:w="2422"/>
          </w:tcPr>
          <w:p/>
        </w:tc>
        <w:tc>
          <w:tcPr>
            <w:tcW w:type="dxa" w:w="2422"/>
          </w:tcPr>
          <w:p/>
        </w:tc>
        <w:tc>
          <w:tcPr>
            <w:tcW w:type="dxa" w:w="2422"/>
          </w:tcPr>
          <w:p/>
        </w:tc>
        <w:tc>
          <w:tcPr>
            <w:tcW w:type="dxa" w:w="2422"/>
          </w:tcPr>
          <w:p/>
        </w:tc>
      </w:tr>
      <w:tr>
        <w:tc>
          <w:tcPr>
            <w:tcW w:type="dxa" w:w="2422"/>
          </w:tcPr>
          <w:p/>
        </w:tc>
        <w:tc>
          <w:tcPr>
            <w:tcW w:type="dxa" w:w="2422"/>
          </w:tcPr>
          <w:p/>
        </w:tc>
        <w:tc>
          <w:tcPr>
            <w:tcW w:type="dxa" w:w="2422"/>
          </w:tcPr>
          <w:p/>
        </w:tc>
        <w:tc>
          <w:tcPr>
            <w:tcW w:type="dxa" w:w="2422"/>
          </w:tcPr>
          <w:p/>
        </w:tc>
      </w:tr>
    </w:tbl>
    <w:p>
      <w:pPr>
        <w:pBdr>
          <w:bottom w:val="single" w:sz="6" w:space="1" w:color="E2E8F0"/>
        </w:pBdr>
      </w:pPr>
    </w:p>
    <w:p>
      <w:pPr>
        <w:pStyle w:val="Heading2"/>
        <w:spacing w:before="360" w:after="180"/>
      </w:pPr>
      <w:r>
        <w:rPr>
          <w:b/>
          <w:color w:val="1B2C3E"/>
          <w:sz w:val="36"/>
        </w:rPr>
        <w:t>Documentos adjuntos obligatorios</w:t>
      </w:r>
    </w:p>
    <w:p>
      <w:pPr>
        <w:pStyle w:val="ListBullet"/>
      </w:pPr>
      <w:r>
        <w:rPr/>
        <w:t xml:space="preserve"> Plano de proyecto acotado firmado por DRO (planta, alzados, cortes)</w:t>
      </w:r>
    </w:p>
    <w:p>
      <w:pPr>
        <w:pStyle w:val="ListBullet"/>
      </w:pPr>
      <w:r>
        <w:rPr/>
        <w:t xml:space="preserve"> Memoria descriptiva de acabados exteriores</w:t>
      </w:r>
    </w:p>
    <w:p>
      <w:pPr>
        <w:pStyle w:val="ListBullet"/>
      </w:pPr>
      <w:r>
        <w:rPr/>
        <w:t xml:space="preserve"> Copia de escrituras del lote</w:t>
      </w:r>
    </w:p>
    <w:p>
      <w:pPr>
        <w:pStyle w:val="ListBullet"/>
      </w:pPr>
      <w:r>
        <w:rPr/>
        <w:t xml:space="preserve"> Último recibo de cuota de mantenimiento al corriente</w:t>
      </w:r>
    </w:p>
    <w:p>
      <w:pPr>
        <w:pStyle w:val="ListBullet"/>
      </w:pPr>
      <w:r>
        <w:rPr/>
        <w:t xml:space="preserve"> Copia del acta de entrega de la vivienda original</w:t>
      </w:r>
    </w:p>
    <w:p>
      <w:pPr>
        <w:pStyle w:val="ListBullet"/>
      </w:pPr>
      <w:r>
        <w:rPr/>
        <w:t xml:space="preserve"> Permiso de construcción municipal (o constancia de trámite en proceso)</w:t>
      </w:r>
    </w:p>
    <w:p>
      <w:pPr>
        <w:pStyle w:val="ListBullet"/>
      </w:pPr>
      <w:r>
        <w:rPr/>
        <w:t xml:space="preserve"> Fotografías del estado actual (mínimo 4, incluyendo frente y colindancias)</w:t>
      </w:r>
    </w:p>
    <w:p>
      <w:pPr>
        <w:pStyle w:val="ListBullet"/>
      </w:pPr>
      <w:r>
        <w:rPr/>
        <w:t xml:space="preserve"> Presupuesto desglosado de obra</w:t>
      </w:r>
    </w:p>
    <w:p>
      <w:pPr>
        <w:pStyle w:val="ListBullet"/>
      </w:pPr>
      <w:r>
        <w:rPr/>
        <w:t xml:space="preserve"> Otros: ___________________________________</w:t>
      </w:r>
    </w:p>
    <w:p>
      <w:pPr>
        <w:pBdr>
          <w:bottom w:val="single" w:sz="6" w:space="1" w:color="E2E8F0"/>
        </w:pBdr>
      </w:pPr>
    </w:p>
    <w:p>
      <w:pPr>
        <w:pStyle w:val="Heading2"/>
        <w:spacing w:before="360" w:after="180"/>
      </w:pPr>
      <w:r>
        <w:rPr>
          <w:b/>
          <w:color w:val="1B2C3E"/>
          <w:sz w:val="36"/>
        </w:rPr>
        <w:t>Cuotas y depósito</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r>
              <w:rPr>
                <w:b/>
              </w:rPr>
              <w:t>Concepto</w:t>
            </w:r>
          </w:p>
        </w:tc>
        <w:tc>
          <w:tcPr>
            <w:tcW w:type="dxa" w:w="2422"/>
          </w:tcPr>
          <w:p>
            <w:r>
              <w:rPr>
                <w:b/>
              </w:rPr>
              <w:t>Cálculo</w:t>
            </w:r>
          </w:p>
        </w:tc>
        <w:tc>
          <w:tcPr>
            <w:tcW w:type="dxa" w:w="2422"/>
          </w:tcPr>
          <w:p>
            <w:r>
              <w:rPr>
                <w:b/>
              </w:rPr>
              <w:t>Monto</w:t>
            </w:r>
          </w:p>
        </w:tc>
        <w:tc>
          <w:tcPr>
            <w:tcW w:type="dxa" w:w="2422"/>
          </w:tcPr>
          <w:p>
            <w:r>
              <w:rPr>
                <w:b/>
              </w:rPr>
              <w:t>Estado</w:t>
            </w:r>
          </w:p>
        </w:tc>
      </w:tr>
      <w:tr>
        <w:tc>
          <w:tcPr>
            <w:tcW w:type="dxa" w:w="2422"/>
          </w:tcPr>
          <w:p>
            <w:r>
              <w:rPr/>
              <w:t>Cuota de revisión</w:t>
            </w:r>
          </w:p>
        </w:tc>
        <w:tc>
          <w:tcPr>
            <w:tcW w:type="dxa" w:w="2422"/>
          </w:tcPr>
          <w:p>
            <w:r>
              <w:rPr/>
              <w:t>Fija</w:t>
            </w:r>
          </w:p>
        </w:tc>
        <w:tc>
          <w:tcPr>
            <w:tcW w:type="dxa" w:w="2422"/>
          </w:tcPr>
          <w:p>
            <w:r>
              <w:rPr/>
              <w:t>$1,500 MXN</w:t>
            </w:r>
          </w:p>
        </w:tc>
        <w:tc>
          <w:tcPr>
            <w:tcW w:type="dxa" w:w="2422"/>
          </w:tcPr>
          <w:p>
            <w:r>
              <w:rPr/>
              <w:t>[ ] Pagado</w:t>
            </w:r>
          </w:p>
        </w:tc>
      </w:tr>
      <w:tr>
        <w:tc>
          <w:tcPr>
            <w:tcW w:type="dxa" w:w="2422"/>
          </w:tcPr>
          <w:p>
            <w:r>
              <w:rPr/>
              <w:t>Depósito reembolsable</w:t>
            </w:r>
          </w:p>
        </w:tc>
        <w:tc>
          <w:tcPr>
            <w:tcW w:type="dxa" w:w="2422"/>
          </w:tcPr>
          <w:p>
            <w:r>
              <w:rPr/>
              <w:t>15% del presupuesto (mín. $10,000)</w:t>
            </w:r>
          </w:p>
        </w:tc>
        <w:tc>
          <w:tcPr>
            <w:tcW w:type="dxa" w:w="2422"/>
          </w:tcPr>
          <w:p>
            <w:r>
              <w:rPr/>
              <w:t>$_______ MXN</w:t>
            </w:r>
          </w:p>
        </w:tc>
        <w:tc>
          <w:tcPr>
            <w:tcW w:type="dxa" w:w="2422"/>
          </w:tcPr>
          <w:p>
            <w:r>
              <w:rPr/>
              <w:t>[ ] Pagado</w:t>
            </w:r>
          </w:p>
        </w:tc>
      </w:tr>
      <w:tr>
        <w:tc>
          <w:tcPr>
            <w:tcW w:type="dxa" w:w="2422"/>
          </w:tcPr>
          <w:p>
            <w:r>
              <w:rPr/>
            </w:r>
            <w:r>
              <w:rPr>
                <w:b/>
              </w:rPr>
              <w:t>Total</w:t>
            </w:r>
            <w:r>
              <w:rPr/>
            </w:r>
          </w:p>
        </w:tc>
        <w:tc>
          <w:tcPr>
            <w:tcW w:type="dxa" w:w="2422"/>
          </w:tcPr>
          <w:p/>
        </w:tc>
        <w:tc>
          <w:tcPr>
            <w:tcW w:type="dxa" w:w="2422"/>
          </w:tcPr>
          <w:p>
            <w:r>
              <w:rPr/>
            </w:r>
            <w:r>
              <w:rPr>
                <w:b/>
              </w:rPr>
              <w:t>$_______ MXN</w:t>
            </w:r>
            <w:r>
              <w:rPr/>
            </w:r>
          </w:p>
        </w:tc>
        <w:tc>
          <w:tcPr>
            <w:tcW w:type="dxa" w:w="2422"/>
          </w:tcPr>
          <w:p/>
        </w:tc>
      </w:tr>
    </w:tbl>
    <w:p>
      <w:pPr>
        <w:spacing w:after="160"/>
      </w:pPr>
      <w:r>
        <w:rPr>
          <w:i/>
        </w:rPr>
        <w:t>El depósito se reembolsa íntegramente al concluir la obra conforme a lo autorizado y tras verificación del Consejo.</w:t>
      </w:r>
    </w:p>
    <w:p>
      <w:pPr>
        <w:pBdr>
          <w:bottom w:val="single" w:sz="6" w:space="1" w:color="E2E8F0"/>
        </w:pBdr>
      </w:pPr>
    </w:p>
    <w:p>
      <w:pPr>
        <w:pStyle w:val="Heading2"/>
        <w:spacing w:before="360" w:after="180"/>
      </w:pPr>
      <w:r>
        <w:rPr>
          <w:b/>
          <w:color w:val="1B2C3E"/>
          <w:sz w:val="36"/>
        </w:rPr>
        <w:t>Firma del solicitante</w:t>
      </w:r>
    </w:p>
    <w:p>
      <w:pPr>
        <w:spacing w:after="160"/>
      </w:pPr>
      <w:r>
        <w:rPr/>
        <w:t>Nombre: ________________________________</w:t>
      </w:r>
    </w:p>
    <w:p>
      <w:pPr>
        <w:spacing w:after="160"/>
      </w:pPr>
      <w:r>
        <w:rPr/>
        <w:t>Firma: ________________________________</w:t>
      </w:r>
    </w:p>
    <w:p>
      <w:pPr>
        <w:spacing w:after="160"/>
      </w:pPr>
      <w:r>
        <w:rPr/>
        <w:t xml:space="preserve">Fecha: </w:t>
      </w:r>
      <w:r>
        <w:rPr>
          <w:i/>
        </w:rPr>
      </w:r>
      <w:r>
        <w:rPr>
          <w:b/>
          <w:i/>
        </w:rPr>
        <w:t>/</w:t>
      </w:r>
      <w:r>
        <w:rPr>
          <w:i/>
        </w:rPr>
      </w:r>
      <w:r>
        <w:rPr/>
        <w:t>/______</w:t>
      </w:r>
    </w:p>
    <w:p>
      <w:pPr>
        <w:pStyle w:val="Heading2"/>
        <w:spacing w:before="360" w:after="180"/>
      </w:pPr>
      <w:r>
        <w:rPr>
          <w:b/>
          <w:color w:val="1B2C3E"/>
          <w:sz w:val="36"/>
        </w:rPr>
        <w:t>Firma del DRO</w:t>
      </w:r>
    </w:p>
    <w:p>
      <w:pPr>
        <w:spacing w:after="160"/>
      </w:pPr>
      <w:r>
        <w:rPr/>
        <w:t>Nombre: ________________________________</w:t>
      </w:r>
    </w:p>
    <w:p>
      <w:pPr>
        <w:spacing w:after="160"/>
      </w:pPr>
      <w:r>
        <w:rPr/>
        <w:t>Cédula / Registro DRO: ________________________________</w:t>
      </w:r>
    </w:p>
    <w:p>
      <w:pPr>
        <w:spacing w:after="160"/>
      </w:pPr>
      <w:r>
        <w:rPr/>
        <w:t>Firma: ________________________________</w:t>
      </w:r>
    </w:p>
    <w:p>
      <w:pPr>
        <w:spacing w:after="160"/>
      </w:pPr>
      <w:r>
        <w:rPr/>
        <w:t xml:space="preserve">Fecha: </w:t>
      </w:r>
      <w:r>
        <w:rPr>
          <w:i/>
        </w:rPr>
      </w:r>
      <w:r>
        <w:rPr>
          <w:b/>
          <w:i/>
        </w:rPr>
        <w:t>/</w:t>
      </w:r>
      <w:r>
        <w:rPr>
          <w:i/>
        </w:rPr>
      </w:r>
      <w:r>
        <w:rPr/>
        <w:t>/______</w:t>
      </w:r>
    </w:p>
    <w:p>
      <w:pPr>
        <w:pBdr>
          <w:bottom w:val="single" w:sz="6" w:space="1" w:color="E2E8F0"/>
        </w:pBdr>
      </w:pPr>
    </w:p>
    <w:p>
      <w:pPr>
        <w:pStyle w:val="Heading2"/>
        <w:spacing w:before="360" w:after="180"/>
      </w:pPr>
      <w:r>
        <w:rPr>
          <w:b/>
          <w:color w:val="1B2C3E"/>
          <w:sz w:val="36"/>
        </w:rPr>
        <w:t>Para uso del Administrador — Recepción</w:t>
      </w:r>
    </w:p>
    <w:tbl>
      <w:tblPr>
        <w:tblStyle w:val="TableGrid"/>
        <w:tblW w:type="auto" w:w="0"/>
        <w:tblLook w:firstColumn="1" w:firstRow="1" w:lastColumn="0" w:lastRow="0" w:noHBand="0" w:noVBand="1" w:val="04A0"/>
      </w:tblPr>
      <w:tblGrid>
        <w:gridCol w:w="4844"/>
        <w:gridCol w:w="4844"/>
      </w:tblGrid>
      <w:tr>
        <w:tc>
          <w:tcPr>
            <w:tcW w:type="dxa" w:w="4844"/>
          </w:tcPr>
          <w:p>
            <w:r>
              <w:rPr>
                <w:b/>
              </w:rPr>
              <w:t>Campo</w:t>
            </w:r>
          </w:p>
        </w:tc>
        <w:tc>
          <w:tcPr>
            <w:tcW w:type="dxa" w:w="4844"/>
          </w:tcPr>
          <w:p>
            <w:r>
              <w:rPr>
                <w:b/>
              </w:rPr>
              <w:t>Dato</w:t>
            </w:r>
          </w:p>
        </w:tc>
      </w:tr>
      <w:tr>
        <w:tc>
          <w:tcPr>
            <w:tcW w:type="dxa" w:w="4844"/>
          </w:tcPr>
          <w:p>
            <w:r>
              <w:rPr/>
              <w:t>Fecha y hora de recepción</w:t>
            </w:r>
          </w:p>
        </w:tc>
        <w:tc>
          <w:tcPr>
            <w:tcW w:type="dxa" w:w="4844"/>
          </w:tcPr>
          <w:p/>
        </w:tc>
      </w:tr>
      <w:tr>
        <w:tc>
          <w:tcPr>
            <w:tcW w:type="dxa" w:w="4844"/>
          </w:tcPr>
          <w:p>
            <w:r>
              <w:rPr/>
              <w:t>Recibido por</w:t>
            </w:r>
          </w:p>
        </w:tc>
        <w:tc>
          <w:tcPr>
            <w:tcW w:type="dxa" w:w="4844"/>
          </w:tcPr>
          <w:p/>
        </w:tc>
      </w:tr>
      <w:tr>
        <w:tc>
          <w:tcPr>
            <w:tcW w:type="dxa" w:w="4844"/>
          </w:tcPr>
          <w:p>
            <w:r>
              <w:rPr/>
              <w:t>Número de folio asignado</w:t>
            </w:r>
          </w:p>
        </w:tc>
        <w:tc>
          <w:tcPr>
            <w:tcW w:type="dxa" w:w="4844"/>
          </w:tcPr>
          <w:p>
            <w:r>
              <w:rPr/>
              <w:t>C3 - _______</w:t>
            </w:r>
          </w:p>
        </w:tc>
      </w:tr>
      <w:tr>
        <w:tc>
          <w:tcPr>
            <w:tcW w:type="dxa" w:w="4844"/>
          </w:tcPr>
          <w:p>
            <w:r>
              <w:rPr/>
              <w:t>Expediente completo</w:t>
            </w:r>
          </w:p>
        </w:tc>
        <w:tc>
          <w:tcPr>
            <w:tcW w:type="dxa" w:w="4844"/>
          </w:tcPr>
          <w:p>
            <w:r>
              <w:rPr/>
              <w:t>[ ] Sí — procede a Consejo [ ] No — devuelto por incompleto</w:t>
            </w:r>
          </w:p>
        </w:tc>
      </w:tr>
      <w:tr>
        <w:tc>
          <w:tcPr>
            <w:tcW w:type="dxa" w:w="4844"/>
          </w:tcPr>
          <w:p>
            <w:r>
              <w:rPr/>
              <w:t>Fecha límite de resolución del Consejo (15 días hábiles)</w:t>
            </w:r>
          </w:p>
        </w:tc>
        <w:tc>
          <w:tcPr>
            <w:tcW w:type="dxa" w:w="4844"/>
          </w:tcPr>
          <w:p/>
        </w:tc>
      </w:tr>
    </w:tbl>
    <w:p>
      <w:pPr>
        <w:spacing w:after="160"/>
      </w:pPr>
      <w:r>
        <w:rPr/>
        <w:t>Firma del Administrador: ________________________________</w:t>
      </w:r>
    </w:p>
    <w:p>
      <w:pPr>
        <w:pBdr>
          <w:bottom w:val="single" w:sz="6" w:space="1" w:color="E2E8F0"/>
        </w:pBdr>
      </w:pPr>
    </w:p>
    <w:p>
      <w:pPr>
        <w:pStyle w:val="Heading2"/>
        <w:spacing w:before="360" w:after="180"/>
      </w:pPr>
      <w:r>
        <w:rPr>
          <w:b/>
          <w:color w:val="1B2C3E"/>
          <w:sz w:val="36"/>
        </w:rPr>
        <w:t>Para uso del Consejo de Diseño — Resolución</w:t>
      </w:r>
    </w:p>
    <w:p>
      <w:pPr>
        <w:ind w:left="720"/>
        <w:pBdr>
          <w:left w:val="single" w:sz="12" w:space="8" w:color="E2E8F0"/>
        </w:pBdr>
      </w:pPr>
      <w:r>
        <w:rPr/>
      </w:r>
      <w:r>
        <w:rPr>
          <w:b/>
        </w:rPr>
        <w:t>Recordatorio:</w:t>
      </w:r>
      <w:r>
        <w:rPr/>
        <w:t xml:space="preserve"> Esta categoría NO admite aprobación tácita. El Consejo debe emitir resolución expresa dentro de los 15 días hábiles.</w:t>
      </w:r>
    </w:p>
    <w:p>
      <w:pPr>
        <w:spacing w:after="160"/>
      </w:pPr>
      <w:r>
        <w:rPr/>
      </w:r>
      <w:r>
        <w:rPr>
          <w:b/>
        </w:rPr>
        <w:t>Fecha de resolución:</w:t>
      </w:r>
      <w:r>
        <w:rPr/>
        <w:t xml:space="preserve"> </w:t>
      </w:r>
      <w:r>
        <w:rPr>
          <w:i/>
        </w:rPr>
      </w:r>
      <w:r>
        <w:rPr>
          <w:b/>
          <w:i/>
        </w:rPr>
        <w:t>/</w:t>
      </w:r>
      <w:r>
        <w:rPr>
          <w:i/>
        </w:rPr>
      </w:r>
      <w:r>
        <w:rPr/>
        <w:t>/______</w:t>
      </w:r>
    </w:p>
    <w:p>
      <w:pPr>
        <w:spacing w:after="160"/>
      </w:pPr>
      <w:r>
        <w:rPr/>
      </w:r>
      <w:r>
        <w:rPr>
          <w:b/>
        </w:rPr>
        <w:t>Resolución:</w:t>
      </w:r>
      <w:r>
        <w:rPr/>
      </w:r>
    </w:p>
    <w:p>
      <w:pPr>
        <w:pStyle w:val="ListBullet"/>
      </w:pPr>
      <w:r>
        <w:rPr/>
        <w:t xml:space="preserve"> </w:t>
      </w:r>
      <w:r>
        <w:rPr>
          <w:b/>
        </w:rPr>
        <w:t>Aprobada</w:t>
      </w:r>
      <w:r>
        <w:rPr/>
        <w:t xml:space="preserve"> — la obra puede proceder conforme a lo solicitado</w:t>
      </w:r>
    </w:p>
    <w:p>
      <w:pPr>
        <w:pStyle w:val="ListBullet"/>
      </w:pPr>
      <w:r>
        <w:rPr/>
        <w:t xml:space="preserve"> </w:t>
      </w:r>
      <w:r>
        <w:rPr>
          <w:b/>
        </w:rPr>
        <w:t>Aprobada con condiciones</w:t>
      </w:r>
      <w:r>
        <w:rPr/>
        <w:t xml:space="preserve"> — ver condiciones al reverso</w:t>
      </w:r>
    </w:p>
    <w:p>
      <w:pPr>
        <w:pStyle w:val="ListBullet"/>
      </w:pPr>
      <w:r>
        <w:rPr/>
        <w:t xml:space="preserve"> </w:t>
      </w:r>
      <w:r>
        <w:rPr>
          <w:b/>
        </w:rPr>
        <w:t>Rechazada</w:t>
      </w:r>
      <w:r>
        <w:rPr/>
        <w:t xml:space="preserve"> — ver fundamento al reverso</w:t>
      </w:r>
    </w:p>
    <w:p>
      <w:pPr>
        <w:spacing w:after="160"/>
      </w:pPr>
      <w:r>
        <w:rPr/>
      </w:r>
      <w:r>
        <w:rPr>
          <w:b/>
        </w:rPr>
        <w:t>Fundamento (referencia al Manual o al Reglamento):</w:t>
      </w:r>
      <w:r>
        <w:rPr/>
      </w:r>
    </w:p>
    <w:p>
      <w:pPr>
        <w:spacing w:after="160"/>
      </w:pPr>
      <w:r>
        <w:rPr/>
        <w:t xml:space="preserve"> </w:t>
      </w:r>
    </w:p>
    <w:p>
      <w:pPr>
        <w:spacing w:after="160"/>
      </w:pPr>
      <w:r>
        <w:rPr/>
        <w:t xml:space="preserve"> </w:t>
      </w:r>
    </w:p>
    <w:p>
      <w:pPr>
        <w:spacing w:after="160"/>
      </w:pPr>
      <w:r>
        <w:rPr/>
      </w:r>
      <w:r>
        <w:rPr>
          <w:b/>
        </w:rPr>
        <w:t>Visitas de supervisión programadas durante la obra:</w:t>
      </w:r>
      <w:r>
        <w:rPr/>
      </w:r>
    </w:p>
    <w:tbl>
      <w:tblPr>
        <w:tblStyle w:val="TableGrid"/>
        <w:tblW w:type="auto" w:w="0"/>
        <w:tblLook w:firstColumn="1" w:firstRow="1" w:lastColumn="0" w:lastRow="0" w:noHBand="0" w:noVBand="1" w:val="04A0"/>
      </w:tblPr>
      <w:tblGrid>
        <w:gridCol w:w="3230"/>
        <w:gridCol w:w="3230"/>
        <w:gridCol w:w="3230"/>
      </w:tblGrid>
      <w:tr>
        <w:tc>
          <w:tcPr>
            <w:tcW w:type="dxa" w:w="3230"/>
          </w:tcPr>
          <w:p>
            <w:r>
              <w:rPr>
                <w:b/>
              </w:rPr>
              <w:t>Etapa</w:t>
            </w:r>
          </w:p>
        </w:tc>
        <w:tc>
          <w:tcPr>
            <w:tcW w:type="dxa" w:w="3230"/>
          </w:tcPr>
          <w:p>
            <w:r>
              <w:rPr>
                <w:b/>
              </w:rPr>
              <w:t>Fecha estimada</w:t>
            </w:r>
          </w:p>
        </w:tc>
        <w:tc>
          <w:tcPr>
            <w:tcW w:type="dxa" w:w="3230"/>
          </w:tcPr>
          <w:p>
            <w:r>
              <w:rPr>
                <w:b/>
              </w:rPr>
              <w:t>Responsable</w:t>
            </w:r>
          </w:p>
        </w:tc>
      </w:tr>
      <w:tr>
        <w:tc>
          <w:tcPr>
            <w:tcW w:type="dxa" w:w="3230"/>
          </w:tcPr>
          <w:p>
            <w:r>
              <w:rPr/>
              <w:t>Inicio de trabajos</w:t>
            </w:r>
          </w:p>
        </w:tc>
        <w:tc>
          <w:tcPr>
            <w:tcW w:type="dxa" w:w="3230"/>
          </w:tcPr>
          <w:p/>
        </w:tc>
        <w:tc>
          <w:tcPr>
            <w:tcW w:type="dxa" w:w="3230"/>
          </w:tcPr>
          <w:p/>
        </w:tc>
      </w:tr>
      <w:tr>
        <w:tc>
          <w:tcPr>
            <w:tcW w:type="dxa" w:w="3230"/>
          </w:tcPr>
          <w:p>
            <w:r>
              <w:rPr/>
              <w:t>Obra gris / estructura</w:t>
            </w:r>
          </w:p>
        </w:tc>
        <w:tc>
          <w:tcPr>
            <w:tcW w:type="dxa" w:w="3230"/>
          </w:tcPr>
          <w:p/>
        </w:tc>
        <w:tc>
          <w:tcPr>
            <w:tcW w:type="dxa" w:w="3230"/>
          </w:tcPr>
          <w:p/>
        </w:tc>
      </w:tr>
      <w:tr>
        <w:tc>
          <w:tcPr>
            <w:tcW w:type="dxa" w:w="3230"/>
          </w:tcPr>
          <w:p>
            <w:r>
              <w:rPr/>
              <w:t>Acabados exteriores</w:t>
            </w:r>
          </w:p>
        </w:tc>
        <w:tc>
          <w:tcPr>
            <w:tcW w:type="dxa" w:w="3230"/>
          </w:tcPr>
          <w:p/>
        </w:tc>
        <w:tc>
          <w:tcPr>
            <w:tcW w:type="dxa" w:w="3230"/>
          </w:tcPr>
          <w:p/>
        </w:tc>
      </w:tr>
      <w:tr>
        <w:tc>
          <w:tcPr>
            <w:tcW w:type="dxa" w:w="3230"/>
          </w:tcPr>
          <w:p>
            <w:r>
              <w:rPr/>
              <w:t>Conclusión</w:t>
            </w:r>
          </w:p>
        </w:tc>
        <w:tc>
          <w:tcPr>
            <w:tcW w:type="dxa" w:w="3230"/>
          </w:tcPr>
          <w:p/>
        </w:tc>
        <w:tc>
          <w:tcPr>
            <w:tcW w:type="dxa" w:w="3230"/>
          </w:tcPr>
          <w:p/>
        </w:tc>
      </w:tr>
    </w:tbl>
    <w:p>
      <w:pPr>
        <w:spacing w:after="160"/>
      </w:pPr>
      <w:r>
        <w:rPr/>
        <w:t>Firma del Presidente del Consejo: ________________________________</w:t>
      </w:r>
    </w:p>
    <w:p>
      <w:pPr>
        <w:spacing w:after="160"/>
      </w:pPr>
      <w:r>
        <w:rPr/>
        <w:t>Firma de miembro 2: ________________________________</w:t>
      </w:r>
    </w:p>
    <w:p>
      <w:pPr>
        <w:spacing w:after="160"/>
      </w:pPr>
      <w:r>
        <w:rPr/>
        <w:t>Firma de miembro 3: ________________________________</w:t>
      </w:r>
    </w:p>
    <w:p>
      <w:pPr>
        <w:pBdr>
          <w:bottom w:val="single" w:sz="6" w:space="1" w:color="E2E8F0"/>
        </w:pBdr>
      </w:pPr>
    </w:p>
    <w:p>
      <w:pPr>
        <w:spacing w:after="160"/>
      </w:pPr>
      <w:r>
        <w:rPr>
          <w:i/>
        </w:rPr>
        <w:t>El propietario puede apelar una resolución desfavorable ante el Comité de Representantes dentro de los 10 días hábiles siguientes a la notificación. Ver Proceso de Apelación (Formato P-3).</w:t>
      </w:r>
    </w:p>
    <w:p>
      <w:pPr>
        <w:pBdr>
          <w:bottom w:val="single" w:sz="6" w:space="1" w:color="E2E8F0"/>
        </w:pBdr>
      </w:pPr>
    </w:p>
    <w:p>
      <w:pPr>
        <w:pStyle w:val="Heading1"/>
        <w:pageBreakBefore/>
        <w:spacing w:before="480" w:after="240"/>
        <w:jc w:val="center"/>
      </w:pPr>
      <w:r>
        <w:rPr>
          <w:b/>
          <w:color w:val="1B2C3E"/>
          <w:sz w:val="48"/>
        </w:rPr>
        <w:t>Formato D-1 — Constancia de Estado de Modificaciones</w:t>
      </w:r>
    </w:p>
    <w:p>
      <w:pPr>
        <w:spacing w:after="160"/>
      </w:pPr>
      <w:r>
        <w:rPr>
          <w:i/>
        </w:rPr>
        <w:t>Documento expedido por el Administrador del Fraccionamiento Solé a solicitud del propietario. Acredita el estado de las modificaciones registradas en el lote a la fecha de expedición. Plazo de expedición: máximo 5 días hábiles desde la solicitud. Entra en vigor para compraventas a partir del día 91 tras el cierre del período de amnistía.</w:t>
      </w:r>
    </w:p>
    <w:p>
      <w:pPr>
        <w:pBdr>
          <w:bottom w:val="single" w:sz="6" w:space="1" w:color="E2E8F0"/>
        </w:pBdr>
      </w:pPr>
    </w:p>
    <w:p>
      <w:pPr>
        <w:pStyle w:val="Heading2"/>
        <w:spacing w:before="360" w:after="180"/>
      </w:pPr>
      <w:r>
        <w:rPr>
          <w:b/>
          <w:color w:val="1B2C3E"/>
          <w:sz w:val="36"/>
        </w:rPr>
        <w:t>Solicitud</w:t>
      </w:r>
    </w:p>
    <w:p>
      <w:pPr>
        <w:spacing w:after="160"/>
      </w:pPr>
      <w:r>
        <w:rPr/>
      </w:r>
      <w:r>
        <w:rPr>
          <w:b/>
        </w:rPr>
        <w:t>Datos del solicitante:</w:t>
      </w:r>
      <w:r>
        <w:rPr/>
      </w:r>
    </w:p>
    <w:tbl>
      <w:tblPr>
        <w:tblStyle w:val="TableGrid"/>
        <w:tblW w:type="auto" w:w="0"/>
        <w:tblLook w:firstColumn="1" w:firstRow="1" w:lastColumn="0" w:lastRow="0" w:noHBand="0" w:noVBand="1" w:val="04A0"/>
      </w:tblPr>
      <w:tblGrid>
        <w:gridCol w:w="4844"/>
        <w:gridCol w:w="4844"/>
      </w:tblGrid>
      <w:tr>
        <w:tc>
          <w:tcPr>
            <w:tcW w:type="dxa" w:w="4844"/>
          </w:tcPr>
          <w:p>
            <w:r>
              <w:rPr>
                <w:b/>
              </w:rPr>
              <w:t>Campo</w:t>
            </w:r>
          </w:p>
        </w:tc>
        <w:tc>
          <w:tcPr>
            <w:tcW w:type="dxa" w:w="4844"/>
          </w:tcPr>
          <w:p>
            <w:r>
              <w:rPr>
                <w:b/>
              </w:rPr>
              <w:t>Dato</w:t>
            </w:r>
          </w:p>
        </w:tc>
      </w:tr>
      <w:tr>
        <w:tc>
          <w:tcPr>
            <w:tcW w:type="dxa" w:w="4844"/>
          </w:tcPr>
          <w:p>
            <w:r>
              <w:rPr/>
              <w:t>Nombre completo del propietario</w:t>
            </w:r>
          </w:p>
        </w:tc>
        <w:tc>
          <w:tcPr>
            <w:tcW w:type="dxa" w:w="4844"/>
          </w:tcPr>
          <w:p/>
        </w:tc>
      </w:tr>
      <w:tr>
        <w:tc>
          <w:tcPr>
            <w:tcW w:type="dxa" w:w="4844"/>
          </w:tcPr>
          <w:p>
            <w:r>
              <w:rPr/>
              <w:t>Lote número</w:t>
            </w:r>
          </w:p>
        </w:tc>
        <w:tc>
          <w:tcPr>
            <w:tcW w:type="dxa" w:w="4844"/>
          </w:tcPr>
          <w:p/>
        </w:tc>
      </w:tr>
      <w:tr>
        <w:tc>
          <w:tcPr>
            <w:tcW w:type="dxa" w:w="4844"/>
          </w:tcPr>
          <w:p>
            <w:r>
              <w:rPr/>
              <w:t>Circuito / Calle</w:t>
            </w:r>
          </w:p>
        </w:tc>
        <w:tc>
          <w:tcPr>
            <w:tcW w:type="dxa" w:w="4844"/>
          </w:tcPr>
          <w:p/>
        </w:tc>
      </w:tr>
      <w:tr>
        <w:tc>
          <w:tcPr>
            <w:tcW w:type="dxa" w:w="4844"/>
          </w:tcPr>
          <w:p>
            <w:r>
              <w:rPr/>
              <w:t>Teléfono de contacto</w:t>
            </w:r>
          </w:p>
        </w:tc>
        <w:tc>
          <w:tcPr>
            <w:tcW w:type="dxa" w:w="4844"/>
          </w:tcPr>
          <w:p/>
        </w:tc>
      </w:tr>
      <w:tr>
        <w:tc>
          <w:tcPr>
            <w:tcW w:type="dxa" w:w="4844"/>
          </w:tcPr>
          <w:p>
            <w:r>
              <w:rPr/>
              <w:t>Correo electrónico</w:t>
            </w:r>
          </w:p>
        </w:tc>
        <w:tc>
          <w:tcPr>
            <w:tcW w:type="dxa" w:w="4844"/>
          </w:tcPr>
          <w:p/>
        </w:tc>
      </w:tr>
      <w:tr>
        <w:tc>
          <w:tcPr>
            <w:tcW w:type="dxa" w:w="4844"/>
          </w:tcPr>
          <w:p>
            <w:r>
              <w:rPr/>
              <w:t>Motivo de la solicitud</w:t>
            </w:r>
          </w:p>
        </w:tc>
        <w:tc>
          <w:tcPr>
            <w:tcW w:type="dxa" w:w="4844"/>
          </w:tcPr>
          <w:p>
            <w:r>
              <w:rPr/>
              <w:t>[ ] Compraventa [ ] Crédito hipotecario [ ] Consulta personal [ ] Otro: _______</w:t>
            </w:r>
          </w:p>
        </w:tc>
      </w:tr>
    </w:tbl>
    <w:p>
      <w:pPr>
        <w:spacing w:after="160"/>
      </w:pPr>
      <w:r>
        <w:rPr/>
        <w:t xml:space="preserve">Fecha de solicitud: </w:t>
      </w:r>
      <w:r>
        <w:rPr>
          <w:i/>
        </w:rPr>
      </w:r>
      <w:r>
        <w:rPr>
          <w:b/>
          <w:i/>
        </w:rPr>
        <w:t>/</w:t>
      </w:r>
      <w:r>
        <w:rPr>
          <w:i/>
        </w:rPr>
      </w:r>
      <w:r>
        <w:rPr/>
        <w:t>/______</w:t>
      </w:r>
    </w:p>
    <w:p>
      <w:pPr>
        <w:spacing w:after="160"/>
      </w:pPr>
      <w:r>
        <w:rPr/>
        <w:t>Firma del solicitante: ________________________________</w:t>
      </w:r>
    </w:p>
    <w:p>
      <w:pPr>
        <w:pBdr>
          <w:bottom w:val="single" w:sz="6" w:space="1" w:color="E2E8F0"/>
        </w:pBdr>
      </w:pPr>
    </w:p>
    <w:p>
      <w:pPr>
        <w:pStyle w:val="Heading2"/>
        <w:spacing w:before="360" w:after="180"/>
      </w:pPr>
      <w:r>
        <w:rPr>
          <w:b/>
          <w:color w:val="1B2C3E"/>
          <w:sz w:val="36"/>
        </w:rPr>
        <w:t>Constancia</w:t>
      </w:r>
    </w:p>
    <w:p>
      <w:pPr>
        <w:spacing w:after="160"/>
      </w:pPr>
      <w:r>
        <w:rPr/>
      </w:r>
      <w:r>
        <w:rPr>
          <w:b/>
        </w:rPr>
        <w:t>ADMINISTRACIÓN DEL FRACCIONAMIENTO SOLÉ</w:t>
      </w:r>
      <w:r>
        <w:rPr/>
      </w:r>
      <w:r>
        <w:t xml:space="preserve"> </w:t>
      </w:r>
      <w:r>
        <w:rPr>
          <w:i/>
        </w:rPr>
        <w:t>Fraccionamiento Solé — El Toro, Soledad de Graciano Sánchez, S.L.P.</w:t>
      </w:r>
    </w:p>
    <w:p>
      <w:pPr>
        <w:pBdr>
          <w:bottom w:val="single" w:sz="6" w:space="1" w:color="E2E8F0"/>
        </w:pBdr>
      </w:pPr>
    </w:p>
    <w:p>
      <w:pPr>
        <w:spacing w:after="160"/>
      </w:pPr>
      <w:r>
        <w:rPr/>
        <w:t>La Administración del Fraccionamiento Solé hace constar que, con base en el Registro de Modificaciones por Lote, a la fecha de expedición del presente documento el estado de las modificaciones del lote descrito a continuación es el siguiente:</w:t>
      </w:r>
    </w:p>
    <w:p>
      <w:pPr>
        <w:spacing w:after="160"/>
      </w:pPr>
      <w:r>
        <w:rPr/>
      </w:r>
      <w:r>
        <w:rPr>
          <w:b/>
        </w:rPr>
        <w:t>Lote:</w:t>
      </w:r>
      <w:r>
        <w:rPr/>
        <w:t xml:space="preserve"> _______</w:t>
      </w:r>
    </w:p>
    <w:p>
      <w:pPr>
        <w:spacing w:after="160"/>
      </w:pPr>
      <w:r>
        <w:rPr/>
      </w:r>
      <w:r>
        <w:rPr>
          <w:b/>
        </w:rPr>
        <w:t>Ubicación:</w:t>
      </w:r>
      <w:r>
        <w:rPr/>
        <w:t xml:space="preserve"> ________________________________</w:t>
      </w:r>
    </w:p>
    <w:p>
      <w:pPr>
        <w:spacing w:after="160"/>
      </w:pPr>
      <w:r>
        <w:rPr/>
      </w:r>
      <w:r>
        <w:rPr>
          <w:b/>
        </w:rPr>
        <w:t>Propietario registrado:</w:t>
      </w:r>
      <w:r>
        <w:rPr/>
        <w:t xml:space="preserve"> ________________________________</w:t>
      </w:r>
    </w:p>
    <w:p>
      <w:pPr>
        <w:pBdr>
          <w:bottom w:val="single" w:sz="6" w:space="1" w:color="E2E8F0"/>
        </w:pBdr>
      </w:pPr>
    </w:p>
    <w:p>
      <w:pPr>
        <w:pStyle w:val="Heading3"/>
        <w:spacing w:before="300" w:after="120"/>
      </w:pPr>
      <w:r>
        <w:rPr>
          <w:b/>
          <w:color w:val="3D5168"/>
          <w:sz w:val="28"/>
        </w:rPr>
        <w:t>Obras autorizadas registradas</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1938"/>
          </w:tcPr>
          <w:p>
            <w:r>
              <w:rPr>
                <w:b/>
              </w:rPr>
              <w:t>Folio</w:t>
            </w:r>
          </w:p>
        </w:tc>
        <w:tc>
          <w:tcPr>
            <w:tcW w:type="dxa" w:w="1938"/>
          </w:tcPr>
          <w:p>
            <w:r>
              <w:rPr>
                <w:b/>
              </w:rPr>
              <w:t>Fecha de autorización</w:t>
            </w:r>
          </w:p>
        </w:tc>
        <w:tc>
          <w:tcPr>
            <w:tcW w:type="dxa" w:w="1938"/>
          </w:tcPr>
          <w:p>
            <w:r>
              <w:rPr>
                <w:b/>
              </w:rPr>
              <w:t>Descripción de la obra</w:t>
            </w:r>
          </w:p>
        </w:tc>
        <w:tc>
          <w:tcPr>
            <w:tcW w:type="dxa" w:w="1938"/>
          </w:tcPr>
          <w:p>
            <w:r>
              <w:rPr>
                <w:b/>
              </w:rPr>
              <w:t>Categoría</w:t>
            </w:r>
          </w:p>
        </w:tc>
        <w:tc>
          <w:tcPr>
            <w:tcW w:type="dxa" w:w="1938"/>
          </w:tcPr>
          <w:p>
            <w:r>
              <w:rPr>
                <w:b/>
              </w:rPr>
              <w:t>Observaciones</w:t>
            </w:r>
          </w:p>
        </w:tc>
      </w:tr>
      <w:tr>
        <w:tc>
          <w:tcPr>
            <w:tcW w:type="dxa" w:w="1938"/>
          </w:tcPr>
          <w:p/>
        </w:tc>
        <w:tc>
          <w:tcPr>
            <w:tcW w:type="dxa" w:w="1938"/>
          </w:tcPr>
          <w:p/>
        </w:tc>
        <w:tc>
          <w:tcPr>
            <w:tcW w:type="dxa" w:w="1938"/>
          </w:tcPr>
          <w:p/>
        </w:tc>
        <w:tc>
          <w:tcPr>
            <w:tcW w:type="dxa" w:w="1938"/>
          </w:tcPr>
          <w:p/>
        </w:tc>
        <w:tc>
          <w:tcPr>
            <w:tcW w:type="dxa" w:w="1938"/>
          </w:tcPr>
          <w:p/>
        </w:tc>
      </w:tr>
      <w:tr>
        <w:tc>
          <w:tcPr>
            <w:tcW w:type="dxa" w:w="1938"/>
          </w:tcPr>
          <w:p/>
        </w:tc>
        <w:tc>
          <w:tcPr>
            <w:tcW w:type="dxa" w:w="1938"/>
          </w:tcPr>
          <w:p/>
        </w:tc>
        <w:tc>
          <w:tcPr>
            <w:tcW w:type="dxa" w:w="1938"/>
          </w:tcPr>
          <w:p/>
        </w:tc>
        <w:tc>
          <w:tcPr>
            <w:tcW w:type="dxa" w:w="1938"/>
          </w:tcPr>
          <w:p/>
        </w:tc>
        <w:tc>
          <w:tcPr>
            <w:tcW w:type="dxa" w:w="1938"/>
          </w:tcPr>
          <w:p/>
        </w:tc>
      </w:tr>
      <w:tr>
        <w:tc>
          <w:tcPr>
            <w:tcW w:type="dxa" w:w="1938"/>
          </w:tcPr>
          <w:p/>
        </w:tc>
        <w:tc>
          <w:tcPr>
            <w:tcW w:type="dxa" w:w="1938"/>
          </w:tcPr>
          <w:p/>
        </w:tc>
        <w:tc>
          <w:tcPr>
            <w:tcW w:type="dxa" w:w="1938"/>
          </w:tcPr>
          <w:p/>
        </w:tc>
        <w:tc>
          <w:tcPr>
            <w:tcW w:type="dxa" w:w="1938"/>
          </w:tcPr>
          <w:p/>
        </w:tc>
        <w:tc>
          <w:tcPr>
            <w:tcW w:type="dxa" w:w="1938"/>
          </w:tcPr>
          <w:p/>
        </w:tc>
      </w:tr>
    </w:tbl>
    <w:p>
      <w:pPr>
        <w:spacing w:after="160"/>
      </w:pPr>
      <w:r>
        <w:rPr>
          <w:i/>
        </w:rPr>
        <w:t>Si no existen obras autorizadas registradas, se hace constar que el lote no tiene modificaciones documentadas en el Registro al momento de la expedición.</w:t>
      </w:r>
    </w:p>
    <w:p>
      <w:pPr>
        <w:pBdr>
          <w:bottom w:val="single" w:sz="6" w:space="1" w:color="E2E8F0"/>
        </w:pBdr>
      </w:pPr>
    </w:p>
    <w:p>
      <w:pPr>
        <w:pStyle w:val="Heading3"/>
        <w:spacing w:before="300" w:after="120"/>
      </w:pPr>
      <w:r>
        <w:rPr>
          <w:b/>
          <w:color w:val="3D5168"/>
          <w:sz w:val="28"/>
        </w:rPr>
        <w:t>Obras con observaciones pendientes</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r>
              <w:rPr>
                <w:b/>
              </w:rPr>
              <w:t>Folio</w:t>
            </w:r>
          </w:p>
        </w:tc>
        <w:tc>
          <w:tcPr>
            <w:tcW w:type="dxa" w:w="2422"/>
          </w:tcPr>
          <w:p>
            <w:r>
              <w:rPr>
                <w:b/>
              </w:rPr>
              <w:t>Descripción</w:t>
            </w:r>
          </w:p>
        </w:tc>
        <w:tc>
          <w:tcPr>
            <w:tcW w:type="dxa" w:w="2422"/>
          </w:tcPr>
          <w:p>
            <w:r>
              <w:rPr>
                <w:b/>
              </w:rPr>
              <w:t>Situación</w:t>
            </w:r>
          </w:p>
        </w:tc>
        <w:tc>
          <w:tcPr>
            <w:tcW w:type="dxa" w:w="2422"/>
          </w:tcPr>
          <w:p>
            <w:r>
              <w:rPr>
                <w:b/>
              </w:rPr>
              <w:t>Plazo para atender</w:t>
            </w:r>
          </w:p>
        </w:tc>
      </w:tr>
      <w:tr>
        <w:tc>
          <w:tcPr>
            <w:tcW w:type="dxa" w:w="2422"/>
          </w:tcPr>
          <w:p/>
        </w:tc>
        <w:tc>
          <w:tcPr>
            <w:tcW w:type="dxa" w:w="2422"/>
          </w:tcPr>
          <w:p/>
        </w:tc>
        <w:tc>
          <w:tcPr>
            <w:tcW w:type="dxa" w:w="2422"/>
          </w:tcPr>
          <w:p/>
        </w:tc>
        <w:tc>
          <w:tcPr>
            <w:tcW w:type="dxa" w:w="2422"/>
          </w:tcPr>
          <w:p/>
        </w:tc>
      </w:tr>
      <w:tr>
        <w:tc>
          <w:tcPr>
            <w:tcW w:type="dxa" w:w="2422"/>
          </w:tcPr>
          <w:p/>
        </w:tc>
        <w:tc>
          <w:tcPr>
            <w:tcW w:type="dxa" w:w="2422"/>
          </w:tcPr>
          <w:p/>
        </w:tc>
        <w:tc>
          <w:tcPr>
            <w:tcW w:type="dxa" w:w="2422"/>
          </w:tcPr>
          <w:p/>
        </w:tc>
        <w:tc>
          <w:tcPr>
            <w:tcW w:type="dxa" w:w="2422"/>
          </w:tcPr>
          <w:p/>
        </w:tc>
      </w:tr>
    </w:tbl>
    <w:p>
      <w:pPr>
        <w:spacing w:after="160"/>
      </w:pPr>
      <w:r>
        <w:rPr>
          <w:i/>
        </w:rPr>
        <w:t>Si no existen observaciones pendientes, se hace constar que el lote no presenta situaciones pendientes de atención en el Registro al momento de la expedición.</w:t>
      </w:r>
    </w:p>
    <w:p>
      <w:pPr>
        <w:pBdr>
          <w:bottom w:val="single" w:sz="6" w:space="1" w:color="E2E8F0"/>
        </w:pBdr>
      </w:pPr>
    </w:p>
    <w:p>
      <w:pPr>
        <w:pStyle w:val="Heading3"/>
        <w:spacing w:before="300" w:after="120"/>
      </w:pPr>
      <w:r>
        <w:rPr>
          <w:b/>
          <w:color w:val="3D5168"/>
          <w:sz w:val="28"/>
        </w:rPr>
        <w:t>Declaración del Administrador</w:t>
      </w:r>
    </w:p>
    <w:p>
      <w:pPr>
        <w:spacing w:after="160"/>
      </w:pPr>
      <w:r>
        <w:rPr/>
        <w:t>La presente Constancia se expide con base en la información contenida en el Registro de Modificaciones por Lote a la fecha indicada. Su alcance es informativo y no sustituye la revisión física del inmueble ni la responsabilidad del comprador de verificar el estado real de la propiedad.</w:t>
      </w:r>
    </w:p>
    <w:p>
      <w:pPr>
        <w:spacing w:after="160"/>
      </w:pPr>
      <w:r>
        <w:rPr/>
        <w:t>El Administrador asume responsabilidad civil por información incorrecta derivada de negligencia grave en la elaboración de este documento.</w:t>
      </w:r>
    </w:p>
    <w:p>
      <w:pPr>
        <w:spacing w:after="160"/>
      </w:pPr>
      <w:r>
        <w:rPr/>
      </w:r>
      <w:r>
        <w:rPr>
          <w:b/>
        </w:rPr>
        <w:t>Fecha de expedición:</w:t>
      </w:r>
      <w:r>
        <w:rPr/>
        <w:t xml:space="preserve"> </w:t>
      </w:r>
      <w:r>
        <w:rPr>
          <w:i/>
        </w:rPr>
      </w:r>
      <w:r>
        <w:rPr>
          <w:b/>
          <w:i/>
        </w:rPr>
        <w:t>/</w:t>
      </w:r>
      <w:r>
        <w:rPr>
          <w:i/>
        </w:rPr>
      </w:r>
      <w:r>
        <w:rPr/>
        <w:t>/______</w:t>
      </w:r>
    </w:p>
    <w:p>
      <w:pPr>
        <w:spacing w:after="160"/>
      </w:pPr>
      <w:r>
        <w:rPr/>
      </w:r>
      <w:r>
        <w:rPr>
          <w:b/>
        </w:rPr>
        <w:t>Número de folio:</w:t>
      </w:r>
      <w:r>
        <w:rPr/>
        <w:t xml:space="preserve"> D1 - _______</w:t>
      </w:r>
    </w:p>
    <w:p>
      <w:pPr>
        <w:spacing w:after="160"/>
      </w:pPr>
      <w:r>
        <w:rPr/>
      </w:r>
      <w:r>
        <w:rPr>
          <w:b/>
        </w:rPr>
        <w:t>Vigencia de esta Constancia:</w:t>
      </w:r>
      <w:r>
        <w:rPr/>
        <w:t xml:space="preserve"> 90 días naturales desde la fecha de expedición</w:t>
      </w:r>
    </w:p>
    <w:p>
      <w:pPr>
        <w:spacing w:after="160"/>
      </w:pPr>
      <w:r>
        <w:rPr/>
        <w:t>Nombre del Administrador: ________________________________</w:t>
      </w:r>
    </w:p>
    <w:p>
      <w:pPr>
        <w:spacing w:after="160"/>
      </w:pPr>
      <w:r>
        <w:rPr/>
        <w:t>Firma: ________________________________</w:t>
      </w:r>
    </w:p>
    <w:p>
      <w:pPr>
        <w:spacing w:after="160"/>
      </w:pPr>
      <w:r>
        <w:rPr/>
        <w:t>Sello de la Administración:</w:t>
      </w:r>
    </w:p>
    <w:p>
      <w:pPr>
        <w:spacing w:after="160"/>
      </w:pPr>
      <w:r>
        <w:rPr/>
        <w:t xml:space="preserve"> </w:t>
      </w:r>
    </w:p>
    <w:p>
      <w:pPr>
        <w:spacing w:after="160"/>
      </w:pPr>
      <w:r>
        <w:rPr/>
        <w:t xml:space="preserve"> </w:t>
      </w:r>
    </w:p>
    <w:p>
      <w:pPr>
        <w:pBdr>
          <w:bottom w:val="single" w:sz="6" w:space="1" w:color="E2E8F0"/>
        </w:pBdr>
      </w:pPr>
    </w:p>
    <w:p>
      <w:pPr>
        <w:pBdr>
          <w:left w:val="single" w:sz="20" w:space="8" w:color="3182CE"/>
        </w:pBdr>
        <w:shd w:val="clear" w:color="auto" w:fill="EBF4FF"/>
      </w:pPr>
      <w:r>
        <w:rPr>
          <w:b/>
        </w:rPr>
        <w:t xml:space="preserve">  NOTA</w:t>
      </w:r>
    </w:p>
    <w:p>
      <w:pPr>
        <w:pBdr>
          <w:left w:val="single" w:sz="20" w:space="8" w:color="3182CE"/>
        </w:pBdr>
        <w:shd w:val="clear" w:color="auto" w:fill="EBF4FF"/>
      </w:pPr>
      <w:r>
        <w:rPr/>
        <w:t>Si el Administrador no emite esta Constancia dentro de los 5 días hábiles desde la solicitud, se entiende que no existen observaciones registradas sobre el lote, y el solicitante puede hacerlo constar así ante el notario o institución financiera correspondiente, anexando copia sellada de esta solicitud con la fecha de recepción.</w:t>
      </w:r>
    </w:p>
    <w:p>
      <w:pPr>
        <w:pBdr>
          <w:bottom w:val="single" w:sz="6" w:space="1" w:color="E2E8F0"/>
        </w:pBdr>
      </w:pPr>
    </w:p>
    <w:p>
      <w:pPr>
        <w:pStyle w:val="Heading1"/>
        <w:pageBreakBefore/>
        <w:spacing w:before="480" w:after="240"/>
        <w:jc w:val="center"/>
      </w:pPr>
      <w:r>
        <w:rPr>
          <w:b/>
          <w:color w:val="1B2C3E"/>
          <w:sz w:val="48"/>
        </w:rPr>
        <w:t>Formato R-1 — Solicitud de Regularización / Amnistía</w:t>
      </w:r>
    </w:p>
    <w:p>
      <w:pPr>
        <w:spacing w:after="160"/>
      </w:pPr>
      <w:r>
        <w:rPr>
          <w:i/>
        </w:rPr>
        <w:t>Para propietarios que realizaron obras sin seguir el proceso formal. Aplican tres mecanismos según la situación. El período de amnistía con 50% de descuento tiene vigencia de 90 días desde la activación del sistema. Pasado ese plazo, la tarifa completa aplica sin descuento.</w:t>
      </w:r>
    </w:p>
    <w:p>
      <w:pPr>
        <w:pBdr>
          <w:bottom w:val="single" w:sz="6" w:space="1" w:color="E2E8F0"/>
        </w:pBdr>
      </w:pPr>
    </w:p>
    <w:p>
      <w:pPr>
        <w:pStyle w:val="Heading2"/>
        <w:spacing w:before="360" w:after="180"/>
      </w:pPr>
      <w:r>
        <w:rPr>
          <w:b/>
          <w:color w:val="1B2C3E"/>
          <w:sz w:val="36"/>
        </w:rPr>
        <w:t>Datos del solicitante</w:t>
      </w:r>
    </w:p>
    <w:tbl>
      <w:tblPr>
        <w:tblStyle w:val="TableGrid"/>
        <w:tblW w:type="auto" w:w="0"/>
        <w:tblLook w:firstColumn="1" w:firstRow="1" w:lastColumn="0" w:lastRow="0" w:noHBand="0" w:noVBand="1" w:val="04A0"/>
      </w:tblPr>
      <w:tblGrid>
        <w:gridCol w:w="4844"/>
        <w:gridCol w:w="4844"/>
      </w:tblGrid>
      <w:tr>
        <w:tc>
          <w:tcPr>
            <w:tcW w:type="dxa" w:w="4844"/>
          </w:tcPr>
          <w:p>
            <w:r>
              <w:rPr>
                <w:b/>
              </w:rPr>
              <w:t>Campo</w:t>
            </w:r>
          </w:p>
        </w:tc>
        <w:tc>
          <w:tcPr>
            <w:tcW w:type="dxa" w:w="4844"/>
          </w:tcPr>
          <w:p>
            <w:r>
              <w:rPr>
                <w:b/>
              </w:rPr>
              <w:t>Dato</w:t>
            </w:r>
          </w:p>
        </w:tc>
      </w:tr>
      <w:tr>
        <w:tc>
          <w:tcPr>
            <w:tcW w:type="dxa" w:w="4844"/>
          </w:tcPr>
          <w:p>
            <w:r>
              <w:rPr/>
              <w:t>Nombre completo del propietario</w:t>
            </w:r>
          </w:p>
        </w:tc>
        <w:tc>
          <w:tcPr>
            <w:tcW w:type="dxa" w:w="4844"/>
          </w:tcPr>
          <w:p/>
        </w:tc>
      </w:tr>
      <w:tr>
        <w:tc>
          <w:tcPr>
            <w:tcW w:type="dxa" w:w="4844"/>
          </w:tcPr>
          <w:p>
            <w:r>
              <w:rPr/>
              <w:t>Lote número</w:t>
            </w:r>
          </w:p>
        </w:tc>
        <w:tc>
          <w:tcPr>
            <w:tcW w:type="dxa" w:w="4844"/>
          </w:tcPr>
          <w:p/>
        </w:tc>
      </w:tr>
      <w:tr>
        <w:tc>
          <w:tcPr>
            <w:tcW w:type="dxa" w:w="4844"/>
          </w:tcPr>
          <w:p>
            <w:r>
              <w:rPr/>
              <w:t>Circuito / Calle</w:t>
            </w:r>
          </w:p>
        </w:tc>
        <w:tc>
          <w:tcPr>
            <w:tcW w:type="dxa" w:w="4844"/>
          </w:tcPr>
          <w:p/>
        </w:tc>
      </w:tr>
      <w:tr>
        <w:tc>
          <w:tcPr>
            <w:tcW w:type="dxa" w:w="4844"/>
          </w:tcPr>
          <w:p>
            <w:r>
              <w:rPr/>
              <w:t>Teléfono de contacto</w:t>
            </w:r>
          </w:p>
        </w:tc>
        <w:tc>
          <w:tcPr>
            <w:tcW w:type="dxa" w:w="4844"/>
          </w:tcPr>
          <w:p/>
        </w:tc>
      </w:tr>
      <w:tr>
        <w:tc>
          <w:tcPr>
            <w:tcW w:type="dxa" w:w="4844"/>
          </w:tcPr>
          <w:p>
            <w:r>
              <w:rPr/>
              <w:t>Correo electrónico</w:t>
            </w:r>
          </w:p>
        </w:tc>
        <w:tc>
          <w:tcPr>
            <w:tcW w:type="dxa" w:w="4844"/>
          </w:tcPr>
          <w:p/>
        </w:tc>
      </w:tr>
    </w:tbl>
    <w:p>
      <w:pPr>
        <w:pBdr>
          <w:bottom w:val="single" w:sz="6" w:space="1" w:color="E2E8F0"/>
        </w:pBdr>
      </w:pPr>
    </w:p>
    <w:p>
      <w:pPr>
        <w:pStyle w:val="Heading2"/>
        <w:spacing w:before="360" w:after="180"/>
      </w:pPr>
      <w:r>
        <w:rPr>
          <w:b/>
          <w:color w:val="1B2C3E"/>
          <w:sz w:val="36"/>
        </w:rPr>
        <w:t>Descripción de la obra a regularizar</w:t>
      </w:r>
    </w:p>
    <w:p>
      <w:pPr>
        <w:spacing w:after="160"/>
      </w:pPr>
      <w:r>
        <w:rPr/>
      </w:r>
      <w:r>
        <w:rPr>
          <w:b/>
        </w:rPr>
        <w:t>Descripción de la modificación realizada:</w:t>
      </w:r>
      <w:r>
        <w:rPr/>
      </w:r>
    </w:p>
    <w:p>
      <w:pPr>
        <w:spacing w:after="160"/>
      </w:pPr>
      <w:r>
        <w:rPr/>
        <w:t xml:space="preserve"> </w:t>
      </w:r>
    </w:p>
    <w:p>
      <w:pPr>
        <w:spacing w:after="160"/>
      </w:pPr>
      <w:r>
        <w:rPr/>
        <w:t xml:space="preserve"> </w:t>
      </w:r>
    </w:p>
    <w:p>
      <w:pPr>
        <w:spacing w:after="160"/>
      </w:pPr>
      <w:r>
        <w:rPr/>
      </w:r>
      <w:r>
        <w:rPr>
          <w:b/>
        </w:rPr>
        <w:t>Año aproximado en que se realizó la obra:</w:t>
      </w:r>
      <w:r>
        <w:rPr/>
        <w:t xml:space="preserve"> _______</w:t>
      </w:r>
    </w:p>
    <w:p>
      <w:pPr>
        <w:spacing w:after="160"/>
      </w:pPr>
      <w:r>
        <w:rPr/>
      </w:r>
      <w:r>
        <w:rPr>
          <w:b/>
        </w:rPr>
        <w:t>Costo aproximado de la obra en su momento:</w:t>
      </w:r>
      <w:r>
        <w:rPr/>
        <w:t xml:space="preserve"> $_______ MXN</w:t>
      </w:r>
    </w:p>
    <w:p>
      <w:pPr>
        <w:pBdr>
          <w:bottom w:val="single" w:sz="6" w:space="1" w:color="E2E8F0"/>
        </w:pBdr>
      </w:pPr>
    </w:p>
    <w:p>
      <w:pPr>
        <w:pStyle w:val="Heading2"/>
        <w:spacing w:before="360" w:after="180"/>
      </w:pPr>
      <w:r>
        <w:rPr>
          <w:b/>
          <w:color w:val="1B2C3E"/>
          <w:sz w:val="36"/>
        </w:rPr>
        <w:t>Mecanismo aplicable</w:t>
      </w:r>
    </w:p>
    <w:p>
      <w:pPr>
        <w:spacing w:after="160"/>
      </w:pPr>
      <w:r>
        <w:rPr/>
        <w:t>Seleccione el mecanismo que corresponde a su situación:</w:t>
      </w:r>
    </w:p>
    <w:p>
      <w:pPr>
        <w:pStyle w:val="ListBullet"/>
      </w:pPr>
      <w:r>
        <w:rPr/>
        <w:t xml:space="preserve"> </w:t>
      </w:r>
      <w:r>
        <w:rPr>
          <w:b/>
        </w:rPr>
        <w:t>Mecanismo A — Amnistía (50% de descuento)</w:t>
      </w:r>
      <w:r>
        <w:rPr/>
      </w:r>
      <w:r>
        <w:t xml:space="preserve"> </w:t>
      </w:r>
      <w:r>
        <w:rPr/>
        <w:t>La obra se realizó cuando ya existía el Reglamento pero no se siguió el proceso. La obra cumple con los criterios del Manual.</w:t>
      </w:r>
      <w:r>
        <w:t xml:space="preserve"> </w:t>
      </w:r>
      <w:r>
        <w:rPr>
          <w:i/>
        </w:rPr>
        <w:t>Disponible únicamente durante los 90 días del período de amnistía.</w:t>
      </w:r>
    </w:p>
    <w:p>
      <w:pPr>
        <w:pStyle w:val="ListBullet"/>
      </w:pPr>
      <w:r>
        <w:rPr/>
        <w:t xml:space="preserve"> </w:t>
      </w:r>
      <w:r>
        <w:rPr>
          <w:b/>
        </w:rPr>
        <w:t>Mecanismo B — Reconocimiento sin multa</w:t>
      </w:r>
      <w:r>
        <w:rPr/>
      </w:r>
      <w:r>
        <w:t xml:space="preserve"> </w:t>
      </w:r>
      <w:r>
        <w:rPr/>
        <w:t>La obra se realizó cuando no existía ningún proceso formal en el fraccionamiento. No aplica multa si la obra cumple el Manual.</w:t>
      </w:r>
    </w:p>
    <w:p>
      <w:pPr>
        <w:pStyle w:val="ListBullet"/>
      </w:pPr>
      <w:r>
        <w:rPr/>
        <w:t xml:space="preserve"> </w:t>
      </w:r>
      <w:r>
        <w:rPr>
          <w:b/>
        </w:rPr>
        <w:t>Mecanismo C — Comprador de buena fe</w:t>
      </w:r>
      <w:r>
        <w:rPr/>
      </w:r>
      <w:r>
        <w:t xml:space="preserve"> </w:t>
      </w:r>
      <w:r>
        <w:rPr/>
        <w:t>El propietario actual adquirió el inmueble con las obras ya realizadas por el dueño anterior. La responsabilidad recae en el expediente del lote, no en el comprador actual.</w:t>
      </w:r>
    </w:p>
    <w:p>
      <w:pPr>
        <w:pBdr>
          <w:bottom w:val="single" w:sz="6" w:space="1" w:color="E2E8F0"/>
        </w:pBdr>
      </w:pPr>
    </w:p>
    <w:p>
      <w:pPr>
        <w:pStyle w:val="Heading2"/>
        <w:spacing w:before="360" w:after="180"/>
      </w:pPr>
      <w:r>
        <w:rPr>
          <w:b/>
          <w:color w:val="1B2C3E"/>
          <w:sz w:val="36"/>
        </w:rPr>
        <w:t>Declaración de cumplimiento con el Manual</w:t>
      </w:r>
    </w:p>
    <w:p>
      <w:pPr>
        <w:spacing w:after="160"/>
      </w:pPr>
      <w:r>
        <w:rPr/>
        <w:t>El propietario declara que la obra descrita cumple con los criterios del Manual de Imagen Urbana en los siguientes aspectos:</w:t>
      </w:r>
    </w:p>
    <w:tbl>
      <w:tblPr>
        <w:tblStyle w:val="TableGrid"/>
        <w:tblW w:type="auto" w:w="0"/>
        <w:tblLook w:firstColumn="1" w:firstRow="1" w:lastColumn="0" w:lastRow="0" w:noHBand="0" w:noVBand="1" w:val="04A0"/>
      </w:tblPr>
      <w:tblGrid>
        <w:gridCol w:w="4844"/>
        <w:gridCol w:w="4844"/>
      </w:tblGrid>
      <w:tr>
        <w:tc>
          <w:tcPr>
            <w:tcW w:type="dxa" w:w="4844"/>
          </w:tcPr>
          <w:p>
            <w:r>
              <w:rPr>
                <w:b/>
              </w:rPr>
              <w:t>Aspecto</w:t>
            </w:r>
          </w:p>
        </w:tc>
        <w:tc>
          <w:tcPr>
            <w:tcW w:type="dxa" w:w="4844"/>
          </w:tcPr>
          <w:p>
            <w:r>
              <w:rPr>
                <w:b/>
              </w:rPr>
              <w:t>Cumplimiento</w:t>
            </w:r>
          </w:p>
        </w:tc>
      </w:tr>
      <w:tr>
        <w:tc>
          <w:tcPr>
            <w:tcW w:type="dxa" w:w="4844"/>
          </w:tcPr>
          <w:p>
            <w:r>
              <w:rPr/>
              <w:t>Materiales de fachada</w:t>
            </w:r>
          </w:p>
        </w:tc>
        <w:tc>
          <w:tcPr>
            <w:tcW w:type="dxa" w:w="4844"/>
          </w:tcPr>
          <w:p>
            <w:r>
              <w:rPr/>
              <w:t>[ ] Cumple [ ] No aplica (obra interior)</w:t>
            </w:r>
          </w:p>
        </w:tc>
      </w:tr>
      <w:tr>
        <w:tc>
          <w:tcPr>
            <w:tcW w:type="dxa" w:w="4844"/>
          </w:tcPr>
          <w:p>
            <w:r>
              <w:rPr/>
              <w:t>Colores exteriores</w:t>
            </w:r>
          </w:p>
        </w:tc>
        <w:tc>
          <w:tcPr>
            <w:tcW w:type="dxa" w:w="4844"/>
          </w:tcPr>
          <w:p>
            <w:r>
              <w:rPr/>
              <w:t>[ ] Cumple [ ] No aplica</w:t>
            </w:r>
          </w:p>
        </w:tc>
      </w:tr>
      <w:tr>
        <w:tc>
          <w:tcPr>
            <w:tcW w:type="dxa" w:w="4844"/>
          </w:tcPr>
          <w:p>
            <w:r>
              <w:rPr/>
              <w:t>Proporciones y composición de fachada</w:t>
            </w:r>
          </w:p>
        </w:tc>
        <w:tc>
          <w:tcPr>
            <w:tcW w:type="dxa" w:w="4844"/>
          </w:tcPr>
          <w:p>
            <w:r>
              <w:rPr/>
              <w:t>[ ] Cumple [ ] No aplica</w:t>
            </w:r>
          </w:p>
        </w:tc>
      </w:tr>
      <w:tr>
        <w:tc>
          <w:tcPr>
            <w:tcW w:type="dxa" w:w="4844"/>
          </w:tcPr>
          <w:p>
            <w:r>
              <w:rPr/>
              <w:t>Límites de COS / CUS / altura</w:t>
            </w:r>
          </w:p>
        </w:tc>
        <w:tc>
          <w:tcPr>
            <w:tcW w:type="dxa" w:w="4844"/>
          </w:tcPr>
          <w:p>
            <w:r>
              <w:rPr/>
              <w:t>[ ] Cumple [ ] No aplica</w:t>
            </w:r>
          </w:p>
        </w:tc>
      </w:tr>
    </w:tbl>
    <w:p>
      <w:pPr>
        <w:spacing w:after="160"/>
      </w:pPr>
      <w:r>
        <w:rPr>
          <w:i/>
        </w:rPr>
        <w:t>En caso de incumplimiento con el Manual, el Consejo podrá condicionar la regularización a ajustes específicos antes de autorizar.</w:t>
      </w:r>
    </w:p>
    <w:p>
      <w:pPr>
        <w:pBdr>
          <w:bottom w:val="single" w:sz="6" w:space="1" w:color="E2E8F0"/>
        </w:pBdr>
      </w:pPr>
    </w:p>
    <w:p>
      <w:pPr>
        <w:pStyle w:val="Heading2"/>
        <w:spacing w:before="360" w:after="180"/>
      </w:pPr>
      <w:r>
        <w:rPr>
          <w:b/>
          <w:color w:val="1B2C3E"/>
          <w:sz w:val="36"/>
        </w:rPr>
        <w:t>Documentos adjuntos</w:t>
      </w:r>
    </w:p>
    <w:p>
      <w:pPr>
        <w:pStyle w:val="ListBullet"/>
      </w:pPr>
      <w:r>
        <w:rPr/>
        <w:t xml:space="preserve"> Fotografías del estado actual (mínimo 4: frente, interior, colindancias)</w:t>
      </w:r>
    </w:p>
    <w:p>
      <w:pPr>
        <w:pStyle w:val="ListBullet"/>
      </w:pPr>
      <w:r>
        <w:rPr/>
        <w:t xml:space="preserve"> Croquis o plano de lo construido (sin necesidad de DRO para Mecanismos A y B en obras sin implicación estructural)</w:t>
      </w:r>
    </w:p>
    <w:p>
      <w:pPr>
        <w:pStyle w:val="ListBullet"/>
      </w:pPr>
      <w:r>
        <w:rPr/>
        <w:t xml:space="preserve"> Descripción de materiales utilizados</w:t>
      </w:r>
    </w:p>
    <w:p>
      <w:pPr>
        <w:pStyle w:val="ListBullet"/>
      </w:pPr>
      <w:r>
        <w:rPr/>
        <w:t xml:space="preserve"> En caso de Mecanismo C: copia de escritura de compraventa que acredite la adquisición del inmueble con la obra preexistente</w:t>
      </w:r>
    </w:p>
    <w:p>
      <w:pPr>
        <w:pStyle w:val="ListBullet"/>
      </w:pPr>
      <w:r>
        <w:rPr/>
        <w:t xml:space="preserve"> Otros: ___________________________________</w:t>
      </w:r>
    </w:p>
    <w:p>
      <w:pPr>
        <w:pBdr>
          <w:bottom w:val="single" w:sz="6" w:space="1" w:color="E2E8F0"/>
        </w:pBdr>
      </w:pPr>
    </w:p>
    <w:p>
      <w:pPr>
        <w:pStyle w:val="Heading2"/>
        <w:spacing w:before="360" w:after="180"/>
      </w:pPr>
      <w:r>
        <w:rPr>
          <w:b/>
          <w:color w:val="1B2C3E"/>
          <w:sz w:val="36"/>
        </w:rPr>
        <w:t>Cuotas aplicables</w:t>
      </w:r>
    </w:p>
    <w:p>
      <w:pPr>
        <w:pStyle w:val="Heading3"/>
        <w:spacing w:before="300" w:after="120"/>
      </w:pPr>
      <w:r>
        <w:rPr>
          <w:b/>
          <w:color w:val="3D5168"/>
          <w:sz w:val="28"/>
        </w:rPr>
        <w:t>Mecanismo A — Amnistía</w:t>
      </w:r>
    </w:p>
    <w:tbl>
      <w:tblPr>
        <w:tblStyle w:val="TableGrid"/>
        <w:tblW w:type="auto" w:w="0"/>
        <w:tblLook w:firstColumn="1" w:firstRow="1" w:lastColumn="0" w:lastRow="0" w:noHBand="0" w:noVBand="1" w:val="04A0"/>
      </w:tblPr>
      <w:tblGrid>
        <w:gridCol w:w="3230"/>
        <w:gridCol w:w="3230"/>
        <w:gridCol w:w="3230"/>
      </w:tblGrid>
      <w:tr>
        <w:tc>
          <w:tcPr>
            <w:tcW w:type="dxa" w:w="3230"/>
          </w:tcPr>
          <w:p>
            <w:r>
              <w:rPr>
                <w:b/>
              </w:rPr>
              <w:t>Concepto</w:t>
            </w:r>
          </w:p>
        </w:tc>
        <w:tc>
          <w:tcPr>
            <w:tcW w:type="dxa" w:w="3230"/>
          </w:tcPr>
          <w:p>
            <w:r>
              <w:rPr>
                <w:b/>
              </w:rPr>
              <w:t>Tarifa normal</w:t>
            </w:r>
          </w:p>
        </w:tc>
        <w:tc>
          <w:tcPr>
            <w:tcW w:type="dxa" w:w="3230"/>
          </w:tcPr>
          <w:p>
            <w:r>
              <w:rPr>
                <w:b/>
              </w:rPr>
              <w:t>Con 50% de descuento</w:t>
            </w:r>
          </w:p>
        </w:tc>
      </w:tr>
      <w:tr>
        <w:tc>
          <w:tcPr>
            <w:tcW w:type="dxa" w:w="3230"/>
          </w:tcPr>
          <w:p>
            <w:r>
              <w:rPr/>
              <w:t>Cuota de revisión</w:t>
            </w:r>
          </w:p>
        </w:tc>
        <w:tc>
          <w:tcPr>
            <w:tcW w:type="dxa" w:w="3230"/>
          </w:tcPr>
          <w:p>
            <w:r>
              <w:rPr/>
              <w:t>$1,500 MXN</w:t>
            </w:r>
          </w:p>
        </w:tc>
        <w:tc>
          <w:tcPr>
            <w:tcW w:type="dxa" w:w="3230"/>
          </w:tcPr>
          <w:p>
            <w:r>
              <w:rPr/>
              <w:t>$750 MXN</w:t>
            </w:r>
          </w:p>
        </w:tc>
      </w:tr>
      <w:tr>
        <w:tc>
          <w:tcPr>
            <w:tcW w:type="dxa" w:w="3230"/>
          </w:tcPr>
          <w:p>
            <w:r>
              <w:rPr/>
              <w:t>Depósito en garantía (15% del costo estimado, mín. $5,000)</w:t>
            </w:r>
          </w:p>
        </w:tc>
        <w:tc>
          <w:tcPr>
            <w:tcW w:type="dxa" w:w="3230"/>
          </w:tcPr>
          <w:p>
            <w:r>
              <w:rPr/>
              <w:t>$_______ MXN</w:t>
            </w:r>
          </w:p>
        </w:tc>
        <w:tc>
          <w:tcPr>
            <w:tcW w:type="dxa" w:w="3230"/>
          </w:tcPr>
          <w:p>
            <w:r>
              <w:rPr/>
              <w:t>$_______ MXN</w:t>
            </w:r>
          </w:p>
        </w:tc>
      </w:tr>
      <w:tr>
        <w:tc>
          <w:tcPr>
            <w:tcW w:type="dxa" w:w="3230"/>
          </w:tcPr>
          <w:p>
            <w:r>
              <w:rPr/>
              <w:t>Multa de regularización (equivale al depósito normal)</w:t>
            </w:r>
          </w:p>
        </w:tc>
        <w:tc>
          <w:tcPr>
            <w:tcW w:type="dxa" w:w="3230"/>
          </w:tcPr>
          <w:p>
            <w:r>
              <w:rPr/>
              <w:t>$_______ MXN</w:t>
            </w:r>
          </w:p>
        </w:tc>
        <w:tc>
          <w:tcPr>
            <w:tcW w:type="dxa" w:w="3230"/>
          </w:tcPr>
          <w:p>
            <w:r>
              <w:rPr/>
            </w:r>
            <w:r>
              <w:rPr>
                <w:b/>
              </w:rPr>
              <w:t>$_______ MXN</w:t>
            </w:r>
            <w:r>
              <w:rPr/>
            </w:r>
          </w:p>
        </w:tc>
      </w:tr>
    </w:tbl>
    <w:p>
      <w:pPr>
        <w:pStyle w:val="Heading3"/>
        <w:spacing w:before="300" w:after="120"/>
      </w:pPr>
      <w:r>
        <w:rPr>
          <w:b/>
          <w:color w:val="3D5168"/>
          <w:sz w:val="28"/>
        </w:rPr>
        <w:t>Mecanismo B — Reconocimiento sin multa</w:t>
      </w:r>
    </w:p>
    <w:tbl>
      <w:tblPr>
        <w:tblStyle w:val="TableGrid"/>
        <w:tblW w:type="auto" w:w="0"/>
        <w:tblLook w:firstColumn="1" w:firstRow="1" w:lastColumn="0" w:lastRow="0" w:noHBand="0" w:noVBand="1" w:val="04A0"/>
      </w:tblPr>
      <w:tblGrid>
        <w:gridCol w:w="4844"/>
        <w:gridCol w:w="4844"/>
      </w:tblGrid>
      <w:tr>
        <w:tc>
          <w:tcPr>
            <w:tcW w:type="dxa" w:w="4844"/>
          </w:tcPr>
          <w:p>
            <w:r>
              <w:rPr>
                <w:b/>
              </w:rPr>
              <w:t>Concepto</w:t>
            </w:r>
          </w:p>
        </w:tc>
        <w:tc>
          <w:tcPr>
            <w:tcW w:type="dxa" w:w="4844"/>
          </w:tcPr>
          <w:p>
            <w:r>
              <w:rPr>
                <w:b/>
              </w:rPr>
              <w:t>Monto</w:t>
            </w:r>
          </w:p>
        </w:tc>
      </w:tr>
      <w:tr>
        <w:tc>
          <w:tcPr>
            <w:tcW w:type="dxa" w:w="4844"/>
          </w:tcPr>
          <w:p>
            <w:r>
              <w:rPr/>
              <w:t>Cuota de revisión</w:t>
            </w:r>
          </w:p>
        </w:tc>
        <w:tc>
          <w:tcPr>
            <w:tcW w:type="dxa" w:w="4844"/>
          </w:tcPr>
          <w:p>
            <w:r>
              <w:rPr/>
              <w:t>$1,500 MXN</w:t>
            </w:r>
          </w:p>
        </w:tc>
      </w:tr>
      <w:tr>
        <w:tc>
          <w:tcPr>
            <w:tcW w:type="dxa" w:w="4844"/>
          </w:tcPr>
          <w:p>
            <w:r>
              <w:rPr/>
              <w:t>Depósito en garantía</w:t>
            </w:r>
          </w:p>
        </w:tc>
        <w:tc>
          <w:tcPr>
            <w:tcW w:type="dxa" w:w="4844"/>
          </w:tcPr>
          <w:p>
            <w:r>
              <w:rPr/>
              <w:t>$_______ MXN</w:t>
            </w:r>
          </w:p>
        </w:tc>
      </w:tr>
      <w:tr>
        <w:tc>
          <w:tcPr>
            <w:tcW w:type="dxa" w:w="4844"/>
          </w:tcPr>
          <w:p>
            <w:r>
              <w:rPr/>
              <w:t>Multa</w:t>
            </w:r>
          </w:p>
        </w:tc>
        <w:tc>
          <w:tcPr>
            <w:tcW w:type="dxa" w:w="4844"/>
          </w:tcPr>
          <w:p>
            <w:r>
              <w:rPr/>
              <w:t>Sin multa</w:t>
            </w:r>
          </w:p>
        </w:tc>
      </w:tr>
    </w:tbl>
    <w:p>
      <w:pPr>
        <w:pStyle w:val="Heading3"/>
        <w:spacing w:before="300" w:after="120"/>
      </w:pPr>
      <w:r>
        <w:rPr>
          <w:b/>
          <w:color w:val="3D5168"/>
          <w:sz w:val="28"/>
        </w:rPr>
        <w:t>Mecanismo C — Comprador de buena fe</w:t>
      </w:r>
    </w:p>
    <w:tbl>
      <w:tblPr>
        <w:tblStyle w:val="TableGrid"/>
        <w:tblW w:type="auto" w:w="0"/>
        <w:tblLook w:firstColumn="1" w:firstRow="1" w:lastColumn="0" w:lastRow="0" w:noHBand="0" w:noVBand="1" w:val="04A0"/>
      </w:tblPr>
      <w:tblGrid>
        <w:gridCol w:w="4844"/>
        <w:gridCol w:w="4844"/>
      </w:tblGrid>
      <w:tr>
        <w:tc>
          <w:tcPr>
            <w:tcW w:type="dxa" w:w="4844"/>
          </w:tcPr>
          <w:p>
            <w:r>
              <w:rPr>
                <w:b/>
              </w:rPr>
              <w:t>Concepto</w:t>
            </w:r>
          </w:p>
        </w:tc>
        <w:tc>
          <w:tcPr>
            <w:tcW w:type="dxa" w:w="4844"/>
          </w:tcPr>
          <w:p>
            <w:r>
              <w:rPr>
                <w:b/>
              </w:rPr>
              <w:t>Monto</w:t>
            </w:r>
          </w:p>
        </w:tc>
      </w:tr>
      <w:tr>
        <w:tc>
          <w:tcPr>
            <w:tcW w:type="dxa" w:w="4844"/>
          </w:tcPr>
          <w:p>
            <w:r>
              <w:rPr/>
              <w:t>Cuota de revisión</w:t>
            </w:r>
          </w:p>
        </w:tc>
        <w:tc>
          <w:tcPr>
            <w:tcW w:type="dxa" w:w="4844"/>
          </w:tcPr>
          <w:p>
            <w:r>
              <w:rPr/>
              <w:t>$1,500 MXN</w:t>
            </w:r>
          </w:p>
        </w:tc>
      </w:tr>
      <w:tr>
        <w:tc>
          <w:tcPr>
            <w:tcW w:type="dxa" w:w="4844"/>
          </w:tcPr>
          <w:p>
            <w:r>
              <w:rPr/>
              <w:t>Multa</w:t>
            </w:r>
          </w:p>
        </w:tc>
        <w:tc>
          <w:tcPr>
            <w:tcW w:type="dxa" w:w="4844"/>
          </w:tcPr>
          <w:p>
            <w:r>
              <w:rPr/>
              <w:t>Sin multa al propietario actual</w:t>
            </w:r>
          </w:p>
        </w:tc>
      </w:tr>
    </w:tbl>
    <w:p>
      <w:pPr>
        <w:pBdr>
          <w:bottom w:val="single" w:sz="6" w:space="1" w:color="E2E8F0"/>
        </w:pBdr>
      </w:pPr>
    </w:p>
    <w:p>
      <w:pPr>
        <w:pStyle w:val="Heading2"/>
        <w:spacing w:before="360" w:after="180"/>
      </w:pPr>
      <w:r>
        <w:rPr>
          <w:b/>
          <w:color w:val="1B2C3E"/>
          <w:sz w:val="36"/>
        </w:rPr>
        <w:t>Firma del solicitante</w:t>
      </w:r>
    </w:p>
    <w:p>
      <w:pPr>
        <w:spacing w:after="160"/>
      </w:pPr>
      <w:r>
        <w:rPr/>
        <w:t>Nombre: ________________________________</w:t>
      </w:r>
    </w:p>
    <w:p>
      <w:pPr>
        <w:spacing w:after="160"/>
      </w:pPr>
      <w:r>
        <w:rPr/>
        <w:t>Firma: ________________________________</w:t>
      </w:r>
    </w:p>
    <w:p>
      <w:pPr>
        <w:spacing w:after="160"/>
      </w:pPr>
      <w:r>
        <w:rPr/>
        <w:t xml:space="preserve">Fecha: </w:t>
      </w:r>
      <w:r>
        <w:rPr>
          <w:i/>
        </w:rPr>
      </w:r>
      <w:r>
        <w:rPr>
          <w:b/>
          <w:i/>
        </w:rPr>
        <w:t>/</w:t>
      </w:r>
      <w:r>
        <w:rPr>
          <w:i/>
        </w:rPr>
      </w:r>
      <w:r>
        <w:rPr/>
        <w:t>/______</w:t>
      </w:r>
    </w:p>
    <w:p>
      <w:pPr>
        <w:pBdr>
          <w:bottom w:val="single" w:sz="6" w:space="1" w:color="E2E8F0"/>
        </w:pBdr>
      </w:pPr>
    </w:p>
    <w:p>
      <w:pPr>
        <w:pStyle w:val="Heading2"/>
        <w:spacing w:before="360" w:after="180"/>
      </w:pPr>
      <w:r>
        <w:rPr>
          <w:b/>
          <w:color w:val="1B2C3E"/>
          <w:sz w:val="36"/>
        </w:rPr>
        <w:t>Para uso del Administrador — Recepción</w:t>
      </w:r>
    </w:p>
    <w:tbl>
      <w:tblPr>
        <w:tblStyle w:val="TableGrid"/>
        <w:tblW w:type="auto" w:w="0"/>
        <w:tblLook w:firstColumn="1" w:firstRow="1" w:lastColumn="0" w:lastRow="0" w:noHBand="0" w:noVBand="1" w:val="04A0"/>
      </w:tblPr>
      <w:tblGrid>
        <w:gridCol w:w="4844"/>
        <w:gridCol w:w="4844"/>
      </w:tblGrid>
      <w:tr>
        <w:tc>
          <w:tcPr>
            <w:tcW w:type="dxa" w:w="4844"/>
          </w:tcPr>
          <w:p>
            <w:r>
              <w:rPr>
                <w:b/>
              </w:rPr>
              <w:t>Campo</w:t>
            </w:r>
          </w:p>
        </w:tc>
        <w:tc>
          <w:tcPr>
            <w:tcW w:type="dxa" w:w="4844"/>
          </w:tcPr>
          <w:p>
            <w:r>
              <w:rPr>
                <w:b/>
              </w:rPr>
              <w:t>Dato</w:t>
            </w:r>
          </w:p>
        </w:tc>
      </w:tr>
      <w:tr>
        <w:tc>
          <w:tcPr>
            <w:tcW w:type="dxa" w:w="4844"/>
          </w:tcPr>
          <w:p>
            <w:r>
              <w:rPr/>
              <w:t>Fecha y hora de recepción</w:t>
            </w:r>
          </w:p>
        </w:tc>
        <w:tc>
          <w:tcPr>
            <w:tcW w:type="dxa" w:w="4844"/>
          </w:tcPr>
          <w:p/>
        </w:tc>
      </w:tr>
      <w:tr>
        <w:tc>
          <w:tcPr>
            <w:tcW w:type="dxa" w:w="4844"/>
          </w:tcPr>
          <w:p>
            <w:r>
              <w:rPr/>
              <w:t>Recibido por</w:t>
            </w:r>
          </w:p>
        </w:tc>
        <w:tc>
          <w:tcPr>
            <w:tcW w:type="dxa" w:w="4844"/>
          </w:tcPr>
          <w:p/>
        </w:tc>
      </w:tr>
      <w:tr>
        <w:tc>
          <w:tcPr>
            <w:tcW w:type="dxa" w:w="4844"/>
          </w:tcPr>
          <w:p>
            <w:r>
              <w:rPr/>
              <w:t>Número de folio asignado</w:t>
            </w:r>
          </w:p>
        </w:tc>
        <w:tc>
          <w:tcPr>
            <w:tcW w:type="dxa" w:w="4844"/>
          </w:tcPr>
          <w:p>
            <w:r>
              <w:rPr/>
              <w:t>R1 - _______</w:t>
            </w:r>
          </w:p>
        </w:tc>
      </w:tr>
      <w:tr>
        <w:tc>
          <w:tcPr>
            <w:tcW w:type="dxa" w:w="4844"/>
          </w:tcPr>
          <w:p>
            <w:r>
              <w:rPr/>
              <w:t>Mecanismo validado</w:t>
            </w:r>
          </w:p>
        </w:tc>
        <w:tc>
          <w:tcPr>
            <w:tcW w:type="dxa" w:w="4844"/>
          </w:tcPr>
          <w:p>
            <w:r>
              <w:rPr/>
              <w:t>[ ] A [ ] B [ ] C</w:t>
            </w:r>
          </w:p>
        </w:tc>
      </w:tr>
      <w:tr>
        <w:tc>
          <w:tcPr>
            <w:tcW w:type="dxa" w:w="4844"/>
          </w:tcPr>
          <w:p>
            <w:r>
              <w:rPr/>
              <w:t>Período de amnistía vigente</w:t>
            </w:r>
          </w:p>
        </w:tc>
        <w:tc>
          <w:tcPr>
            <w:tcW w:type="dxa" w:w="4844"/>
          </w:tcPr>
          <w:p>
            <w:r>
              <w:rPr/>
              <w:t>[ ] Sí [ ] No — aplica tarifa completa</w:t>
            </w:r>
          </w:p>
        </w:tc>
      </w:tr>
      <w:tr>
        <w:tc>
          <w:tcPr>
            <w:tcW w:type="dxa" w:w="4844"/>
          </w:tcPr>
          <w:p>
            <w:r>
              <w:rPr/>
              <w:t>Expediente completo</w:t>
            </w:r>
          </w:p>
        </w:tc>
        <w:tc>
          <w:tcPr>
            <w:tcW w:type="dxa" w:w="4844"/>
          </w:tcPr>
          <w:p>
            <w:r>
              <w:rPr/>
              <w:t>[ ] Sí — procede a Consejo [ ] No — devuelto por incompleto</w:t>
            </w:r>
          </w:p>
        </w:tc>
      </w:tr>
    </w:tbl>
    <w:p>
      <w:pPr>
        <w:spacing w:after="160"/>
      </w:pPr>
      <w:r>
        <w:rPr/>
        <w:t>Firma del Administrador: ________________________________</w:t>
      </w:r>
    </w:p>
    <w:p>
      <w:pPr>
        <w:pBdr>
          <w:bottom w:val="single" w:sz="6" w:space="1" w:color="E2E8F0"/>
        </w:pBdr>
      </w:pPr>
    </w:p>
    <w:p>
      <w:pPr>
        <w:pStyle w:val="Heading2"/>
        <w:spacing w:before="360" w:after="180"/>
      </w:pPr>
      <w:r>
        <w:rPr>
          <w:b/>
          <w:color w:val="1B2C3E"/>
          <w:sz w:val="36"/>
        </w:rPr>
        <w:t>Para uso del Consejo de Diseño — Resolución</w:t>
      </w:r>
    </w:p>
    <w:p>
      <w:pPr>
        <w:spacing w:after="160"/>
      </w:pPr>
      <w:r>
        <w:rPr/>
      </w:r>
      <w:r>
        <w:rPr>
          <w:b/>
        </w:rPr>
        <w:t>Fecha de resolución:</w:t>
      </w:r>
      <w:r>
        <w:rPr/>
        <w:t xml:space="preserve"> </w:t>
      </w:r>
      <w:r>
        <w:rPr>
          <w:i/>
        </w:rPr>
      </w:r>
      <w:r>
        <w:rPr>
          <w:b/>
          <w:i/>
        </w:rPr>
        <w:t>/</w:t>
      </w:r>
      <w:r>
        <w:rPr>
          <w:i/>
        </w:rPr>
      </w:r>
      <w:r>
        <w:rPr/>
        <w:t>/______</w:t>
      </w:r>
    </w:p>
    <w:p>
      <w:pPr>
        <w:spacing w:after="160"/>
      </w:pPr>
      <w:r>
        <w:rPr/>
      </w:r>
      <w:r>
        <w:rPr>
          <w:b/>
        </w:rPr>
        <w:t>Resolución:</w:t>
      </w:r>
      <w:r>
        <w:rPr/>
      </w:r>
    </w:p>
    <w:p>
      <w:pPr>
        <w:pStyle w:val="ListBullet"/>
      </w:pPr>
      <w:r>
        <w:rPr/>
        <w:t xml:space="preserve"> </w:t>
      </w:r>
      <w:r>
        <w:rPr>
          <w:b/>
        </w:rPr>
        <w:t>Regularización autorizada</w:t>
      </w:r>
      <w:r>
        <w:rPr/>
        <w:t xml:space="preserve"> — obra queda registrada como autorizada en el Registro del lote</w:t>
      </w:r>
    </w:p>
    <w:p>
      <w:pPr>
        <w:pStyle w:val="ListBullet"/>
      </w:pPr>
      <w:r>
        <w:rPr/>
        <w:t xml:space="preserve"> </w:t>
      </w:r>
      <w:r>
        <w:rPr>
          <w:b/>
        </w:rPr>
        <w:t>Autorizada con condiciones</w:t>
      </w:r>
      <w:r>
        <w:rPr/>
        <w:t xml:space="preserve"> — ver condiciones abajo</w:t>
      </w:r>
    </w:p>
    <w:p>
      <w:pPr>
        <w:pStyle w:val="ListBullet"/>
      </w:pPr>
      <w:r>
        <w:rPr/>
        <w:t xml:space="preserve"> </w:t>
      </w:r>
      <w:r>
        <w:rPr>
          <w:b/>
        </w:rPr>
        <w:t>No autorizada</w:t>
      </w:r>
      <w:r>
        <w:rPr/>
        <w:t xml:space="preserve"> — ver fundamento abajo</w:t>
      </w:r>
    </w:p>
    <w:p>
      <w:pPr>
        <w:spacing w:after="160"/>
      </w:pPr>
      <w:r>
        <w:rPr/>
      </w:r>
      <w:r>
        <w:rPr>
          <w:b/>
        </w:rPr>
        <w:t>Condiciones o fundamento:</w:t>
      </w:r>
      <w:r>
        <w:rPr/>
      </w:r>
    </w:p>
    <w:p>
      <w:pPr>
        <w:spacing w:after="160"/>
      </w:pPr>
      <w:r>
        <w:rPr/>
        <w:t xml:space="preserve"> </w:t>
      </w:r>
    </w:p>
    <w:p>
      <w:pPr>
        <w:spacing w:after="160"/>
      </w:pPr>
      <w:r>
        <w:rPr/>
        <w:t xml:space="preserve"> </w:t>
      </w:r>
    </w:p>
    <w:p>
      <w:pPr>
        <w:spacing w:after="160"/>
      </w:pPr>
      <w:r>
        <w:rPr/>
        <w:t>Firma del Presidente del Consejo: ________________________________</w:t>
      </w:r>
    </w:p>
    <w:p>
      <w:pPr>
        <w:spacing w:after="160"/>
      </w:pPr>
      <w:r>
        <w:rPr/>
        <w:t>Firma de miembro 2: ________________________________</w:t>
      </w:r>
    </w:p>
    <w:p>
      <w:pPr>
        <w:spacing w:after="160"/>
      </w:pPr>
      <w:r>
        <w:rPr/>
        <w:t>Firma de miembro 3: ________________________________</w:t>
      </w:r>
    </w:p>
    <w:p>
      <w:pPr>
        <w:pBdr>
          <w:bottom w:val="single" w:sz="6" w:space="1" w:color="E2E8F0"/>
        </w:pBdr>
      </w:pPr>
    </w:p>
    <w:p>
      <w:pPr>
        <w:pStyle w:val="Heading1"/>
        <w:pageBreakBefore/>
        <w:spacing w:before="480" w:after="240"/>
        <w:jc w:val="center"/>
      </w:pPr>
      <w:r>
        <w:rPr>
          <w:b/>
          <w:color w:val="1B2C3E"/>
          <w:sz w:val="48"/>
        </w:rPr>
        <w:t>Proceso P-3 — Apelación de Resolución del Consejo de Diseño</w:t>
      </w:r>
    </w:p>
    <w:p>
      <w:pPr>
        <w:spacing w:after="160"/>
      </w:pPr>
      <w:r>
        <w:rPr>
          <w:i/>
        </w:rPr>
        <w:t>El propietario que reciba una resolución desfavorable del Consejo de Diseño puede apelarla ante el Comité de Representantes dentro de los 10 días hábiles siguientes a la notificación. Este proceso aplica para resoluciones de Obra Mediana y Obra Grande.</w:t>
      </w:r>
    </w:p>
    <w:p>
      <w:pPr>
        <w:pBdr>
          <w:bottom w:val="single" w:sz="6" w:space="1" w:color="E2E8F0"/>
        </w:pBdr>
      </w:pPr>
    </w:p>
    <w:p>
      <w:pPr>
        <w:pStyle w:val="Heading2"/>
        <w:spacing w:before="360" w:after="180"/>
      </w:pPr>
      <w:r>
        <w:rPr>
          <w:b/>
          <w:color w:val="1B2C3E"/>
          <w:sz w:val="36"/>
        </w:rPr>
        <w:t>Cuándo aplica</w:t>
      </w:r>
    </w:p>
    <w:p>
      <w:pPr>
        <w:spacing w:after="160"/>
      </w:pPr>
      <w:r>
        <w:rPr/>
        <w:t>La apelación procede cuando:</w:t>
      </w:r>
    </w:p>
    <w:p>
      <w:pPr>
        <w:pStyle w:val="ListBullet"/>
      </w:pPr>
      <w:r>
        <w:rPr/>
        <w:t xml:space="preserve">El Consejo emitió un </w:t>
      </w:r>
      <w:r>
        <w:rPr>
          <w:b/>
        </w:rPr>
        <w:t>rechazo expreso</w:t>
      </w:r>
      <w:r>
        <w:rPr/>
        <w:t xml:space="preserve"> y el propietario considera que no está fundado en el Manual o el Reglamento</w:t>
      </w:r>
    </w:p>
    <w:p>
      <w:pPr>
        <w:pStyle w:val="ListBullet"/>
      </w:pPr>
      <w:r>
        <w:rPr/>
        <w:t xml:space="preserve">El Consejo emitió una </w:t>
      </w:r>
      <w:r>
        <w:rPr>
          <w:b/>
        </w:rPr>
        <w:t>aprobación con condiciones</w:t>
      </w:r>
      <w:r>
        <w:rPr/>
        <w:t xml:space="preserve"> que el propietario considera injustificadas</w:t>
      </w:r>
    </w:p>
    <w:p>
      <w:pPr>
        <w:pStyle w:val="ListBullet"/>
      </w:pPr>
      <w:r>
        <w:rPr/>
        <w:t xml:space="preserve">El Consejo emitió una resolución </w:t>
      </w:r>
      <w:r>
        <w:rPr>
          <w:b/>
        </w:rPr>
        <w:t>fuera del plazo establecido</w:t>
      </w:r>
      <w:r>
        <w:rPr/>
        <w:t xml:space="preserve"> sin declarar aprobación tácita</w:t>
      </w:r>
    </w:p>
    <w:p>
      <w:pPr>
        <w:spacing w:after="160"/>
      </w:pPr>
      <w:r>
        <w:rPr/>
        <w:t xml:space="preserve">La apelación </w:t>
      </w:r>
      <w:r>
        <w:rPr>
          <w:b/>
        </w:rPr>
        <w:t>no</w:t>
      </w:r>
      <w:r>
        <w:rPr/>
        <w:t xml:space="preserve"> procede para:</w:t>
      </w:r>
    </w:p>
    <w:p>
      <w:pPr>
        <w:pStyle w:val="ListBullet"/>
      </w:pPr>
      <w:r>
        <w:rPr/>
        <w:t>Solicitudes devueltas por expediente incompleto (el propietario debe completar y reingresar)</w:t>
      </w:r>
    </w:p>
    <w:p>
      <w:pPr>
        <w:pStyle w:val="ListBullet"/>
      </w:pPr>
      <w:r>
        <w:rPr/>
        <w:t>Casos donde el propietario simplemente no esté de acuerdo con los criterios del Manual (el Manual solo puede modificarse en Asamblea Extraordinaria)</w:t>
      </w:r>
    </w:p>
    <w:p>
      <w:pPr>
        <w:pBdr>
          <w:bottom w:val="single" w:sz="6" w:space="1" w:color="E2E8F0"/>
        </w:pBdr>
      </w:pPr>
    </w:p>
    <w:p>
      <w:pPr>
        <w:pStyle w:val="Heading2"/>
        <w:spacing w:before="360" w:after="180"/>
      </w:pPr>
      <w:r>
        <w:rPr>
          <w:b/>
          <w:color w:val="1B2C3E"/>
          <w:sz w:val="36"/>
        </w:rPr>
        <w:t>Etapas del proceso</w:t>
      </w:r>
    </w:p>
    <w:p>
      <w:pPr>
        <w:pStyle w:val="Heading3"/>
        <w:spacing w:before="300" w:after="120"/>
      </w:pPr>
      <w:r>
        <w:rPr>
          <w:b/>
          <w:color w:val="3D5168"/>
          <w:sz w:val="28"/>
        </w:rPr>
        <w:t>Etapa 1 — Presentación de la apelación (día 1 al 10 hábil)</w:t>
      </w:r>
    </w:p>
    <w:p>
      <w:pPr>
        <w:spacing w:after="160"/>
      </w:pPr>
      <w:r>
        <w:rPr/>
        <w:t>El propietario presenta escrito de apelación al Administrador dirigido al Comité de Representantes, indicando:</w:t>
      </w:r>
    </w:p>
    <w:p>
      <w:pPr>
        <w:pStyle w:val="ListNumber"/>
      </w:pPr>
      <w:r>
        <w:rPr/>
        <w:t>Folio de la solicitud original</w:t>
      </w:r>
    </w:p>
    <w:p>
      <w:pPr>
        <w:pStyle w:val="ListNumber"/>
      </w:pPr>
      <w:r>
        <w:rPr/>
        <w:t>Fecha y contenido de la resolución impugnada</w:t>
      </w:r>
    </w:p>
    <w:p>
      <w:pPr>
        <w:pStyle w:val="ListNumber"/>
      </w:pPr>
      <w:r>
        <w:rPr/>
        <w:t>Motivo de la apelación con referencia al Manual o Reglamento</w:t>
      </w:r>
    </w:p>
    <w:p>
      <w:pPr>
        <w:pStyle w:val="ListNumber"/>
      </w:pPr>
      <w:r>
        <w:rPr/>
        <w:t>Resultado que solicita</w:t>
      </w:r>
    </w:p>
    <w:p>
      <w:pPr>
        <w:spacing w:after="160"/>
      </w:pPr>
      <w:r>
        <w:rPr/>
        <w:t>El Administrador sella y entrega acuse de recibo con número de folio de apelación.</w:t>
      </w:r>
    </w:p>
    <w:p>
      <w:pPr>
        <w:spacing w:after="160"/>
      </w:pPr>
      <w:r>
        <w:rPr/>
      </w:r>
      <w:r>
        <w:rPr>
          <w:b/>
        </w:rPr>
        <w:t>Formato:</w:t>
      </w:r>
      <w:r>
        <w:rPr/>
        <w:t xml:space="preserve"> ver sección de solicitud al final de este documento.</w:t>
      </w:r>
    </w:p>
    <w:p>
      <w:pPr>
        <w:pBdr>
          <w:bottom w:val="single" w:sz="6" w:space="1" w:color="E2E8F0"/>
        </w:pBdr>
      </w:pPr>
    </w:p>
    <w:p>
      <w:pPr>
        <w:pStyle w:val="Heading3"/>
        <w:spacing w:before="300" w:after="120"/>
      </w:pPr>
      <w:r>
        <w:rPr>
          <w:b/>
          <w:color w:val="3D5168"/>
          <w:sz w:val="28"/>
        </w:rPr>
        <w:t>Etapa 2 — Revisión formal por el Comité de Representantes (días 1 al 5 hábiles desde recepción)</w:t>
      </w:r>
    </w:p>
    <w:p>
      <w:pPr>
        <w:spacing w:after="160"/>
      </w:pPr>
      <w:r>
        <w:rPr/>
        <w:t xml:space="preserve">El Comité verifica </w:t>
      </w:r>
      <w:r>
        <w:rPr>
          <w:b/>
        </w:rPr>
        <w:t>únicamente</w:t>
      </w:r>
      <w:r>
        <w:rPr/>
        <w:t xml:space="preserve"> si la resolución del Consejo está fundada en el Manual o el Reglamento. No evalúa el fondo estético.</w:t>
      </w:r>
    </w:p>
    <w:p>
      <w:pPr>
        <w:spacing w:after="160"/>
      </w:pPr>
      <w:r>
        <w:rPr/>
      </w:r>
      <w:r>
        <w:rPr>
          <w:b/>
        </w:rPr>
        <w:t>Posibles resultados:</w:t>
      </w:r>
      <w:r>
        <w:rPr/>
      </w:r>
    </w:p>
    <w:tbl>
      <w:tblPr>
        <w:tblStyle w:val="TableGrid"/>
        <w:tblW w:type="auto" w:w="0"/>
        <w:tblLook w:firstColumn="1" w:firstRow="1" w:lastColumn="0" w:lastRow="0" w:noHBand="0" w:noVBand="1" w:val="04A0"/>
      </w:tblPr>
      <w:tblGrid>
        <w:gridCol w:w="3230"/>
        <w:gridCol w:w="3230"/>
        <w:gridCol w:w="3230"/>
      </w:tblGrid>
      <w:tr>
        <w:tc>
          <w:tcPr>
            <w:tcW w:type="dxa" w:w="3230"/>
          </w:tcPr>
          <w:p>
            <w:r>
              <w:rPr>
                <w:b/>
              </w:rPr>
              <w:t>Resultado</w:t>
            </w:r>
          </w:p>
        </w:tc>
        <w:tc>
          <w:tcPr>
            <w:tcW w:type="dxa" w:w="3230"/>
          </w:tcPr>
          <w:p>
            <w:r>
              <w:rPr>
                <w:b/>
              </w:rPr>
              <w:t>Condición</w:t>
            </w:r>
          </w:p>
        </w:tc>
        <w:tc>
          <w:tcPr>
            <w:tcW w:type="dxa" w:w="3230"/>
          </w:tcPr>
          <w:p>
            <w:r>
              <w:rPr>
                <w:b/>
              </w:rPr>
              <w:t>Consecuencia</w:t>
            </w:r>
          </w:p>
        </w:tc>
      </w:tr>
      <w:tr>
        <w:tc>
          <w:tcPr>
            <w:tcW w:type="dxa" w:w="3230"/>
          </w:tcPr>
          <w:p>
            <w:r>
              <w:rPr/>
            </w:r>
            <w:r>
              <w:rPr>
                <w:b/>
              </w:rPr>
              <w:t>Resolución revertida</w:t>
            </w:r>
            <w:r>
              <w:rPr/>
            </w:r>
          </w:p>
        </w:tc>
        <w:tc>
          <w:tcPr>
            <w:tcW w:type="dxa" w:w="3230"/>
          </w:tcPr>
          <w:p>
            <w:r>
              <w:rPr/>
              <w:t>La resolución del Consejo no está fundada en el Manual o el Reglamento</w:t>
            </w:r>
          </w:p>
        </w:tc>
        <w:tc>
          <w:tcPr>
            <w:tcW w:type="dxa" w:w="3230"/>
          </w:tcPr>
          <w:p>
            <w:r>
              <w:rPr/>
              <w:t>El Comité revierte de inmediato sin evaluar el fondo. Se devuelve el 75% de la cuota de revisión</w:t>
            </w:r>
          </w:p>
        </w:tc>
      </w:tr>
      <w:tr>
        <w:tc>
          <w:tcPr>
            <w:tcW w:type="dxa" w:w="3230"/>
          </w:tcPr>
          <w:p>
            <w:r>
              <w:rPr/>
            </w:r>
            <w:r>
              <w:rPr>
                <w:b/>
              </w:rPr>
              <w:t>Apelación rechazada</w:t>
            </w:r>
            <w:r>
              <w:rPr/>
            </w:r>
          </w:p>
        </w:tc>
        <w:tc>
          <w:tcPr>
            <w:tcW w:type="dxa" w:w="3230"/>
          </w:tcPr>
          <w:p>
            <w:r>
              <w:rPr/>
              <w:t>La resolución del Consejo sí está fundada</w:t>
            </w:r>
          </w:p>
        </w:tc>
        <w:tc>
          <w:tcPr>
            <w:tcW w:type="dxa" w:w="3230"/>
          </w:tcPr>
          <w:p>
            <w:r>
              <w:rPr/>
              <w:t>Se confirma la resolución. No se devuelve cuota</w:t>
            </w:r>
          </w:p>
        </w:tc>
      </w:tr>
      <w:tr>
        <w:tc>
          <w:tcPr>
            <w:tcW w:type="dxa" w:w="3230"/>
          </w:tcPr>
          <w:p>
            <w:r>
              <w:rPr/>
            </w:r>
            <w:r>
              <w:rPr>
                <w:b/>
              </w:rPr>
              <w:t>Remisión a árbitro externo</w:t>
            </w:r>
            <w:r>
              <w:rPr/>
            </w:r>
          </w:p>
        </w:tc>
        <w:tc>
          <w:tcPr>
            <w:tcW w:type="dxa" w:w="3230"/>
          </w:tcPr>
          <w:p>
            <w:r>
              <w:rPr/>
              <w:t>Existe debate técnico de fondo que el Comité no puede resolver</w:t>
            </w:r>
          </w:p>
        </w:tc>
        <w:tc>
          <w:tcPr>
            <w:tcW w:type="dxa" w:w="3230"/>
          </w:tcPr>
          <w:p>
            <w:r>
              <w:rPr/>
              <w:t>Se designa árbitro externo (ver Etapa 3)</w:t>
            </w:r>
          </w:p>
        </w:tc>
      </w:tr>
    </w:tbl>
    <w:p>
      <w:pPr>
        <w:pBdr>
          <w:bottom w:val="single" w:sz="6" w:space="1" w:color="E2E8F0"/>
        </w:pBdr>
      </w:pPr>
    </w:p>
    <w:p>
      <w:pPr>
        <w:pStyle w:val="Heading3"/>
        <w:spacing w:before="300" w:after="120"/>
      </w:pPr>
      <w:r>
        <w:rPr>
          <w:b/>
          <w:color w:val="3D5168"/>
          <w:sz w:val="28"/>
        </w:rPr>
        <w:t>Etapa 3 — Arbitraje técnico externo (solo si aplica)</w:t>
      </w:r>
    </w:p>
    <w:p>
      <w:pPr>
        <w:spacing w:after="160"/>
      </w:pPr>
      <w:r>
        <w:rPr/>
        <w:t>Cuando el debate involucra criterios técnicos que el Comité de Representantes no puede resolver internamente, se designa un árbitro externo.</w:t>
      </w:r>
    </w:p>
    <w:p>
      <w:pPr>
        <w:spacing w:after="160"/>
      </w:pPr>
      <w:r>
        <w:rPr/>
      </w:r>
      <w:r>
        <w:rPr>
          <w:b/>
        </w:rPr>
        <w:t>Designación del árbitro:</w:t>
      </w:r>
      <w:r>
        <w:rPr/>
      </w:r>
    </w:p>
    <w:p>
      <w:pPr>
        <w:pStyle w:val="ListBullet"/>
      </w:pPr>
      <w:r>
        <w:rPr/>
        <w:t xml:space="preserve">Lo designa el </w:t>
      </w:r>
      <w:r>
        <w:rPr>
          <w:b/>
        </w:rPr>
        <w:t>Colegio de Arquitectos del Estado de SLP</w:t>
      </w:r>
      <w:r>
        <w:rPr/>
        <w:t xml:space="preserve"> o el </w:t>
      </w:r>
      <w:r>
        <w:rPr>
          <w:b/>
        </w:rPr>
        <w:t>Registro de DROs del Municipio de Soledad</w:t>
      </w:r>
      <w:r>
        <w:rPr/>
      </w:r>
    </w:p>
    <w:p>
      <w:pPr>
        <w:pStyle w:val="ListBullet"/>
      </w:pPr>
      <w:r>
        <w:rPr/>
        <w:t>Ninguna de las partes elige ni propone al árbitro</w:t>
      </w:r>
    </w:p>
    <w:p>
      <w:pPr>
        <w:pStyle w:val="ListBullet"/>
      </w:pPr>
      <w:r>
        <w:rPr/>
        <w:t>El árbitro no puede tener relación con ningún condómino del fraccionamiento</w:t>
      </w:r>
    </w:p>
    <w:p>
      <w:pPr>
        <w:spacing w:after="160"/>
      </w:pPr>
      <w:r>
        <w:rPr/>
      </w:r>
      <w:r>
        <w:rPr>
          <w:b/>
        </w:rPr>
        <w:t>Plazo de resolución del árbitro:</w:t>
      </w:r>
      <w:r>
        <w:rPr/>
        <w:t xml:space="preserve"> 10 días hábiles desde su designación</w:t>
      </w:r>
    </w:p>
    <w:p>
      <w:pPr>
        <w:spacing w:after="160"/>
      </w:pPr>
      <w:r>
        <w:rPr/>
      </w:r>
      <w:r>
        <w:rPr>
          <w:b/>
        </w:rPr>
        <w:t>Costo del arbitraje:</w:t>
      </w:r>
      <w:r>
        <w:rPr/>
      </w:r>
    </w:p>
    <w:tbl>
      <w:tblPr>
        <w:tblStyle w:val="TableGrid"/>
        <w:tblW w:type="auto" w:w="0"/>
        <w:tblLook w:firstColumn="1" w:firstRow="1" w:lastColumn="0" w:lastRow="0" w:noHBand="0" w:noVBand="1" w:val="04A0"/>
      </w:tblPr>
      <w:tblGrid>
        <w:gridCol w:w="4844"/>
        <w:gridCol w:w="4844"/>
      </w:tblGrid>
      <w:tr>
        <w:tc>
          <w:tcPr>
            <w:tcW w:type="dxa" w:w="4844"/>
          </w:tcPr>
          <w:p>
            <w:r>
              <w:rPr>
                <w:b/>
              </w:rPr>
              <w:t>Resultado</w:t>
            </w:r>
          </w:p>
        </w:tc>
        <w:tc>
          <w:tcPr>
            <w:tcW w:type="dxa" w:w="4844"/>
          </w:tcPr>
          <w:p>
            <w:r>
              <w:rPr>
                <w:b/>
              </w:rPr>
              <w:t>Quién paga</w:t>
            </w:r>
          </w:p>
        </w:tc>
      </w:tr>
      <w:tr>
        <w:tc>
          <w:tcPr>
            <w:tcW w:type="dxa" w:w="4844"/>
          </w:tcPr>
          <w:p>
            <w:r>
              <w:rPr/>
              <w:t>El Consejo se equivocó</w:t>
            </w:r>
          </w:p>
        </w:tc>
        <w:tc>
          <w:tcPr>
            <w:tcW w:type="dxa" w:w="4844"/>
          </w:tcPr>
          <w:p>
            <w:r>
              <w:rPr/>
              <w:t>Fondo de Mantenimiento del fraccionamiento</w:t>
            </w:r>
          </w:p>
        </w:tc>
      </w:tr>
      <w:tr>
        <w:tc>
          <w:tcPr>
            <w:tcW w:type="dxa" w:w="4844"/>
          </w:tcPr>
          <w:p>
            <w:r>
              <w:rPr/>
              <w:t>El Consejo tenía razón</w:t>
            </w:r>
          </w:p>
        </w:tc>
        <w:tc>
          <w:tcPr>
            <w:tcW w:type="dxa" w:w="4844"/>
          </w:tcPr>
          <w:p>
            <w:r>
              <w:rPr/>
              <w:t>El propietario apelante</w:t>
            </w:r>
          </w:p>
        </w:tc>
      </w:tr>
    </w:tbl>
    <w:p>
      <w:pPr>
        <w:pBdr>
          <w:bottom w:val="single" w:sz="6" w:space="1" w:color="E2E8F0"/>
        </w:pBdr>
      </w:pPr>
    </w:p>
    <w:p>
      <w:pPr>
        <w:pStyle w:val="Heading2"/>
        <w:spacing w:before="360" w:after="180"/>
      </w:pPr>
      <w:r>
        <w:rPr>
          <w:b/>
          <w:color w:val="1B2C3E"/>
          <w:sz w:val="36"/>
        </w:rPr>
        <w:t>Política de devolución de cuota de revisión en apelaciones</w:t>
      </w:r>
    </w:p>
    <w:tbl>
      <w:tblPr>
        <w:tblStyle w:val="TableGrid"/>
        <w:tblW w:type="auto" w:w="0"/>
        <w:tblLook w:firstColumn="1" w:firstRow="1" w:lastColumn="0" w:lastRow="0" w:noHBand="0" w:noVBand="1" w:val="04A0"/>
      </w:tblPr>
      <w:tblGrid>
        <w:gridCol w:w="4844"/>
        <w:gridCol w:w="4844"/>
      </w:tblGrid>
      <w:tr>
        <w:tc>
          <w:tcPr>
            <w:tcW w:type="dxa" w:w="4844"/>
          </w:tcPr>
          <w:p>
            <w:r>
              <w:rPr>
                <w:b/>
              </w:rPr>
              <w:t>Escenario</w:t>
            </w:r>
          </w:p>
        </w:tc>
        <w:tc>
          <w:tcPr>
            <w:tcW w:type="dxa" w:w="4844"/>
          </w:tcPr>
          <w:p>
            <w:r>
              <w:rPr>
                <w:b/>
              </w:rPr>
              <w:t>Devolución</w:t>
            </w:r>
          </w:p>
        </w:tc>
      </w:tr>
      <w:tr>
        <w:tc>
          <w:tcPr>
            <w:tcW w:type="dxa" w:w="4844"/>
          </w:tcPr>
          <w:p>
            <w:r>
              <w:rPr/>
              <w:t>Apelación ganada (resolución revertida por el Comité)</w:t>
            </w:r>
          </w:p>
        </w:tc>
        <w:tc>
          <w:tcPr>
            <w:tcW w:type="dxa" w:w="4844"/>
          </w:tcPr>
          <w:p>
            <w:r>
              <w:rPr/>
              <w:t>75% de la cuota de revisión</w:t>
            </w:r>
          </w:p>
        </w:tc>
      </w:tr>
      <w:tr>
        <w:tc>
          <w:tcPr>
            <w:tcW w:type="dxa" w:w="4844"/>
          </w:tcPr>
          <w:p>
            <w:r>
              <w:rPr/>
              <w:t>Apelación perdida (resolución confirmada)</w:t>
            </w:r>
          </w:p>
        </w:tc>
        <w:tc>
          <w:tcPr>
            <w:tcW w:type="dxa" w:w="4844"/>
          </w:tcPr>
          <w:p>
            <w:r>
              <w:rPr/>
              <w:t>0%</w:t>
            </w:r>
          </w:p>
        </w:tc>
      </w:tr>
      <w:tr>
        <w:tc>
          <w:tcPr>
            <w:tcW w:type="dxa" w:w="4844"/>
          </w:tcPr>
          <w:p>
            <w:r>
              <w:rPr/>
              <w:t>Apelación ganada vía árbitro (el Consejo se equivocó)</w:t>
            </w:r>
          </w:p>
        </w:tc>
        <w:tc>
          <w:tcPr>
            <w:tcW w:type="dxa" w:w="4844"/>
          </w:tcPr>
          <w:p>
            <w:r>
              <w:rPr/>
              <w:t>75% de la cuota + costo del árbitro a cargo del fondo</w:t>
            </w:r>
          </w:p>
        </w:tc>
      </w:tr>
      <w:tr>
        <w:tc>
          <w:tcPr>
            <w:tcW w:type="dxa" w:w="4844"/>
          </w:tcPr>
          <w:p>
            <w:r>
              <w:rPr/>
              <w:t>Apelación perdida vía árbitro</w:t>
            </w:r>
          </w:p>
        </w:tc>
        <w:tc>
          <w:tcPr>
            <w:tcW w:type="dxa" w:w="4844"/>
          </w:tcPr>
          <w:p>
            <w:r>
              <w:rPr/>
              <w:t>0% de cuota + costo del árbitro a cargo del propietario</w:t>
            </w:r>
          </w:p>
        </w:tc>
      </w:tr>
    </w:tbl>
    <w:p>
      <w:pPr>
        <w:pBdr>
          <w:bottom w:val="single" w:sz="6" w:space="1" w:color="E2E8F0"/>
        </w:pBdr>
      </w:pPr>
    </w:p>
    <w:p>
      <w:pPr>
        <w:pStyle w:val="Heading2"/>
        <w:spacing w:before="360" w:after="180"/>
      </w:pPr>
      <w:r>
        <w:rPr>
          <w:b/>
          <w:color w:val="1B2C3E"/>
          <w:sz w:val="36"/>
        </w:rPr>
        <w:t>Solicitud de apelación</w:t>
      </w:r>
    </w:p>
    <w:p>
      <w:pPr>
        <w:spacing w:after="160"/>
      </w:pPr>
      <w:r>
        <w:rPr/>
      </w:r>
      <w:r>
        <w:rPr>
          <w:b/>
        </w:rPr>
        <w:t>Número de folio de la solicitud original:</w:t>
      </w:r>
      <w:r>
        <w:rPr/>
        <w:t xml:space="preserve"> _______</w:t>
      </w:r>
    </w:p>
    <w:p>
      <w:pPr>
        <w:spacing w:after="160"/>
      </w:pPr>
      <w:r>
        <w:rPr/>
      </w:r>
      <w:r>
        <w:rPr>
          <w:b/>
        </w:rPr>
        <w:t>Folio de la resolución impugnada:</w:t>
      </w:r>
      <w:r>
        <w:rPr/>
        <w:t xml:space="preserve"> _______</w:t>
      </w:r>
    </w:p>
    <w:p>
      <w:pPr>
        <w:spacing w:after="160"/>
      </w:pPr>
      <w:r>
        <w:rPr/>
      </w:r>
      <w:r>
        <w:rPr>
          <w:b/>
        </w:rPr>
        <w:t>Fecha de la resolución:</w:t>
      </w:r>
      <w:r>
        <w:rPr/>
        <w:t xml:space="preserve"> </w:t>
      </w:r>
      <w:r>
        <w:rPr>
          <w:i/>
        </w:rPr>
      </w:r>
      <w:r>
        <w:rPr>
          <w:b/>
          <w:i/>
        </w:rPr>
        <w:t>/</w:t>
      </w:r>
      <w:r>
        <w:rPr>
          <w:i/>
        </w:rPr>
      </w:r>
      <w:r>
        <w:rPr/>
        <w:t>/______</w:t>
      </w:r>
    </w:p>
    <w:p>
      <w:pPr>
        <w:spacing w:after="160"/>
      </w:pPr>
      <w:r>
        <w:rPr/>
      </w:r>
      <w:r>
        <w:rPr>
          <w:b/>
        </w:rPr>
        <w:t>Datos del propietario:</w:t>
      </w:r>
      <w:r>
        <w:rPr/>
      </w:r>
    </w:p>
    <w:tbl>
      <w:tblPr>
        <w:tblStyle w:val="TableGrid"/>
        <w:tblW w:type="auto" w:w="0"/>
        <w:tblLook w:firstColumn="1" w:firstRow="1" w:lastColumn="0" w:lastRow="0" w:noHBand="0" w:noVBand="1" w:val="04A0"/>
      </w:tblPr>
      <w:tblGrid>
        <w:gridCol w:w="4844"/>
        <w:gridCol w:w="4844"/>
      </w:tblGrid>
      <w:tr>
        <w:tc>
          <w:tcPr>
            <w:tcW w:type="dxa" w:w="4844"/>
          </w:tcPr>
          <w:p>
            <w:r>
              <w:rPr>
                <w:b/>
              </w:rPr>
              <w:t>Campo</w:t>
            </w:r>
          </w:p>
        </w:tc>
        <w:tc>
          <w:tcPr>
            <w:tcW w:type="dxa" w:w="4844"/>
          </w:tcPr>
          <w:p>
            <w:r>
              <w:rPr>
                <w:b/>
              </w:rPr>
              <w:t>Dato</w:t>
            </w:r>
          </w:p>
        </w:tc>
      </w:tr>
      <w:tr>
        <w:tc>
          <w:tcPr>
            <w:tcW w:type="dxa" w:w="4844"/>
          </w:tcPr>
          <w:p>
            <w:r>
              <w:rPr/>
              <w:t>Nombre completo</w:t>
            </w:r>
          </w:p>
        </w:tc>
        <w:tc>
          <w:tcPr>
            <w:tcW w:type="dxa" w:w="4844"/>
          </w:tcPr>
          <w:p/>
        </w:tc>
      </w:tr>
      <w:tr>
        <w:tc>
          <w:tcPr>
            <w:tcW w:type="dxa" w:w="4844"/>
          </w:tcPr>
          <w:p>
            <w:r>
              <w:rPr/>
              <w:t>Lote número</w:t>
            </w:r>
          </w:p>
        </w:tc>
        <w:tc>
          <w:tcPr>
            <w:tcW w:type="dxa" w:w="4844"/>
          </w:tcPr>
          <w:p/>
        </w:tc>
      </w:tr>
      <w:tr>
        <w:tc>
          <w:tcPr>
            <w:tcW w:type="dxa" w:w="4844"/>
          </w:tcPr>
          <w:p>
            <w:r>
              <w:rPr/>
              <w:t>Teléfono de contacto</w:t>
            </w:r>
          </w:p>
        </w:tc>
        <w:tc>
          <w:tcPr>
            <w:tcW w:type="dxa" w:w="4844"/>
          </w:tcPr>
          <w:p/>
        </w:tc>
      </w:tr>
      <w:tr>
        <w:tc>
          <w:tcPr>
            <w:tcW w:type="dxa" w:w="4844"/>
          </w:tcPr>
          <w:p>
            <w:r>
              <w:rPr/>
              <w:t>Correo electrónico</w:t>
            </w:r>
          </w:p>
        </w:tc>
        <w:tc>
          <w:tcPr>
            <w:tcW w:type="dxa" w:w="4844"/>
          </w:tcPr>
          <w:p/>
        </w:tc>
      </w:tr>
    </w:tbl>
    <w:p>
      <w:pPr>
        <w:spacing w:after="160"/>
      </w:pPr>
      <w:r>
        <w:rPr/>
      </w:r>
      <w:r>
        <w:rPr>
          <w:b/>
        </w:rPr>
        <w:t>Motivo de la apelación:</w:t>
      </w:r>
      <w:r>
        <w:rPr/>
      </w:r>
    </w:p>
    <w:p>
      <w:pPr>
        <w:spacing w:after="160"/>
      </w:pPr>
      <w:r>
        <w:rPr>
          <w:i/>
        </w:rPr>
        <w:t>(Indicar por qué la resolución no está fundada en el Manual o el Reglamento, con referencia específica a artículos o secciones)</w:t>
      </w:r>
    </w:p>
    <w:p>
      <w:pPr>
        <w:spacing w:after="160"/>
      </w:pPr>
      <w:r>
        <w:rPr/>
        <w:t xml:space="preserve"> </w:t>
      </w:r>
    </w:p>
    <w:p>
      <w:pPr>
        <w:spacing w:after="160"/>
      </w:pPr>
      <w:r>
        <w:rPr/>
        <w:t xml:space="preserve"> </w:t>
      </w:r>
    </w:p>
    <w:p>
      <w:pPr>
        <w:spacing w:after="160"/>
      </w:pPr>
      <w:r>
        <w:rPr/>
        <w:t xml:space="preserve"> </w:t>
      </w:r>
    </w:p>
    <w:p>
      <w:pPr>
        <w:spacing w:after="160"/>
      </w:pPr>
      <w:r>
        <w:rPr/>
      </w:r>
      <w:r>
        <w:rPr>
          <w:b/>
        </w:rPr>
        <w:t>Resultado solicitado:</w:t>
      </w:r>
      <w:r>
        <w:rPr/>
      </w:r>
    </w:p>
    <w:p>
      <w:pPr>
        <w:pStyle w:val="ListBullet"/>
      </w:pPr>
      <w:r>
        <w:rPr/>
        <w:t xml:space="preserve"> Aprobación total de la solicitud original</w:t>
      </w:r>
    </w:p>
    <w:p>
      <w:pPr>
        <w:pStyle w:val="ListBullet"/>
      </w:pPr>
      <w:r>
        <w:rPr/>
        <w:t xml:space="preserve"> Eliminación de la condición específica número: _______</w:t>
      </w:r>
    </w:p>
    <w:p>
      <w:pPr>
        <w:pStyle w:val="ListBullet"/>
      </w:pPr>
      <w:r>
        <w:rPr/>
        <w:t xml:space="preserve"> Otro: ___________________________________</w:t>
      </w:r>
    </w:p>
    <w:p>
      <w:pPr>
        <w:spacing w:after="160"/>
      </w:pPr>
      <w:r>
        <w:rPr/>
      </w:r>
      <w:r>
        <w:rPr>
          <w:b/>
        </w:rPr>
        <w:t>Documentos adjuntos:</w:t>
      </w:r>
      <w:r>
        <w:rPr/>
      </w:r>
    </w:p>
    <w:p>
      <w:pPr>
        <w:pStyle w:val="ListBullet"/>
      </w:pPr>
      <w:r>
        <w:rPr/>
        <w:t xml:space="preserve"> Copia de la resolución impugnada</w:t>
      </w:r>
    </w:p>
    <w:p>
      <w:pPr>
        <w:pStyle w:val="ListBullet"/>
      </w:pPr>
      <w:r>
        <w:rPr/>
        <w:t xml:space="preserve"> Referencia al Manual o Reglamento que sustenta la apelación</w:t>
      </w:r>
    </w:p>
    <w:p>
      <w:pPr>
        <w:pStyle w:val="ListBullet"/>
      </w:pPr>
      <w:r>
        <w:rPr/>
        <w:t xml:space="preserve"> Otros: ___________________________________</w:t>
      </w:r>
    </w:p>
    <w:p>
      <w:pPr>
        <w:spacing w:after="160"/>
      </w:pPr>
      <w:r>
        <w:rPr/>
      </w:r>
      <w:r>
        <w:rPr>
          <w:b/>
        </w:rPr>
        <w:t>Firma del propietario:</w:t>
      </w:r>
      <w:r>
        <w:rPr/>
      </w:r>
    </w:p>
    <w:p>
      <w:pPr>
        <w:spacing w:after="160"/>
      </w:pPr>
      <w:r>
        <w:rPr/>
        <w:t>Nombre: ________________________________</w:t>
      </w:r>
    </w:p>
    <w:p>
      <w:pPr>
        <w:spacing w:after="160"/>
      </w:pPr>
      <w:r>
        <w:rPr/>
        <w:t>Firma: ________________________________</w:t>
      </w:r>
    </w:p>
    <w:p>
      <w:pPr>
        <w:spacing w:after="160"/>
      </w:pPr>
      <w:r>
        <w:rPr/>
        <w:t xml:space="preserve">Fecha: </w:t>
      </w:r>
      <w:r>
        <w:rPr>
          <w:i/>
        </w:rPr>
      </w:r>
      <w:r>
        <w:rPr>
          <w:b/>
          <w:i/>
        </w:rPr>
        <w:t>/</w:t>
      </w:r>
      <w:r>
        <w:rPr>
          <w:i/>
        </w:rPr>
      </w:r>
      <w:r>
        <w:rPr/>
        <w:t>/______</w:t>
      </w:r>
    </w:p>
    <w:p>
      <w:pPr>
        <w:pBdr>
          <w:bottom w:val="single" w:sz="6" w:space="1" w:color="E2E8F0"/>
        </w:pBdr>
      </w:pPr>
    </w:p>
    <w:p>
      <w:pPr>
        <w:spacing w:after="160"/>
      </w:pPr>
      <w:r>
        <w:rPr/>
      </w:r>
      <w:r>
        <w:rPr>
          <w:b/>
        </w:rPr>
        <w:t>Para uso del Administrador:</w:t>
      </w:r>
      <w:r>
        <w:rPr/>
      </w:r>
    </w:p>
    <w:tbl>
      <w:tblPr>
        <w:tblStyle w:val="TableGrid"/>
        <w:tblW w:type="auto" w:w="0"/>
        <w:tblLook w:firstColumn="1" w:firstRow="1" w:lastColumn="0" w:lastRow="0" w:noHBand="0" w:noVBand="1" w:val="04A0"/>
      </w:tblPr>
      <w:tblGrid>
        <w:gridCol w:w="4844"/>
        <w:gridCol w:w="4844"/>
      </w:tblGrid>
      <w:tr>
        <w:tc>
          <w:tcPr>
            <w:tcW w:type="dxa" w:w="4844"/>
          </w:tcPr>
          <w:p>
            <w:r>
              <w:rPr>
                <w:b/>
              </w:rPr>
              <w:t>Campo</w:t>
            </w:r>
          </w:p>
        </w:tc>
        <w:tc>
          <w:tcPr>
            <w:tcW w:type="dxa" w:w="4844"/>
          </w:tcPr>
          <w:p>
            <w:r>
              <w:rPr>
                <w:b/>
              </w:rPr>
              <w:t>Dato</w:t>
            </w:r>
          </w:p>
        </w:tc>
      </w:tr>
      <w:tr>
        <w:tc>
          <w:tcPr>
            <w:tcW w:type="dxa" w:w="4844"/>
          </w:tcPr>
          <w:p>
            <w:r>
              <w:rPr/>
              <w:t>Fecha y hora de recepción</w:t>
            </w:r>
          </w:p>
        </w:tc>
        <w:tc>
          <w:tcPr>
            <w:tcW w:type="dxa" w:w="4844"/>
          </w:tcPr>
          <w:p/>
        </w:tc>
      </w:tr>
      <w:tr>
        <w:tc>
          <w:tcPr>
            <w:tcW w:type="dxa" w:w="4844"/>
          </w:tcPr>
          <w:p>
            <w:r>
              <w:rPr/>
              <w:t>Número de folio de apelación asignado</w:t>
            </w:r>
          </w:p>
        </w:tc>
        <w:tc>
          <w:tcPr>
            <w:tcW w:type="dxa" w:w="4844"/>
          </w:tcPr>
          <w:p>
            <w:r>
              <w:rPr/>
              <w:t>P3 - _______</w:t>
            </w:r>
          </w:p>
        </w:tc>
      </w:tr>
      <w:tr>
        <w:tc>
          <w:tcPr>
            <w:tcW w:type="dxa" w:w="4844"/>
          </w:tcPr>
          <w:p>
            <w:r>
              <w:rPr/>
              <w:t>Fecha límite de resolución del Comité (5 días hábiles)</w:t>
            </w:r>
          </w:p>
        </w:tc>
        <w:tc>
          <w:tcPr>
            <w:tcW w:type="dxa" w:w="4844"/>
          </w:tcPr>
          <w:p/>
        </w:tc>
      </w:tr>
    </w:tbl>
    <w:p>
      <w:pPr>
        <w:spacing w:after="160"/>
      </w:pPr>
      <w:r>
        <w:rPr/>
        <w:t>Firma del Administrador: ________________________________</w:t>
      </w:r>
    </w:p>
    <w:p>
      <w:pPr>
        <w:pBdr>
          <w:bottom w:val="single" w:sz="6" w:space="1" w:color="E2E8F0"/>
        </w:pBdr>
      </w:pPr>
    </w:p>
    <w:p>
      <w:pPr>
        <w:spacing w:after="160"/>
      </w:pPr>
      <w:r>
        <w:rPr/>
      </w:r>
      <w:r>
        <w:rPr>
          <w:b/>
        </w:rPr>
        <w:t>Para uso del Comité de Representantes:</w:t>
      </w:r>
      <w:r>
        <w:rPr/>
      </w:r>
    </w:p>
    <w:p>
      <w:pPr>
        <w:spacing w:after="160"/>
      </w:pPr>
      <w:r>
        <w:rPr/>
      </w:r>
      <w:r>
        <w:rPr>
          <w:b/>
        </w:rPr>
        <w:t>Fecha de resolución:</w:t>
      </w:r>
      <w:r>
        <w:rPr/>
        <w:t xml:space="preserve"> </w:t>
      </w:r>
      <w:r>
        <w:rPr>
          <w:i/>
        </w:rPr>
      </w:r>
      <w:r>
        <w:rPr>
          <w:b/>
          <w:i/>
        </w:rPr>
        <w:t>/</w:t>
      </w:r>
      <w:r>
        <w:rPr>
          <w:i/>
        </w:rPr>
      </w:r>
      <w:r>
        <w:rPr/>
        <w:t>/______</w:t>
      </w:r>
    </w:p>
    <w:p>
      <w:pPr>
        <w:spacing w:after="160"/>
      </w:pPr>
      <w:r>
        <w:rPr/>
      </w:r>
      <w:r>
        <w:rPr>
          <w:b/>
        </w:rPr>
        <w:t>Resolución:</w:t>
      </w:r>
      <w:r>
        <w:rPr/>
      </w:r>
    </w:p>
    <w:p>
      <w:pPr>
        <w:pStyle w:val="ListBullet"/>
      </w:pPr>
      <w:r>
        <w:rPr/>
        <w:t xml:space="preserve"> Resolución del Consejo </w:t>
      </w:r>
      <w:r>
        <w:rPr>
          <w:b/>
        </w:rPr>
        <w:t>revertida</w:t>
      </w:r>
      <w:r>
        <w:rPr/>
        <w:t xml:space="preserve"> — fundamento: ________________________________</w:t>
      </w:r>
    </w:p>
    <w:p>
      <w:pPr>
        <w:pStyle w:val="ListBullet"/>
      </w:pPr>
      <w:r>
        <w:rPr/>
        <w:t xml:space="preserve"> Apelación </w:t>
      </w:r>
      <w:r>
        <w:rPr>
          <w:b/>
        </w:rPr>
        <w:t>rechazada</w:t>
      </w:r>
      <w:r>
        <w:rPr/>
        <w:t xml:space="preserve"> — la resolución del Consejo está fundada en: ________________________________</w:t>
      </w:r>
    </w:p>
    <w:p>
      <w:pPr>
        <w:pStyle w:val="ListBullet"/>
      </w:pPr>
      <w:r>
        <w:rPr/>
        <w:t xml:space="preserve"> Remisión a </w:t>
      </w:r>
      <w:r>
        <w:rPr>
          <w:b/>
        </w:rPr>
        <w:t>árbitro externo</w:t>
      </w:r>
      <w:r>
        <w:rPr/>
        <w:t xml:space="preserve"> — motivo: ________________________________</w:t>
      </w:r>
    </w:p>
    <w:p>
      <w:pPr>
        <w:spacing w:after="160"/>
      </w:pPr>
      <w:r>
        <w:rPr/>
        <w:t>Firma del Presidente del Comité: ________________________________</w:t>
      </w:r>
    </w:p>
    <w:p>
      <w:pPr>
        <w:pBdr>
          <w:bottom w:val="single" w:sz="6" w:space="1" w:color="E2E8F0"/>
        </w:pBdr>
      </w:pPr>
    </w:p>
    <w:p>
      <w:pPr>
        <w:pStyle w:val="Heading1"/>
        <w:pageBreakBefore/>
        <w:spacing w:before="480" w:after="240"/>
        <w:jc w:val="center"/>
      </w:pPr>
      <w:r>
        <w:rPr>
          <w:b/>
          <w:color w:val="1B2C3E"/>
          <w:sz w:val="48"/>
        </w:rPr>
        <w:t>Proceso P-4 — Protocolo de Entrega-Recepción entre Administradores</w:t>
      </w:r>
    </w:p>
    <w:p>
      <w:pPr>
        <w:spacing w:after="160"/>
      </w:pPr>
      <w:r>
        <w:rPr>
          <w:i/>
        </w:rPr>
        <w:t>Procedimiento obligatorio al cambiar de empresa o persona administradora. Basado en el Art. 84o. del Reglamento Solé: "la saliente entregará todos los documentos correspondientes, incluyendo los estados de cuenta, valores, muebles, inmuebles y demás bienes, debiéndose levantar un acta circunstanciada de dicha entrega-recepción."</w:t>
      </w:r>
    </w:p>
    <w:p>
      <w:pPr>
        <w:spacing w:after="160"/>
      </w:pPr>
      <w:r>
        <w:rPr>
          <w:i/>
        </w:rPr>
        <w:t>La verificación de integridad del Registro de Modificaciones por Lote corre a cargo del Comité de Vigilancia.</w:t>
      </w:r>
    </w:p>
    <w:p>
      <w:pPr>
        <w:pBdr>
          <w:bottom w:val="single" w:sz="6" w:space="1" w:color="E2E8F0"/>
        </w:pBdr>
      </w:pPr>
    </w:p>
    <w:p>
      <w:pPr>
        <w:pStyle w:val="Heading2"/>
        <w:spacing w:before="360" w:after="180"/>
      </w:pPr>
      <w:r>
        <w:rPr>
          <w:b/>
          <w:color w:val="1B2C3E"/>
          <w:sz w:val="36"/>
        </w:rPr>
        <w:t>Alcance</w:t>
      </w:r>
    </w:p>
    <w:p>
      <w:pPr>
        <w:spacing w:after="160"/>
      </w:pPr>
      <w:r>
        <w:rPr/>
        <w:t>Este protocolo cubre todos los documentos, activos y registros del sistema de gobernanza arquitectónica. Es complementario al proceso general de entrega-recepción administrativa del fraccionamiento.</w:t>
      </w:r>
    </w:p>
    <w:p>
      <w:pPr>
        <w:pBdr>
          <w:bottom w:val="single" w:sz="6" w:space="1" w:color="E2E8F0"/>
        </w:pBdr>
      </w:pPr>
    </w:p>
    <w:p>
      <w:pPr>
        <w:pStyle w:val="Heading2"/>
        <w:spacing w:before="360" w:after="180"/>
      </w:pPr>
      <w:r>
        <w:rPr>
          <w:b/>
          <w:color w:val="1B2C3E"/>
          <w:sz w:val="36"/>
        </w:rPr>
        <w:t>Lista de verificación — Documentos a transferir</w:t>
      </w:r>
    </w:p>
    <w:p>
      <w:pPr>
        <w:pStyle w:val="Heading3"/>
        <w:spacing w:before="300" w:after="120"/>
      </w:pPr>
      <w:r>
        <w:rPr>
          <w:b/>
          <w:color w:val="3D5168"/>
          <w:sz w:val="28"/>
        </w:rPr>
        <w:t>1. Registro de Modificaciones por Lote</w:t>
      </w:r>
    </w:p>
    <w:p>
      <w:pPr>
        <w:pStyle w:val="ListBullet"/>
      </w:pPr>
      <w:r>
        <w:rPr/>
        <w:t xml:space="preserve"> Archivo completo en formato estandarizado (no en herramientas personales del administrador saliente)</w:t>
      </w:r>
    </w:p>
    <w:p>
      <w:pPr>
        <w:pStyle w:val="ListBullet"/>
      </w:pPr>
      <w:r>
        <w:rPr/>
        <w:t xml:space="preserve"> Un registro por cada lote del fraccionamiento, incluyendo lotes sin modificaciones registradas</w:t>
      </w:r>
    </w:p>
    <w:p>
      <w:pPr>
        <w:pStyle w:val="ListBullet"/>
      </w:pPr>
      <w:r>
        <w:rPr/>
        <w:t xml:space="preserve"> Verificación de integridad: número de registros coincide con número de lotes activos</w:t>
      </w:r>
    </w:p>
    <w:p>
      <w:pPr>
        <w:pStyle w:val="ListBullet"/>
      </w:pPr>
      <w:r>
        <w:rPr/>
        <w:t xml:space="preserve"> Copia de seguridad entregada al Comité de Representantes</w:t>
      </w:r>
    </w:p>
    <w:p>
      <w:pPr>
        <w:spacing w:after="160"/>
      </w:pPr>
      <w:r>
        <w:rPr/>
      </w:r>
      <w:r>
        <w:rPr>
          <w:b/>
        </w:rPr>
        <w:t>Total de registros transferidos:</w:t>
      </w:r>
      <w:r>
        <w:rPr/>
        <w:t xml:space="preserve"> _______ de _______ lotes</w:t>
      </w:r>
    </w:p>
    <w:p>
      <w:pPr>
        <w:pStyle w:val="Heading3"/>
        <w:spacing w:before="300" w:after="120"/>
      </w:pPr>
      <w:r>
        <w:rPr>
          <w:b/>
          <w:color w:val="3D5168"/>
          <w:sz w:val="28"/>
        </w:rPr>
        <w:t>2. Expedientes de obras autorizadas</w:t>
      </w:r>
    </w:p>
    <w:p>
      <w:pPr>
        <w:pStyle w:val="ListBullet"/>
      </w:pPr>
      <w:r>
        <w:rPr/>
        <w:t xml:space="preserve"> Expediente físico o digital por cada obra autorizada (Formatos C-1, C-2, C-3 y sus resoluciones)</w:t>
      </w:r>
    </w:p>
    <w:p>
      <w:pPr>
        <w:pStyle w:val="ListBullet"/>
      </w:pPr>
      <w:r>
        <w:rPr/>
        <w:t xml:space="preserve"> Expedientes de regularizaciones (Formato R-1)</w:t>
      </w:r>
    </w:p>
    <w:p>
      <w:pPr>
        <w:pStyle w:val="ListBullet"/>
      </w:pPr>
      <w:r>
        <w:rPr/>
        <w:t xml:space="preserve"> Expedientes de apelaciones resueltas (Formato P-3)</w:t>
      </w:r>
    </w:p>
    <w:p>
      <w:pPr>
        <w:pStyle w:val="ListBullet"/>
      </w:pPr>
      <w:r>
        <w:rPr/>
        <w:t xml:space="preserve"> Constancias de Estado de Modificaciones emitidas (Formato D-1)</w:t>
      </w:r>
    </w:p>
    <w:p>
      <w:pPr>
        <w:spacing w:after="160"/>
      </w:pPr>
      <w:r>
        <w:rPr/>
      </w:r>
      <w:r>
        <w:rPr>
          <w:b/>
        </w:rPr>
        <w:t>Total de expedientes transferidos:</w:t>
      </w:r>
      <w:r>
        <w:rPr/>
        <w:t xml:space="preserve"> _______</w:t>
      </w:r>
    </w:p>
    <w:p>
      <w:pPr>
        <w:pStyle w:val="Heading3"/>
        <w:spacing w:before="300" w:after="120"/>
      </w:pPr>
      <w:r>
        <w:rPr>
          <w:b/>
          <w:color w:val="3D5168"/>
          <w:sz w:val="28"/>
        </w:rPr>
        <w:t>3. Documentos del Consejo de Diseño</w:t>
      </w:r>
    </w:p>
    <w:p>
      <w:pPr>
        <w:pStyle w:val="ListBullet"/>
      </w:pPr>
      <w:r>
        <w:rPr/>
        <w:t xml:space="preserve"> Actas de sesiones del Consejo</w:t>
      </w:r>
    </w:p>
    <w:p>
      <w:pPr>
        <w:pStyle w:val="ListBullet"/>
      </w:pPr>
      <w:r>
        <w:rPr/>
        <w:t xml:space="preserve"> Resoluciones emitidas por el Consejo con su fundamento</w:t>
      </w:r>
    </w:p>
    <w:p>
      <w:pPr>
        <w:pStyle w:val="ListBullet"/>
      </w:pPr>
      <w:r>
        <w:rPr/>
        <w:t xml:space="preserve"> Registro de miembros actuales del Consejo y vigencia de sus cargos</w:t>
      </w:r>
    </w:p>
    <w:p>
      <w:pPr>
        <w:pStyle w:val="ListBullet"/>
      </w:pPr>
      <w:r>
        <w:rPr/>
        <w:t xml:space="preserve"> Lista de DROs disponibles publicada más reciente</w:t>
      </w:r>
    </w:p>
    <w:p>
      <w:pPr>
        <w:pStyle w:val="Heading3"/>
        <w:spacing w:before="300" w:after="120"/>
      </w:pPr>
      <w:r>
        <w:rPr>
          <w:b/>
          <w:color w:val="3D5168"/>
          <w:sz w:val="28"/>
        </w:rPr>
        <w:t>4. Manual de Imagen Urbana</w:t>
      </w:r>
    </w:p>
    <w:p>
      <w:pPr>
        <w:pStyle w:val="ListBullet"/>
      </w:pPr>
      <w:r>
        <w:rPr/>
        <w:t xml:space="preserve"> Versión vigente del Manual aprobado en Asamblea con su fecha de aprobación</w:t>
      </w:r>
    </w:p>
    <w:p>
      <w:pPr>
        <w:pStyle w:val="ListBullet"/>
      </w:pPr>
      <w:r>
        <w:rPr/>
        <w:t xml:space="preserve"> Equivalentes de materiales aprobados por el Consejo pendientes de incorporar a la siguiente actualización</w:t>
      </w:r>
    </w:p>
    <w:p>
      <w:pPr>
        <w:pStyle w:val="ListBullet"/>
      </w:pPr>
      <w:r>
        <w:rPr/>
        <w:t xml:space="preserve"> Historial de versiones anteriores del Manual (si aplica)</w:t>
      </w:r>
    </w:p>
    <w:p>
      <w:pPr>
        <w:pStyle w:val="Heading3"/>
        <w:spacing w:before="300" w:after="120"/>
      </w:pPr>
      <w:r>
        <w:rPr>
          <w:b/>
          <w:color w:val="3D5168"/>
          <w:sz w:val="28"/>
        </w:rPr>
        <w:t>5. Documentos de referencia técnica</w:t>
      </w:r>
    </w:p>
    <w:p>
      <w:pPr>
        <w:pStyle w:val="ListBullet"/>
      </w:pPr>
      <w:r>
        <w:rPr/>
        <w:t xml:space="preserve"> Carta cromática del proyecto original (si fue obtenida de HABI o del Municipio)</w:t>
      </w:r>
    </w:p>
    <w:p>
      <w:pPr>
        <w:pStyle w:val="ListBullet"/>
      </w:pPr>
      <w:r>
        <w:rPr/>
        <w:t xml:space="preserve"> Especificación de acabados exteriores del proyecto original</w:t>
      </w:r>
    </w:p>
    <w:p>
      <w:pPr>
        <w:pStyle w:val="ListBullet"/>
      </w:pPr>
      <w:r>
        <w:rPr/>
        <w:t xml:space="preserve"> Planos de fachadas tipo del proyecto original</w:t>
      </w:r>
    </w:p>
    <w:p>
      <w:pPr>
        <w:pStyle w:val="ListBullet"/>
      </w:pPr>
      <w:r>
        <w:rPr/>
        <w:t xml:space="preserve"> Tabla de referencia de parámetros del Reglamento Municipal vigente</w:t>
      </w:r>
    </w:p>
    <w:p>
      <w:pPr>
        <w:pStyle w:val="Heading3"/>
        <w:spacing w:before="300" w:after="120"/>
      </w:pPr>
      <w:r>
        <w:rPr>
          <w:b/>
          <w:color w:val="3D5168"/>
          <w:sz w:val="28"/>
        </w:rPr>
        <w:t>6. Fondos y cuotas relacionadas</w:t>
      </w:r>
    </w:p>
    <w:p>
      <w:pPr>
        <w:pStyle w:val="ListBullet"/>
      </w:pPr>
      <w:r>
        <w:rPr/>
        <w:t xml:space="preserve"> Estado de cuenta de depósitos reembolsables en poder de la administración (por lote y obra)</w:t>
      </w:r>
    </w:p>
    <w:p>
      <w:pPr>
        <w:pStyle w:val="ListBullet"/>
      </w:pPr>
      <w:r>
        <w:rPr/>
        <w:t xml:space="preserve"> Cuotas de revisión pendientes de cobro</w:t>
      </w:r>
    </w:p>
    <w:p>
      <w:pPr>
        <w:pStyle w:val="ListBullet"/>
      </w:pPr>
      <w:r>
        <w:rPr/>
        <w:t xml:space="preserve"> Multas pendientes de cobro</w:t>
      </w:r>
    </w:p>
    <w:p>
      <w:pPr>
        <w:pBdr>
          <w:bottom w:val="single" w:sz="6" w:space="1" w:color="E2E8F0"/>
        </w:pBdr>
      </w:pPr>
    </w:p>
    <w:p>
      <w:pPr>
        <w:pStyle w:val="Heading2"/>
        <w:spacing w:before="360" w:after="180"/>
      </w:pPr>
      <w:r>
        <w:rPr>
          <w:b/>
          <w:color w:val="1B2C3E"/>
          <w:sz w:val="36"/>
        </w:rPr>
        <w:t>Acta Circunstanciada de Entrega-Recepción</w:t>
      </w:r>
    </w:p>
    <w:p>
      <w:pPr>
        <w:spacing w:after="160"/>
      </w:pPr>
      <w:r>
        <w:rPr/>
      </w:r>
      <w:r>
        <w:rPr>
          <w:b/>
        </w:rPr>
        <w:t>Fecha de entrega-recepción:</w:t>
      </w:r>
      <w:r>
        <w:rPr/>
        <w:t xml:space="preserve"> </w:t>
      </w:r>
      <w:r>
        <w:rPr>
          <w:i/>
        </w:rPr>
      </w:r>
      <w:r>
        <w:rPr>
          <w:b/>
          <w:i/>
        </w:rPr>
        <w:t>/</w:t>
      </w:r>
      <w:r>
        <w:rPr>
          <w:i/>
        </w:rPr>
      </w:r>
      <w:r>
        <w:rPr/>
        <w:t>/______</w:t>
      </w:r>
    </w:p>
    <w:p>
      <w:pPr>
        <w:spacing w:after="160"/>
      </w:pPr>
      <w:r>
        <w:rPr/>
      </w:r>
      <w:r>
        <w:rPr>
          <w:b/>
        </w:rPr>
        <w:t>Administración saliente:</w:t>
      </w:r>
      <w:r>
        <w:rPr/>
      </w:r>
    </w:p>
    <w:tbl>
      <w:tblPr>
        <w:tblStyle w:val="TableGrid"/>
        <w:tblW w:type="auto" w:w="0"/>
        <w:tblLook w:firstColumn="1" w:firstRow="1" w:lastColumn="0" w:lastRow="0" w:noHBand="0" w:noVBand="1" w:val="04A0"/>
      </w:tblPr>
      <w:tblGrid>
        <w:gridCol w:w="4844"/>
        <w:gridCol w:w="4844"/>
      </w:tblGrid>
      <w:tr>
        <w:tc>
          <w:tcPr>
            <w:tcW w:type="dxa" w:w="4844"/>
          </w:tcPr>
          <w:p>
            <w:r>
              <w:rPr>
                <w:b/>
              </w:rPr>
              <w:t>Campo</w:t>
            </w:r>
          </w:p>
        </w:tc>
        <w:tc>
          <w:tcPr>
            <w:tcW w:type="dxa" w:w="4844"/>
          </w:tcPr>
          <w:p>
            <w:r>
              <w:rPr>
                <w:b/>
              </w:rPr>
              <w:t>Dato</w:t>
            </w:r>
          </w:p>
        </w:tc>
      </w:tr>
      <w:tr>
        <w:tc>
          <w:tcPr>
            <w:tcW w:type="dxa" w:w="4844"/>
          </w:tcPr>
          <w:p>
            <w:r>
              <w:rPr/>
              <w:t>Nombre / Razón social</w:t>
            </w:r>
          </w:p>
        </w:tc>
        <w:tc>
          <w:tcPr>
            <w:tcW w:type="dxa" w:w="4844"/>
          </w:tcPr>
          <w:p/>
        </w:tc>
      </w:tr>
      <w:tr>
        <w:tc>
          <w:tcPr>
            <w:tcW w:type="dxa" w:w="4844"/>
          </w:tcPr>
          <w:p>
            <w:r>
              <w:rPr/>
              <w:t>Representante</w:t>
            </w:r>
          </w:p>
        </w:tc>
        <w:tc>
          <w:tcPr>
            <w:tcW w:type="dxa" w:w="4844"/>
          </w:tcPr>
          <w:p/>
        </w:tc>
      </w:tr>
      <w:tr>
        <w:tc>
          <w:tcPr>
            <w:tcW w:type="dxa" w:w="4844"/>
          </w:tcPr>
          <w:p>
            <w:r>
              <w:rPr/>
              <w:t>Fecha de inicio de administración</w:t>
            </w:r>
          </w:p>
        </w:tc>
        <w:tc>
          <w:tcPr>
            <w:tcW w:type="dxa" w:w="4844"/>
          </w:tcPr>
          <w:p/>
        </w:tc>
      </w:tr>
      <w:tr>
        <w:tc>
          <w:tcPr>
            <w:tcW w:type="dxa" w:w="4844"/>
          </w:tcPr>
          <w:p>
            <w:r>
              <w:rPr/>
              <w:t>Fecha de término</w:t>
            </w:r>
          </w:p>
        </w:tc>
        <w:tc>
          <w:tcPr>
            <w:tcW w:type="dxa" w:w="4844"/>
          </w:tcPr>
          <w:p/>
        </w:tc>
      </w:tr>
    </w:tbl>
    <w:p>
      <w:pPr>
        <w:spacing w:after="160"/>
      </w:pPr>
      <w:r>
        <w:rPr/>
      </w:r>
      <w:r>
        <w:rPr>
          <w:b/>
        </w:rPr>
        <w:t>Administración entrante:</w:t>
      </w:r>
      <w:r>
        <w:rPr/>
      </w:r>
    </w:p>
    <w:tbl>
      <w:tblPr>
        <w:tblStyle w:val="TableGrid"/>
        <w:tblW w:type="auto" w:w="0"/>
        <w:tblLook w:firstColumn="1" w:firstRow="1" w:lastColumn="0" w:lastRow="0" w:noHBand="0" w:noVBand="1" w:val="04A0"/>
      </w:tblPr>
      <w:tblGrid>
        <w:gridCol w:w="4844"/>
        <w:gridCol w:w="4844"/>
      </w:tblGrid>
      <w:tr>
        <w:tc>
          <w:tcPr>
            <w:tcW w:type="dxa" w:w="4844"/>
          </w:tcPr>
          <w:p>
            <w:r>
              <w:rPr>
                <w:b/>
              </w:rPr>
              <w:t>Campo</w:t>
            </w:r>
          </w:p>
        </w:tc>
        <w:tc>
          <w:tcPr>
            <w:tcW w:type="dxa" w:w="4844"/>
          </w:tcPr>
          <w:p>
            <w:r>
              <w:rPr>
                <w:b/>
              </w:rPr>
              <w:t>Dato</w:t>
            </w:r>
          </w:p>
        </w:tc>
      </w:tr>
      <w:tr>
        <w:tc>
          <w:tcPr>
            <w:tcW w:type="dxa" w:w="4844"/>
          </w:tcPr>
          <w:p>
            <w:r>
              <w:rPr/>
              <w:t>Nombre / Razón social</w:t>
            </w:r>
          </w:p>
        </w:tc>
        <w:tc>
          <w:tcPr>
            <w:tcW w:type="dxa" w:w="4844"/>
          </w:tcPr>
          <w:p/>
        </w:tc>
      </w:tr>
      <w:tr>
        <w:tc>
          <w:tcPr>
            <w:tcW w:type="dxa" w:w="4844"/>
          </w:tcPr>
          <w:p>
            <w:r>
              <w:rPr/>
              <w:t>Representante</w:t>
            </w:r>
          </w:p>
        </w:tc>
        <w:tc>
          <w:tcPr>
            <w:tcW w:type="dxa" w:w="4844"/>
          </w:tcPr>
          <w:p/>
        </w:tc>
      </w:tr>
      <w:tr>
        <w:tc>
          <w:tcPr>
            <w:tcW w:type="dxa" w:w="4844"/>
          </w:tcPr>
          <w:p>
            <w:r>
              <w:rPr/>
              <w:t>Fecha de inicio de administración</w:t>
            </w:r>
          </w:p>
        </w:tc>
        <w:tc>
          <w:tcPr>
            <w:tcW w:type="dxa" w:w="4844"/>
          </w:tcPr>
          <w:p/>
        </w:tc>
      </w:tr>
    </w:tbl>
    <w:p>
      <w:pPr>
        <w:pBdr>
          <w:bottom w:val="single" w:sz="6" w:space="1" w:color="E2E8F0"/>
        </w:pBdr>
      </w:pPr>
    </w:p>
    <w:p>
      <w:pPr>
        <w:pStyle w:val="Heading3"/>
        <w:spacing w:before="300" w:after="120"/>
      </w:pPr>
      <w:r>
        <w:rPr>
          <w:b/>
          <w:color w:val="3D5168"/>
          <w:sz w:val="28"/>
        </w:rPr>
        <w:t>Estado de la transferencia</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r>
              <w:rPr>
                <w:b/>
              </w:rPr>
              <w:t>Sección</w:t>
            </w:r>
          </w:p>
        </w:tc>
        <w:tc>
          <w:tcPr>
            <w:tcW w:type="dxa" w:w="2422"/>
          </w:tcPr>
          <w:p>
            <w:r>
              <w:rPr>
                <w:b/>
              </w:rPr>
              <w:t>Completo</w:t>
            </w:r>
          </w:p>
        </w:tc>
        <w:tc>
          <w:tcPr>
            <w:tcW w:type="dxa" w:w="2422"/>
          </w:tcPr>
          <w:p>
            <w:r>
              <w:rPr>
                <w:b/>
              </w:rPr>
              <w:t>Incompleto</w:t>
            </w:r>
          </w:p>
        </w:tc>
        <w:tc>
          <w:tcPr>
            <w:tcW w:type="dxa" w:w="2422"/>
          </w:tcPr>
          <w:p>
            <w:r>
              <w:rPr>
                <w:b/>
              </w:rPr>
              <w:t>Observaciones</w:t>
            </w:r>
          </w:p>
        </w:tc>
      </w:tr>
      <w:tr>
        <w:tc>
          <w:tcPr>
            <w:tcW w:type="dxa" w:w="2422"/>
          </w:tcPr>
          <w:p>
            <w:r>
              <w:rPr/>
              <w:t>Registro de Modificaciones por Lote</w:t>
            </w:r>
          </w:p>
        </w:tc>
        <w:tc>
          <w:tcPr>
            <w:tcW w:type="dxa" w:w="2422"/>
          </w:tcPr>
          <w:p>
            <w:r>
              <w:rPr/>
              <w:t>[ ]</w:t>
            </w:r>
          </w:p>
        </w:tc>
        <w:tc>
          <w:tcPr>
            <w:tcW w:type="dxa" w:w="2422"/>
          </w:tcPr>
          <w:p>
            <w:r>
              <w:rPr/>
              <w:t>[ ]</w:t>
            </w:r>
          </w:p>
        </w:tc>
        <w:tc>
          <w:tcPr>
            <w:tcW w:type="dxa" w:w="2422"/>
          </w:tcPr>
          <w:p/>
        </w:tc>
      </w:tr>
      <w:tr>
        <w:tc>
          <w:tcPr>
            <w:tcW w:type="dxa" w:w="2422"/>
          </w:tcPr>
          <w:p>
            <w:r>
              <w:rPr/>
              <w:t>Expedientes de obras autorizadas</w:t>
            </w:r>
          </w:p>
        </w:tc>
        <w:tc>
          <w:tcPr>
            <w:tcW w:type="dxa" w:w="2422"/>
          </w:tcPr>
          <w:p>
            <w:r>
              <w:rPr/>
              <w:t>[ ]</w:t>
            </w:r>
          </w:p>
        </w:tc>
        <w:tc>
          <w:tcPr>
            <w:tcW w:type="dxa" w:w="2422"/>
          </w:tcPr>
          <w:p>
            <w:r>
              <w:rPr/>
              <w:t>[ ]</w:t>
            </w:r>
          </w:p>
        </w:tc>
        <w:tc>
          <w:tcPr>
            <w:tcW w:type="dxa" w:w="2422"/>
          </w:tcPr>
          <w:p/>
        </w:tc>
      </w:tr>
      <w:tr>
        <w:tc>
          <w:tcPr>
            <w:tcW w:type="dxa" w:w="2422"/>
          </w:tcPr>
          <w:p>
            <w:r>
              <w:rPr/>
              <w:t>Expedientes de regularizaciones</w:t>
            </w:r>
          </w:p>
        </w:tc>
        <w:tc>
          <w:tcPr>
            <w:tcW w:type="dxa" w:w="2422"/>
          </w:tcPr>
          <w:p>
            <w:r>
              <w:rPr/>
              <w:t>[ ]</w:t>
            </w:r>
          </w:p>
        </w:tc>
        <w:tc>
          <w:tcPr>
            <w:tcW w:type="dxa" w:w="2422"/>
          </w:tcPr>
          <w:p>
            <w:r>
              <w:rPr/>
              <w:t>[ ]</w:t>
            </w:r>
          </w:p>
        </w:tc>
        <w:tc>
          <w:tcPr>
            <w:tcW w:type="dxa" w:w="2422"/>
          </w:tcPr>
          <w:p/>
        </w:tc>
      </w:tr>
      <w:tr>
        <w:tc>
          <w:tcPr>
            <w:tcW w:type="dxa" w:w="2422"/>
          </w:tcPr>
          <w:p>
            <w:r>
              <w:rPr/>
              <w:t>Actas y resoluciones del Consejo</w:t>
            </w:r>
          </w:p>
        </w:tc>
        <w:tc>
          <w:tcPr>
            <w:tcW w:type="dxa" w:w="2422"/>
          </w:tcPr>
          <w:p>
            <w:r>
              <w:rPr/>
              <w:t>[ ]</w:t>
            </w:r>
          </w:p>
        </w:tc>
        <w:tc>
          <w:tcPr>
            <w:tcW w:type="dxa" w:w="2422"/>
          </w:tcPr>
          <w:p>
            <w:r>
              <w:rPr/>
              <w:t>[ ]</w:t>
            </w:r>
          </w:p>
        </w:tc>
        <w:tc>
          <w:tcPr>
            <w:tcW w:type="dxa" w:w="2422"/>
          </w:tcPr>
          <w:p/>
        </w:tc>
      </w:tr>
      <w:tr>
        <w:tc>
          <w:tcPr>
            <w:tcW w:type="dxa" w:w="2422"/>
          </w:tcPr>
          <w:p>
            <w:r>
              <w:rPr/>
              <w:t>Manual de Imagen Urbana vigente</w:t>
            </w:r>
          </w:p>
        </w:tc>
        <w:tc>
          <w:tcPr>
            <w:tcW w:type="dxa" w:w="2422"/>
          </w:tcPr>
          <w:p>
            <w:r>
              <w:rPr/>
              <w:t>[ ]</w:t>
            </w:r>
          </w:p>
        </w:tc>
        <w:tc>
          <w:tcPr>
            <w:tcW w:type="dxa" w:w="2422"/>
          </w:tcPr>
          <w:p>
            <w:r>
              <w:rPr/>
              <w:t>[ ]</w:t>
            </w:r>
          </w:p>
        </w:tc>
        <w:tc>
          <w:tcPr>
            <w:tcW w:type="dxa" w:w="2422"/>
          </w:tcPr>
          <w:p/>
        </w:tc>
      </w:tr>
      <w:tr>
        <w:tc>
          <w:tcPr>
            <w:tcW w:type="dxa" w:w="2422"/>
          </w:tcPr>
          <w:p>
            <w:r>
              <w:rPr/>
              <w:t>Documentos de referencia técnica</w:t>
            </w:r>
          </w:p>
        </w:tc>
        <w:tc>
          <w:tcPr>
            <w:tcW w:type="dxa" w:w="2422"/>
          </w:tcPr>
          <w:p>
            <w:r>
              <w:rPr/>
              <w:t>[ ]</w:t>
            </w:r>
          </w:p>
        </w:tc>
        <w:tc>
          <w:tcPr>
            <w:tcW w:type="dxa" w:w="2422"/>
          </w:tcPr>
          <w:p>
            <w:r>
              <w:rPr/>
              <w:t>[ ]</w:t>
            </w:r>
          </w:p>
        </w:tc>
        <w:tc>
          <w:tcPr>
            <w:tcW w:type="dxa" w:w="2422"/>
          </w:tcPr>
          <w:p/>
        </w:tc>
      </w:tr>
      <w:tr>
        <w:tc>
          <w:tcPr>
            <w:tcW w:type="dxa" w:w="2422"/>
          </w:tcPr>
          <w:p>
            <w:r>
              <w:rPr/>
              <w:t>Fondos y cuotas</w:t>
            </w:r>
          </w:p>
        </w:tc>
        <w:tc>
          <w:tcPr>
            <w:tcW w:type="dxa" w:w="2422"/>
          </w:tcPr>
          <w:p>
            <w:r>
              <w:rPr/>
              <w:t>[ ]</w:t>
            </w:r>
          </w:p>
        </w:tc>
        <w:tc>
          <w:tcPr>
            <w:tcW w:type="dxa" w:w="2422"/>
          </w:tcPr>
          <w:p>
            <w:r>
              <w:rPr/>
              <w:t>[ ]</w:t>
            </w:r>
          </w:p>
        </w:tc>
        <w:tc>
          <w:tcPr>
            <w:tcW w:type="dxa" w:w="2422"/>
          </w:tcPr>
          <w:p/>
        </w:tc>
      </w:tr>
    </w:tbl>
    <w:p>
      <w:pPr>
        <w:spacing w:after="160"/>
      </w:pPr>
      <w:r>
        <w:rPr/>
      </w:r>
      <w:r>
        <w:rPr>
          <w:b/>
        </w:rPr>
        <w:t>Observaciones generales:</w:t>
      </w:r>
      <w:r>
        <w:rPr/>
      </w:r>
    </w:p>
    <w:p>
      <w:pPr>
        <w:spacing w:after="160"/>
      </w:pPr>
      <w:r>
        <w:rPr/>
        <w:t xml:space="preserve"> </w:t>
      </w:r>
    </w:p>
    <w:p>
      <w:pPr>
        <w:spacing w:after="160"/>
      </w:pPr>
      <w:r>
        <w:rPr/>
        <w:t xml:space="preserve"> </w:t>
      </w:r>
    </w:p>
    <w:p>
      <w:pPr>
        <w:pBdr>
          <w:bottom w:val="single" w:sz="6" w:space="1" w:color="E2E8F0"/>
        </w:pBdr>
      </w:pPr>
    </w:p>
    <w:p>
      <w:pPr>
        <w:pStyle w:val="Heading3"/>
        <w:spacing w:before="300" w:after="120"/>
      </w:pPr>
      <w:r>
        <w:rPr>
          <w:b/>
          <w:color w:val="3D5168"/>
          <w:sz w:val="28"/>
        </w:rPr>
        <w:t>Verificación del Comité de Vigilancia</w:t>
      </w:r>
    </w:p>
    <w:p>
      <w:pPr>
        <w:spacing w:after="160"/>
      </w:pPr>
      <w:r>
        <w:rPr/>
        <w:t>El Comité de Vigilancia certifica que verificó la integridad del Registro de Modificaciones por Lote y los expedientes transferidos, y que el estado de la transferencia es el indicado en este documento.</w:t>
      </w:r>
    </w:p>
    <w:p>
      <w:pPr>
        <w:spacing w:after="160"/>
      </w:pPr>
      <w:r>
        <w:rPr/>
        <w:t>Nombre del representante del Comité: ________________________________</w:t>
      </w:r>
    </w:p>
    <w:p>
      <w:pPr>
        <w:spacing w:after="160"/>
      </w:pPr>
      <w:r>
        <w:rPr/>
        <w:t>Firma: ________________________________</w:t>
      </w:r>
    </w:p>
    <w:p>
      <w:pPr>
        <w:spacing w:after="160"/>
      </w:pPr>
      <w:r>
        <w:rPr/>
        <w:t xml:space="preserve">Fecha: </w:t>
      </w:r>
      <w:r>
        <w:rPr>
          <w:i/>
        </w:rPr>
      </w:r>
      <w:r>
        <w:rPr>
          <w:b/>
          <w:i/>
        </w:rPr>
        <w:t>/</w:t>
      </w:r>
      <w:r>
        <w:rPr>
          <w:i/>
        </w:rPr>
      </w:r>
      <w:r>
        <w:rPr/>
        <w:t>/______</w:t>
      </w:r>
    </w:p>
    <w:p>
      <w:pPr>
        <w:pBdr>
          <w:bottom w:val="single" w:sz="6" w:space="1" w:color="E2E8F0"/>
        </w:pBdr>
      </w:pPr>
    </w:p>
    <w:p>
      <w:pPr>
        <w:pStyle w:val="Heading3"/>
        <w:spacing w:before="300" w:after="120"/>
      </w:pPr>
      <w:r>
        <w:rPr>
          <w:b/>
          <w:color w:val="3D5168"/>
          <w:sz w:val="28"/>
        </w:rPr>
        <w:t>Firmas</w:t>
      </w:r>
    </w:p>
    <w:p>
      <w:pPr>
        <w:spacing w:after="160"/>
      </w:pPr>
      <w:r>
        <w:rPr/>
      </w:r>
      <w:r>
        <w:rPr>
          <w:b/>
        </w:rPr>
        <w:t>Administración saliente:</w:t>
      </w:r>
      <w:r>
        <w:rPr/>
      </w:r>
    </w:p>
    <w:p>
      <w:pPr>
        <w:spacing w:after="160"/>
      </w:pPr>
      <w:r>
        <w:rPr/>
        <w:t>Nombre: ________________________________</w:t>
      </w:r>
    </w:p>
    <w:p>
      <w:pPr>
        <w:spacing w:after="160"/>
      </w:pPr>
      <w:r>
        <w:rPr/>
        <w:t>Firma: ________________________________</w:t>
      </w:r>
    </w:p>
    <w:p>
      <w:pPr>
        <w:spacing w:after="160"/>
      </w:pPr>
      <w:r>
        <w:rPr/>
        <w:t xml:space="preserve">Fecha: </w:t>
      </w:r>
      <w:r>
        <w:rPr>
          <w:i/>
        </w:rPr>
      </w:r>
      <w:r>
        <w:rPr>
          <w:b/>
          <w:i/>
        </w:rPr>
        <w:t>/</w:t>
      </w:r>
      <w:r>
        <w:rPr>
          <w:i/>
        </w:rPr>
      </w:r>
      <w:r>
        <w:rPr/>
        <w:t>/______</w:t>
      </w:r>
    </w:p>
    <w:p>
      <w:pPr>
        <w:spacing w:after="160"/>
      </w:pPr>
      <w:r>
        <w:rPr/>
      </w:r>
      <w:r>
        <w:rPr>
          <w:b/>
        </w:rPr>
        <w:t>Administración entrante:</w:t>
      </w:r>
      <w:r>
        <w:rPr/>
      </w:r>
    </w:p>
    <w:p>
      <w:pPr>
        <w:spacing w:after="160"/>
      </w:pPr>
      <w:r>
        <w:rPr/>
        <w:t>Nombre: ________________________________</w:t>
      </w:r>
    </w:p>
    <w:p>
      <w:pPr>
        <w:spacing w:after="160"/>
      </w:pPr>
      <w:r>
        <w:rPr/>
        <w:t>Firma: ________________________________</w:t>
      </w:r>
    </w:p>
    <w:p>
      <w:pPr>
        <w:spacing w:after="160"/>
      </w:pPr>
      <w:r>
        <w:rPr/>
        <w:t xml:space="preserve">Fecha: </w:t>
      </w:r>
      <w:r>
        <w:rPr>
          <w:i/>
        </w:rPr>
      </w:r>
      <w:r>
        <w:rPr>
          <w:b/>
          <w:i/>
        </w:rPr>
        <w:t>/</w:t>
      </w:r>
      <w:r>
        <w:rPr>
          <w:i/>
        </w:rPr>
      </w:r>
      <w:r>
        <w:rPr/>
        <w:t>/______</w:t>
      </w:r>
    </w:p>
    <w:p>
      <w:pPr>
        <w:spacing w:after="160"/>
      </w:pPr>
      <w:r>
        <w:rPr/>
      </w:r>
      <w:r>
        <w:rPr>
          <w:b/>
        </w:rPr>
        <w:t>Presidente del Comité de Representantes:</w:t>
      </w:r>
      <w:r>
        <w:rPr/>
      </w:r>
    </w:p>
    <w:p>
      <w:pPr>
        <w:spacing w:after="160"/>
      </w:pPr>
      <w:r>
        <w:rPr/>
        <w:t>Nombre: ________________________________</w:t>
      </w:r>
    </w:p>
    <w:p>
      <w:pPr>
        <w:spacing w:after="160"/>
      </w:pPr>
      <w:r>
        <w:rPr/>
        <w:t>Firma: ________________________________</w:t>
      </w:r>
    </w:p>
    <w:p>
      <w:pPr>
        <w:spacing w:after="160"/>
      </w:pPr>
      <w:r>
        <w:rPr/>
        <w:t xml:space="preserve">Fecha: </w:t>
      </w:r>
      <w:r>
        <w:rPr>
          <w:i/>
        </w:rPr>
      </w:r>
      <w:r>
        <w:rPr>
          <w:b/>
          <w:i/>
        </w:rPr>
        <w:t>/</w:t>
      </w:r>
      <w:r>
        <w:rPr>
          <w:i/>
        </w:rPr>
      </w:r>
      <w:r>
        <w:rPr/>
        <w:t>/______</w:t>
      </w:r>
    </w:p>
    <w:p>
      <w:pPr>
        <w:pBdr>
          <w:bottom w:val="single" w:sz="6" w:space="1" w:color="E2E8F0"/>
        </w:pBdr>
      </w:pPr>
    </w:p>
    <w:p>
      <w:pPr>
        <w:pBdr>
          <w:left w:val="single" w:sz="20" w:space="8" w:color="3182CE"/>
        </w:pBdr>
        <w:shd w:val="clear" w:color="auto" w:fill="EBF4FF"/>
      </w:pPr>
      <w:r>
        <w:rPr>
          <w:b/>
        </w:rPr>
        <w:t xml:space="preserve">  NOTA</w:t>
      </w:r>
    </w:p>
    <w:p>
      <w:pPr>
        <w:pBdr>
          <w:left w:val="single" w:sz="20" w:space="8" w:color="3182CE"/>
        </w:pBdr>
        <w:shd w:val="clear" w:color="auto" w:fill="EBF4FF"/>
      </w:pPr>
      <w:r>
        <w:rPr/>
        <w:t>Este acta debe conservarse en el expediente permanente del fraccionamiento. Una copia debe quedar en poder del Comité de Representantes, independientemente de quién administre.</w:t>
      </w:r>
    </w:p>
    <w:p>
      <w:pPr>
        <w:pBdr>
          <w:bottom w:val="single" w:sz="6" w:space="1" w:color="E2E8F0"/>
        </w:pBdr>
      </w:pPr>
    </w:p>
    <w:p>
      <w:pPr>
        <w:pStyle w:val="Heading1"/>
        <w:pageBreakBefore/>
        <w:spacing w:before="480" w:after="240"/>
        <w:jc w:val="center"/>
      </w:pPr>
      <w:r>
        <w:rPr>
          <w:b/>
          <w:color w:val="1B2C3E"/>
          <w:sz w:val="48"/>
        </w:rPr>
        <w:t>Proceso P-5 — Inventario Inicial de Obras al Activarse el Sistema</w:t>
      </w:r>
    </w:p>
    <w:p>
      <w:pPr>
        <w:spacing w:after="160"/>
      </w:pPr>
      <w:r>
        <w:rPr>
          <w:i/>
        </w:rPr>
        <w:t>El Administrador levanta este inventario al activarse el sistema, dentro de los primeros 30 días naturales. Su objetivo es establecer el estado de partida del Registro de Modificaciones por Lote. Basado en el Art. 123o. del Reglamento Solé.</w:t>
      </w:r>
    </w:p>
    <w:p>
      <w:pPr>
        <w:pBdr>
          <w:bottom w:val="single" w:sz="6" w:space="1" w:color="E2E8F0"/>
        </w:pBdr>
      </w:pPr>
    </w:p>
    <w:p>
      <w:pPr>
        <w:pStyle w:val="Heading2"/>
        <w:spacing w:before="360" w:after="180"/>
      </w:pPr>
      <w:r>
        <w:rPr>
          <w:b/>
          <w:color w:val="1B2C3E"/>
          <w:sz w:val="36"/>
        </w:rPr>
        <w:t>Objetivo</w:t>
      </w:r>
    </w:p>
    <w:p>
      <w:pPr>
        <w:spacing w:after="160"/>
      </w:pPr>
      <w:r>
        <w:rPr/>
        <w:t>Clasificar todas las modificaciones existentes en el fraccionamiento en dos categorías:</w:t>
      </w:r>
    </w:p>
    <w:p>
      <w:pPr>
        <w:pStyle w:val="ListBullet"/>
      </w:pPr>
      <w:r>
        <w:rPr/>
      </w:r>
      <w:r>
        <w:rPr>
          <w:b/>
        </w:rPr>
        <w:t>(A) Obras autorizadas</w:t>
      </w:r>
      <w:r>
        <w:rPr/>
        <w:t xml:space="preserve"> — realizadas bajo el proceso del Art. 123 del Reglamento. Ingresan al Registro como autorizadas.</w:t>
      </w:r>
    </w:p>
    <w:p>
      <w:pPr>
        <w:pStyle w:val="ListBullet"/>
      </w:pPr>
      <w:r>
        <w:rPr/>
      </w:r>
      <w:r>
        <w:rPr>
          <w:b/>
        </w:rPr>
        <w:t>(B) Obras pendientes de documentación</w:t>
      </w:r>
      <w:r>
        <w:rPr/>
        <w:t xml:space="preserve"> — realizadas sin proceso formal o sin documentación completa. Quedan registradas como pendientes, a atender con los mecanismos de regularización (Formato R-1).</w:t>
      </w:r>
    </w:p>
    <w:p>
      <w:pPr>
        <w:pBdr>
          <w:bottom w:val="single" w:sz="6" w:space="1" w:color="E2E8F0"/>
        </w:pBdr>
      </w:pPr>
    </w:p>
    <w:p>
      <w:pPr>
        <w:pStyle w:val="Heading2"/>
        <w:spacing w:before="360" w:after="180"/>
      </w:pPr>
      <w:r>
        <w:rPr>
          <w:b/>
          <w:color w:val="1B2C3E"/>
          <w:sz w:val="36"/>
        </w:rPr>
        <w:t>Procedimiento</w:t>
      </w:r>
    </w:p>
    <w:p>
      <w:pPr>
        <w:pStyle w:val="Heading3"/>
        <w:spacing w:before="300" w:after="120"/>
      </w:pPr>
      <w:r>
        <w:rPr>
          <w:b/>
          <w:color w:val="3D5168"/>
          <w:sz w:val="28"/>
        </w:rPr>
        <w:t>Paso 1 — Levantamiento fotográfico general (días 1 al 15)</w:t>
      </w:r>
    </w:p>
    <w:p>
      <w:pPr>
        <w:spacing w:after="160"/>
      </w:pPr>
      <w:r>
        <w:rPr/>
        <w:t>El Administrador, con apoyo del Comité de Vigilancia, realiza un recorrido fotográfico de todos los lotes del fraccionamiento documentando:</w:t>
      </w:r>
    </w:p>
    <w:p>
      <w:pPr>
        <w:pStyle w:val="ListBullet"/>
      </w:pPr>
      <w:r>
        <w:rPr/>
        <w:t>Estado visible de cada fachada</w:t>
      </w:r>
    </w:p>
    <w:p>
      <w:pPr>
        <w:pStyle w:val="ListBullet"/>
      </w:pPr>
      <w:r>
        <w:rPr/>
        <w:t>Ampliaciones o modificaciones aparentes respecto al proyecto original</w:t>
      </w:r>
    </w:p>
    <w:p>
      <w:pPr>
        <w:pStyle w:val="ListBullet"/>
      </w:pPr>
      <w:r>
        <w:rPr/>
        <w:t>Elementos instalados en frente de lote (rejas, tinacos visibles, paneles solares, etc.)</w:t>
      </w:r>
    </w:p>
    <w:p>
      <w:pPr>
        <w:pStyle w:val="Heading3"/>
        <w:spacing w:before="300" w:after="120"/>
      </w:pPr>
      <w:r>
        <w:rPr>
          <w:b/>
          <w:color w:val="3D5168"/>
          <w:sz w:val="28"/>
        </w:rPr>
        <w:t>Paso 2 — Cruce con documentación existente (días 1 al 15)</w:t>
      </w:r>
    </w:p>
    <w:p>
      <w:pPr>
        <w:spacing w:after="160"/>
      </w:pPr>
      <w:r>
        <w:rPr/>
        <w:t>El Administrador revisa los expedientes disponibles conforme al Art. 123o. del Reglamento:</w:t>
      </w:r>
    </w:p>
    <w:p>
      <w:pPr>
        <w:spacing w:after="160"/>
      </w:pPr>
      <w:r>
        <w:rPr/>
        <w:t>Documentación que acredita una obra como autorizada:</w:t>
      </w:r>
    </w:p>
    <w:p>
      <w:pPr>
        <w:pStyle w:val="ListBullet"/>
      </w:pPr>
      <w:r>
        <w:rPr/>
        <w:t xml:space="preserve"> Plano del proyecto acotado</w:t>
      </w:r>
    </w:p>
    <w:p>
      <w:pPr>
        <w:pStyle w:val="ListBullet"/>
      </w:pPr>
      <w:r>
        <w:rPr/>
        <w:t xml:space="preserve"> Descripción de acabados</w:t>
      </w:r>
    </w:p>
    <w:p>
      <w:pPr>
        <w:pStyle w:val="ListBullet"/>
      </w:pPr>
      <w:r>
        <w:rPr/>
        <w:t xml:space="preserve"> Copia de escrituras</w:t>
      </w:r>
    </w:p>
    <w:p>
      <w:pPr>
        <w:pStyle w:val="ListBullet"/>
      </w:pPr>
      <w:r>
        <w:rPr/>
        <w:t xml:space="preserve"> Último recibo de cuota de mantenimiento</w:t>
      </w:r>
    </w:p>
    <w:p>
      <w:pPr>
        <w:pStyle w:val="ListBullet"/>
      </w:pPr>
      <w:r>
        <w:rPr/>
        <w:t xml:space="preserve"> Copia del acta de entrega de la vivienda</w:t>
      </w:r>
    </w:p>
    <w:p>
      <w:pPr>
        <w:spacing w:after="160"/>
      </w:pPr>
      <w:r>
        <w:rPr/>
        <w:t xml:space="preserve">Si el expediente está completo en todos sus puntos, la obra ingresa como </w:t>
      </w:r>
      <w:r>
        <w:rPr>
          <w:b/>
        </w:rPr>
        <w:t>autorizada</w:t>
      </w:r>
      <w:r>
        <w:rPr/>
        <w:t xml:space="preserve">. Si falta algún elemento, la obra queda como </w:t>
      </w:r>
      <w:r>
        <w:rPr>
          <w:b/>
        </w:rPr>
        <w:t>pendiente de documentación</w:t>
      </w:r>
      <w:r>
        <w:rPr/>
        <w:t>.</w:t>
      </w:r>
    </w:p>
    <w:p>
      <w:pPr>
        <w:pStyle w:val="Heading3"/>
        <w:spacing w:before="300" w:after="120"/>
      </w:pPr>
      <w:r>
        <w:rPr>
          <w:b/>
          <w:color w:val="3D5168"/>
          <w:sz w:val="28"/>
        </w:rPr>
        <w:t>Paso 3 — Notificación a propietarios (días 16 al 25)</w:t>
      </w:r>
    </w:p>
    <w:p>
      <w:pPr>
        <w:spacing w:after="160"/>
      </w:pPr>
      <w:r>
        <w:rPr/>
        <w:t>El Administrador notifica a cada propietario el estado inicial registrado para su lote:</w:t>
      </w:r>
    </w:p>
    <w:p>
      <w:pPr>
        <w:pStyle w:val="ListBullet"/>
      </w:pPr>
      <w:r>
        <w:rPr/>
        <w:t>Obras clasificadas como autorizadas</w:t>
      </w:r>
    </w:p>
    <w:p>
      <w:pPr>
        <w:pStyle w:val="ListBullet"/>
      </w:pPr>
      <w:r>
        <w:rPr/>
        <w:t>Obras clasificadas como pendientes de documentación, con indicación del mecanismo de regularización aplicable (A, B o C del Formato R-1)</w:t>
      </w:r>
    </w:p>
    <w:p>
      <w:pPr>
        <w:pStyle w:val="ListBullet"/>
      </w:pPr>
      <w:r>
        <w:rPr/>
        <w:t>Fecha de inicio del período de amnistía</w:t>
      </w:r>
    </w:p>
    <w:p>
      <w:pPr>
        <w:pStyle w:val="Heading3"/>
        <w:spacing w:before="300" w:after="120"/>
      </w:pPr>
      <w:r>
        <w:rPr>
          <w:b/>
          <w:color w:val="3D5168"/>
          <w:sz w:val="28"/>
        </w:rPr>
        <w:t>Paso 4 — Período de revisión (días 26 al 30)</w:t>
      </w:r>
    </w:p>
    <w:p>
      <w:pPr>
        <w:spacing w:after="160"/>
      </w:pPr>
      <w:r>
        <w:rPr/>
        <w:t>Los propietarios pueden presentar documentación adicional que modifique la clasificación inicial de sus obras. El Administrador revisa y ajusta el Registro antes de cerrarlo como inventario de partida.</w:t>
      </w:r>
    </w:p>
    <w:p>
      <w:pPr>
        <w:pBdr>
          <w:bottom w:val="single" w:sz="6" w:space="1" w:color="E2E8F0"/>
        </w:pBdr>
      </w:pPr>
    </w:p>
    <w:p>
      <w:pPr>
        <w:pStyle w:val="Heading2"/>
        <w:spacing w:before="360" w:after="180"/>
      </w:pPr>
      <w:r>
        <w:rPr>
          <w:b/>
          <w:color w:val="1B2C3E"/>
          <w:sz w:val="36"/>
        </w:rPr>
        <w:t>Registro por lote — Plantilla</w:t>
      </w:r>
    </w:p>
    <w:p>
      <w:pPr>
        <w:spacing w:after="160"/>
      </w:pPr>
      <w:r>
        <w:rPr>
          <w:i/>
        </w:rPr>
        <w:t>(Una fila por cada lote del fraccionamiento)</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615"/>
          </w:tcPr>
          <w:p>
            <w:r>
              <w:rPr>
                <w:b/>
              </w:rPr>
              <w:t>Lote</w:t>
            </w:r>
          </w:p>
        </w:tc>
        <w:tc>
          <w:tcPr>
            <w:tcW w:type="dxa" w:w="1615"/>
          </w:tcPr>
          <w:p>
            <w:r>
              <w:rPr>
                <w:b/>
              </w:rPr>
              <w:t>Propietario</w:t>
            </w:r>
          </w:p>
        </w:tc>
        <w:tc>
          <w:tcPr>
            <w:tcW w:type="dxa" w:w="1615"/>
          </w:tcPr>
          <w:p>
            <w:r>
              <w:rPr>
                <w:b/>
              </w:rPr>
              <w:t>Modificaciones aparentes</w:t>
            </w:r>
          </w:p>
        </w:tc>
        <w:tc>
          <w:tcPr>
            <w:tcW w:type="dxa" w:w="1615"/>
          </w:tcPr>
          <w:p>
            <w:r>
              <w:rPr>
                <w:b/>
              </w:rPr>
              <w:t>Documentación existente</w:t>
            </w:r>
          </w:p>
        </w:tc>
        <w:tc>
          <w:tcPr>
            <w:tcW w:type="dxa" w:w="1615"/>
          </w:tcPr>
          <w:p>
            <w:r>
              <w:rPr>
                <w:b/>
              </w:rPr>
              <w:t>Clasificación</w:t>
            </w:r>
          </w:p>
        </w:tc>
        <w:tc>
          <w:tcPr>
            <w:tcW w:type="dxa" w:w="1615"/>
          </w:tcPr>
          <w:p>
            <w:r>
              <w:rPr>
                <w:b/>
              </w:rPr>
              <w:t>Observaciones</w:t>
            </w:r>
          </w:p>
        </w:tc>
      </w:tr>
      <w:tr>
        <w:tc>
          <w:tcPr>
            <w:tcW w:type="dxa" w:w="1615"/>
          </w:tcPr>
          <w:p/>
        </w:tc>
        <w:tc>
          <w:tcPr>
            <w:tcW w:type="dxa" w:w="1615"/>
          </w:tcPr>
          <w:p/>
        </w:tc>
        <w:tc>
          <w:tcPr>
            <w:tcW w:type="dxa" w:w="1615"/>
          </w:tcPr>
          <w:p/>
        </w:tc>
        <w:tc>
          <w:tcPr>
            <w:tcW w:type="dxa" w:w="1615"/>
          </w:tcPr>
          <w:p>
            <w:r>
              <w:rPr/>
              <w:t>[ ] Completa [ ] Parcial [ ] Sin documentación</w:t>
            </w:r>
          </w:p>
        </w:tc>
        <w:tc>
          <w:tcPr>
            <w:tcW w:type="dxa" w:w="1615"/>
          </w:tcPr>
          <w:p>
            <w:r>
              <w:rPr/>
              <w:t>[ ] A — Autorizada [ ] B — Pendiente</w:t>
            </w:r>
          </w:p>
        </w:tc>
        <w:tc>
          <w:tcPr>
            <w:tcW w:type="dxa" w:w="1615"/>
          </w:tcPr>
          <w:p/>
        </w:tc>
      </w:tr>
    </w:tbl>
    <w:p>
      <w:pPr>
        <w:pBdr>
          <w:bottom w:val="single" w:sz="6" w:space="1" w:color="E2E8F0"/>
        </w:pBdr>
      </w:pPr>
    </w:p>
    <w:p>
      <w:pPr>
        <w:pStyle w:val="Heading2"/>
        <w:spacing w:before="360" w:after="180"/>
      </w:pPr>
      <w:r>
        <w:rPr>
          <w:b/>
          <w:color w:val="1B2C3E"/>
          <w:sz w:val="36"/>
        </w:rPr>
        <w:t>Resumen del inventario inicial</w:t>
      </w:r>
    </w:p>
    <w:tbl>
      <w:tblPr>
        <w:tblStyle w:val="TableGrid"/>
        <w:tblW w:type="auto" w:w="0"/>
        <w:tblLook w:firstColumn="1" w:firstRow="1" w:lastColumn="0" w:lastRow="0" w:noHBand="0" w:noVBand="1" w:val="04A0"/>
      </w:tblPr>
      <w:tblGrid>
        <w:gridCol w:w="3230"/>
        <w:gridCol w:w="3230"/>
        <w:gridCol w:w="3230"/>
      </w:tblGrid>
      <w:tr>
        <w:tc>
          <w:tcPr>
            <w:tcW w:type="dxa" w:w="3230"/>
          </w:tcPr>
          <w:p>
            <w:r>
              <w:rPr>
                <w:b/>
              </w:rPr>
              <w:t>Categoría</w:t>
            </w:r>
          </w:p>
        </w:tc>
        <w:tc>
          <w:tcPr>
            <w:tcW w:type="dxa" w:w="3230"/>
          </w:tcPr>
          <w:p>
            <w:r>
              <w:rPr>
                <w:b/>
              </w:rPr>
              <w:t>Número de lotes</w:t>
            </w:r>
          </w:p>
        </w:tc>
        <w:tc>
          <w:tcPr>
            <w:tcW w:type="dxa" w:w="3230"/>
          </w:tcPr>
          <w:p>
            <w:r>
              <w:rPr>
                <w:b/>
              </w:rPr>
              <w:t>% del total</w:t>
            </w:r>
          </w:p>
        </w:tc>
      </w:tr>
      <w:tr>
        <w:tc>
          <w:tcPr>
            <w:tcW w:type="dxa" w:w="3230"/>
          </w:tcPr>
          <w:p>
            <w:r>
              <w:rPr/>
              <w:t>Sin modificaciones aparentes</w:t>
            </w:r>
          </w:p>
        </w:tc>
        <w:tc>
          <w:tcPr>
            <w:tcW w:type="dxa" w:w="3230"/>
          </w:tcPr>
          <w:p/>
        </w:tc>
        <w:tc>
          <w:tcPr>
            <w:tcW w:type="dxa" w:w="3230"/>
          </w:tcPr>
          <w:p/>
        </w:tc>
      </w:tr>
      <w:tr>
        <w:tc>
          <w:tcPr>
            <w:tcW w:type="dxa" w:w="3230"/>
          </w:tcPr>
          <w:p>
            <w:r>
              <w:rPr/>
              <w:t>Con modificaciones — clasificadas como Autorizadas (A)</w:t>
            </w:r>
          </w:p>
        </w:tc>
        <w:tc>
          <w:tcPr>
            <w:tcW w:type="dxa" w:w="3230"/>
          </w:tcPr>
          <w:p/>
        </w:tc>
        <w:tc>
          <w:tcPr>
            <w:tcW w:type="dxa" w:w="3230"/>
          </w:tcPr>
          <w:p/>
        </w:tc>
      </w:tr>
      <w:tr>
        <w:tc>
          <w:tcPr>
            <w:tcW w:type="dxa" w:w="3230"/>
          </w:tcPr>
          <w:p>
            <w:r>
              <w:rPr/>
              <w:t>Con modificaciones — clasificadas como Pendientes (B)</w:t>
            </w:r>
          </w:p>
        </w:tc>
        <w:tc>
          <w:tcPr>
            <w:tcW w:type="dxa" w:w="3230"/>
          </w:tcPr>
          <w:p/>
        </w:tc>
        <w:tc>
          <w:tcPr>
            <w:tcW w:type="dxa" w:w="3230"/>
          </w:tcPr>
          <w:p/>
        </w:tc>
      </w:tr>
      <w:tr>
        <w:tc>
          <w:tcPr>
            <w:tcW w:type="dxa" w:w="3230"/>
          </w:tcPr>
          <w:p>
            <w:r>
              <w:rPr/>
            </w:r>
            <w:r>
              <w:rPr>
                <w:b/>
              </w:rPr>
              <w:t>Total de lotes</w:t>
            </w:r>
            <w:r>
              <w:rPr/>
            </w:r>
          </w:p>
        </w:tc>
        <w:tc>
          <w:tcPr>
            <w:tcW w:type="dxa" w:w="3230"/>
          </w:tcPr>
          <w:p/>
        </w:tc>
        <w:tc>
          <w:tcPr>
            <w:tcW w:type="dxa" w:w="3230"/>
          </w:tcPr>
          <w:p>
            <w:r>
              <w:rPr/>
              <w:t>100%</w:t>
            </w:r>
          </w:p>
        </w:tc>
      </w:tr>
    </w:tbl>
    <w:p>
      <w:pPr>
        <w:pBdr>
          <w:bottom w:val="single" w:sz="6" w:space="1" w:color="E2E8F0"/>
        </w:pBdr>
      </w:pPr>
    </w:p>
    <w:p>
      <w:pPr>
        <w:pStyle w:val="Heading2"/>
        <w:spacing w:before="360" w:after="180"/>
      </w:pPr>
      <w:r>
        <w:rPr>
          <w:b/>
          <w:color w:val="1B2C3E"/>
          <w:sz w:val="36"/>
        </w:rPr>
        <w:t>Notificación individual al propietario</w:t>
      </w:r>
    </w:p>
    <w:p>
      <w:pPr>
        <w:spacing w:after="160"/>
      </w:pPr>
      <w:r>
        <w:rPr/>
      </w:r>
      <w:r>
        <w:rPr>
          <w:b/>
        </w:rPr>
        <w:t>Estimado propietario del Lote _______:</w:t>
      </w:r>
      <w:r>
        <w:rPr/>
      </w:r>
    </w:p>
    <w:p>
      <w:pPr>
        <w:spacing w:after="160"/>
      </w:pPr>
      <w:r>
        <w:rPr/>
        <w:t>Con base en el inventario inicial del sistema de gobernanza arquitectónica del Fraccionamiento Solé, le informamos el estado registrado para su lote a la fecha de activación del sistema:</w:t>
      </w:r>
    </w:p>
    <w:p>
      <w:pPr>
        <w:spacing w:after="160"/>
      </w:pPr>
      <w:r>
        <w:rPr/>
      </w:r>
      <w:r>
        <w:rPr>
          <w:b/>
        </w:rPr>
        <w:t>Obras registradas como autorizadas:</w:t>
      </w:r>
      <w:r>
        <w:rPr/>
      </w:r>
    </w:p>
    <w:tbl>
      <w:tblPr>
        <w:tblStyle w:val="TableGrid"/>
        <w:tblW w:type="auto" w:w="0"/>
        <w:tblLook w:firstColumn="1" w:firstRow="1" w:lastColumn="0" w:lastRow="0" w:noHBand="0" w:noVBand="1" w:val="04A0"/>
      </w:tblPr>
      <w:tblGrid>
        <w:gridCol w:w="4844"/>
        <w:gridCol w:w="4844"/>
      </w:tblGrid>
      <w:tr>
        <w:tc>
          <w:tcPr>
            <w:tcW w:type="dxa" w:w="4844"/>
          </w:tcPr>
          <w:p>
            <w:r>
              <w:rPr>
                <w:b/>
              </w:rPr>
              <w:t>Descripción</w:t>
            </w:r>
          </w:p>
        </w:tc>
        <w:tc>
          <w:tcPr>
            <w:tcW w:type="dxa" w:w="4844"/>
          </w:tcPr>
          <w:p>
            <w:r>
              <w:rPr>
                <w:b/>
              </w:rPr>
              <w:t>Fundamento</w:t>
            </w:r>
          </w:p>
        </w:tc>
      </w:tr>
      <w:tr>
        <w:tc>
          <w:tcPr>
            <w:tcW w:type="dxa" w:w="4844"/>
          </w:tcPr>
          <w:p/>
        </w:tc>
        <w:tc>
          <w:tcPr>
            <w:tcW w:type="dxa" w:w="4844"/>
          </w:tcPr>
          <w:p/>
        </w:tc>
      </w:tr>
    </w:tbl>
    <w:p>
      <w:pPr>
        <w:spacing w:after="160"/>
      </w:pPr>
      <w:r>
        <w:rPr/>
      </w:r>
      <w:r>
        <w:rPr>
          <w:b/>
        </w:rPr>
        <w:t>Obras registradas como pendientes de documentación:</w:t>
      </w:r>
      <w:r>
        <w:rPr/>
      </w:r>
    </w:p>
    <w:tbl>
      <w:tblPr>
        <w:tblStyle w:val="TableGrid"/>
        <w:tblW w:type="auto" w:w="0"/>
        <w:tblLook w:firstColumn="1" w:firstRow="1" w:lastColumn="0" w:lastRow="0" w:noHBand="0" w:noVBand="1" w:val="04A0"/>
      </w:tblPr>
      <w:tblGrid>
        <w:gridCol w:w="3230"/>
        <w:gridCol w:w="3230"/>
        <w:gridCol w:w="3230"/>
      </w:tblGrid>
      <w:tr>
        <w:tc>
          <w:tcPr>
            <w:tcW w:type="dxa" w:w="3230"/>
          </w:tcPr>
          <w:p>
            <w:r>
              <w:rPr>
                <w:b/>
              </w:rPr>
              <w:t>Descripción</w:t>
            </w:r>
          </w:p>
        </w:tc>
        <w:tc>
          <w:tcPr>
            <w:tcW w:type="dxa" w:w="3230"/>
          </w:tcPr>
          <w:p>
            <w:r>
              <w:rPr>
                <w:b/>
              </w:rPr>
              <w:t>Mecanismo aplicable</w:t>
            </w:r>
          </w:p>
        </w:tc>
        <w:tc>
          <w:tcPr>
            <w:tcW w:type="dxa" w:w="3230"/>
          </w:tcPr>
          <w:p>
            <w:r>
              <w:rPr>
                <w:b/>
              </w:rPr>
              <w:t>Plazo</w:t>
            </w:r>
          </w:p>
        </w:tc>
      </w:tr>
      <w:tr>
        <w:tc>
          <w:tcPr>
            <w:tcW w:type="dxa" w:w="3230"/>
          </w:tcPr>
          <w:p/>
        </w:tc>
        <w:tc>
          <w:tcPr>
            <w:tcW w:type="dxa" w:w="3230"/>
          </w:tcPr>
          <w:p>
            <w:r>
              <w:rPr/>
              <w:t>[ ] A — Amnistía [ ] B — Reconocimiento [ ] C — Comprador de buena fe</w:t>
            </w:r>
          </w:p>
        </w:tc>
        <w:tc>
          <w:tcPr>
            <w:tcW w:type="dxa" w:w="3230"/>
          </w:tcPr>
          <w:p>
            <w:r>
              <w:rPr/>
              <w:t xml:space="preserve">90 días desde </w:t>
            </w:r>
            <w:r>
              <w:rPr>
                <w:i/>
              </w:rPr>
            </w:r>
            <w:r>
              <w:rPr>
                <w:b/>
                <w:i/>
              </w:rPr>
              <w:t>/</w:t>
            </w:r>
            <w:r>
              <w:rPr>
                <w:i/>
              </w:rPr>
            </w:r>
            <w:r>
              <w:rPr/>
              <w:t>/______</w:t>
            </w:r>
          </w:p>
        </w:tc>
      </w:tr>
    </w:tbl>
    <w:p>
      <w:pPr>
        <w:spacing w:after="160"/>
      </w:pPr>
      <w:r>
        <w:rPr/>
        <w:t>Para regularizar obras pendientes, presente el Formato R-1 ante el Administrador. Durante el período de amnistía (90 días), la multa de regularización tiene un descuento del 50%.</w:t>
      </w:r>
    </w:p>
    <w:p>
      <w:pPr>
        <w:spacing w:after="160"/>
      </w:pPr>
      <w:r>
        <w:rPr/>
        <w:t xml:space="preserve">Fecha de notificación: </w:t>
      </w:r>
      <w:r>
        <w:rPr>
          <w:i/>
        </w:rPr>
      </w:r>
      <w:r>
        <w:rPr>
          <w:b/>
          <w:i/>
        </w:rPr>
        <w:t>/</w:t>
      </w:r>
      <w:r>
        <w:rPr>
          <w:i/>
        </w:rPr>
      </w:r>
      <w:r>
        <w:rPr/>
        <w:t>/______</w:t>
      </w:r>
    </w:p>
    <w:p>
      <w:pPr>
        <w:spacing w:after="160"/>
      </w:pPr>
      <w:r>
        <w:rPr/>
        <w:t>Firma del Administrador: ________________________________</w:t>
      </w:r>
    </w:p>
    <w:p>
      <w:pPr>
        <w:pBdr>
          <w:bottom w:val="single" w:sz="6" w:space="1" w:color="E2E8F0"/>
        </w:pBdr>
      </w:pPr>
    </w:p>
    <w:p>
      <w:pPr>
        <w:pStyle w:val="Heading2"/>
        <w:spacing w:before="360" w:after="180"/>
      </w:pPr>
      <w:r>
        <w:rPr>
          <w:b/>
          <w:color w:val="1B2C3E"/>
          <w:sz w:val="36"/>
        </w:rPr>
        <w:t>Cierre del inventario inicial</w:t>
      </w:r>
    </w:p>
    <w:p>
      <w:pPr>
        <w:spacing w:after="160"/>
      </w:pPr>
      <w:r>
        <w:rPr/>
      </w:r>
      <w:r>
        <w:rPr>
          <w:b/>
        </w:rPr>
        <w:t>Fecha de inicio del inventario:</w:t>
      </w:r>
      <w:r>
        <w:rPr/>
        <w:t xml:space="preserve"> </w:t>
      </w:r>
      <w:r>
        <w:rPr>
          <w:i/>
        </w:rPr>
      </w:r>
      <w:r>
        <w:rPr>
          <w:b/>
          <w:i/>
        </w:rPr>
        <w:t>/</w:t>
      </w:r>
      <w:r>
        <w:rPr>
          <w:i/>
        </w:rPr>
      </w:r>
      <w:r>
        <w:rPr/>
        <w:t>/______</w:t>
      </w:r>
    </w:p>
    <w:p>
      <w:pPr>
        <w:spacing w:after="160"/>
      </w:pPr>
      <w:r>
        <w:rPr/>
      </w:r>
      <w:r>
        <w:rPr>
          <w:b/>
        </w:rPr>
        <w:t>Fecha de cierre del inventario:</w:t>
      </w:r>
      <w:r>
        <w:rPr/>
        <w:t xml:space="preserve"> </w:t>
      </w:r>
      <w:r>
        <w:rPr>
          <w:i/>
        </w:rPr>
      </w:r>
      <w:r>
        <w:rPr>
          <w:b/>
          <w:i/>
        </w:rPr>
        <w:t>/</w:t>
      </w:r>
      <w:r>
        <w:rPr>
          <w:i/>
        </w:rPr>
      </w:r>
      <w:r>
        <w:rPr/>
        <w:t>/______</w:t>
      </w:r>
    </w:p>
    <w:p>
      <w:pPr>
        <w:spacing w:after="160"/>
      </w:pPr>
      <w:r>
        <w:rPr/>
      </w:r>
      <w:r>
        <w:rPr>
          <w:b/>
        </w:rPr>
        <w:t>Fecha de inicio del período de amnistía:</w:t>
      </w:r>
      <w:r>
        <w:rPr/>
        <w:t xml:space="preserve"> </w:t>
      </w:r>
      <w:r>
        <w:rPr>
          <w:i/>
        </w:rPr>
      </w:r>
      <w:r>
        <w:rPr>
          <w:b/>
          <w:i/>
        </w:rPr>
        <w:t>/</w:t>
      </w:r>
      <w:r>
        <w:rPr>
          <w:i/>
        </w:rPr>
      </w:r>
      <w:r>
        <w:rPr/>
        <w:t>/______</w:t>
      </w:r>
    </w:p>
    <w:p>
      <w:pPr>
        <w:spacing w:after="160"/>
      </w:pPr>
      <w:r>
        <w:rPr/>
      </w:r>
      <w:r>
        <w:rPr>
          <w:b/>
        </w:rPr>
        <w:t>Fecha de cierre del período de amnistía (día 90):</w:t>
      </w:r>
      <w:r>
        <w:rPr/>
        <w:t xml:space="preserve"> </w:t>
      </w:r>
      <w:r>
        <w:rPr>
          <w:i/>
        </w:rPr>
      </w:r>
      <w:r>
        <w:rPr>
          <w:b/>
          <w:i/>
        </w:rPr>
        <w:t>/</w:t>
      </w:r>
      <w:r>
        <w:rPr>
          <w:i/>
        </w:rPr>
      </w:r>
      <w:r>
        <w:rPr/>
        <w:t>/______</w:t>
      </w:r>
    </w:p>
    <w:p>
      <w:pPr>
        <w:spacing w:after="160"/>
      </w:pPr>
      <w:r>
        <w:rPr/>
      </w:r>
      <w:r>
        <w:rPr>
          <w:b/>
        </w:rPr>
        <w:t>Fecha de entrada en vigor de la Constancia para compraventas (día 91):</w:t>
      </w:r>
      <w:r>
        <w:rPr/>
        <w:t xml:space="preserve"> </w:t>
      </w:r>
      <w:r>
        <w:rPr>
          <w:i/>
        </w:rPr>
      </w:r>
      <w:r>
        <w:rPr>
          <w:b/>
          <w:i/>
        </w:rPr>
        <w:t>/</w:t>
      </w:r>
      <w:r>
        <w:rPr>
          <w:i/>
        </w:rPr>
      </w:r>
      <w:r>
        <w:rPr/>
        <w:t>/______</w:t>
      </w:r>
    </w:p>
    <w:p>
      <w:pPr>
        <w:spacing w:after="160"/>
      </w:pPr>
      <w:r>
        <w:rPr/>
        <w:t>Firma del Administrador: ________________________________</w:t>
      </w:r>
    </w:p>
    <w:p>
      <w:pPr>
        <w:spacing w:after="160"/>
      </w:pPr>
      <w:r>
        <w:rPr/>
        <w:t>Firma del Presidente del Comité de Representantes: ________________________________</w:t>
      </w:r>
    </w:p>
    <w:p>
      <w:pPr>
        <w:spacing w:after="160"/>
      </w:pPr>
      <w:r>
        <w:rPr/>
        <w:t>Firma del Presidente del Comité de Vigilancia: ________________________________</w:t>
      </w:r>
    </w:p>
    <w:p>
      <w:pPr>
        <w:pBdr>
          <w:bottom w:val="single" w:sz="6" w:space="1" w:color="E2E8F0"/>
        </w:pBdr>
      </w:pPr>
    </w:p>
    <w:p>
      <w:pPr>
        <w:pStyle w:val="Heading1"/>
        <w:pageBreakBefore/>
        <w:spacing w:before="480" w:after="240"/>
        <w:jc w:val="center"/>
      </w:pPr>
      <w:r>
        <w:rPr>
          <w:b/>
          <w:color w:val="1B2C3E"/>
          <w:sz w:val="48"/>
        </w:rPr>
        <w:t>Proceso P-6 — Solicitud de Planos Originales a HABI y al Municipio</w:t>
      </w:r>
    </w:p>
    <w:p>
      <w:pPr>
        <w:spacing w:after="160"/>
      </w:pPr>
      <w:r>
        <w:rPr>
          <w:i/>
        </w:rPr>
        <w:t>Primer paso para la elaboración del Manual de Imagen Urbana. Los planos originales del proyecto son la referencia técnica que da legitimidad al Manual. Se solicitan en paralelo a HABI (fuente primaria) y al Municipio de Soledad de Graciano Sánchez (verificación). El expediente municipal puede estar incompleto en formatos digitales obsoletos.</w:t>
      </w:r>
    </w:p>
    <w:p>
      <w:pPr>
        <w:pBdr>
          <w:bottom w:val="single" w:sz="6" w:space="1" w:color="E2E8F0"/>
        </w:pBdr>
      </w:pPr>
    </w:p>
    <w:p>
      <w:pPr>
        <w:pStyle w:val="Heading2"/>
        <w:spacing w:before="360" w:after="180"/>
      </w:pPr>
      <w:r>
        <w:rPr>
          <w:b/>
          <w:color w:val="1B2C3E"/>
          <w:sz w:val="36"/>
        </w:rPr>
        <w:t>Documentos a solicitar</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r>
              <w:rPr>
                <w:b/>
              </w:rPr>
              <w:t>Documento</w:t>
            </w:r>
          </w:p>
        </w:tc>
        <w:tc>
          <w:tcPr>
            <w:tcW w:type="dxa" w:w="2422"/>
          </w:tcPr>
          <w:p>
            <w:r>
              <w:rPr>
                <w:b/>
              </w:rPr>
              <w:t>Contenido</w:t>
            </w:r>
          </w:p>
        </w:tc>
        <w:tc>
          <w:tcPr>
            <w:tcW w:type="dxa" w:w="2422"/>
          </w:tcPr>
          <w:p>
            <w:r>
              <w:rPr>
                <w:b/>
              </w:rPr>
              <w:t>Fuente primaria</w:t>
            </w:r>
          </w:p>
        </w:tc>
        <w:tc>
          <w:tcPr>
            <w:tcW w:type="dxa" w:w="2422"/>
          </w:tcPr>
          <w:p>
            <w:r>
              <w:rPr>
                <w:b/>
              </w:rPr>
              <w:t>Verificación</w:t>
            </w:r>
          </w:p>
        </w:tc>
      </w:tr>
      <w:tr>
        <w:tc>
          <w:tcPr>
            <w:tcW w:type="dxa" w:w="2422"/>
          </w:tcPr>
          <w:p>
            <w:r>
              <w:rPr/>
              <w:t>Carta cromática</w:t>
            </w:r>
          </w:p>
        </w:tc>
        <w:tc>
          <w:tcPr>
            <w:tcW w:type="dxa" w:w="2422"/>
          </w:tcPr>
          <w:p>
            <w:r>
              <w:rPr/>
              <w:t>Colores de fachada con codificación de los prototipos autorizados</w:t>
            </w:r>
          </w:p>
        </w:tc>
        <w:tc>
          <w:tcPr>
            <w:tcW w:type="dxa" w:w="2422"/>
          </w:tcPr>
          <w:p>
            <w:r>
              <w:rPr/>
              <w:t>HABI</w:t>
            </w:r>
          </w:p>
        </w:tc>
        <w:tc>
          <w:tcPr>
            <w:tcW w:type="dxa" w:w="2422"/>
          </w:tcPr>
          <w:p>
            <w:r>
              <w:rPr/>
              <w:t>Municipio</w:t>
            </w:r>
          </w:p>
        </w:tc>
      </w:tr>
      <w:tr>
        <w:tc>
          <w:tcPr>
            <w:tcW w:type="dxa" w:w="2422"/>
          </w:tcPr>
          <w:p>
            <w:r>
              <w:rPr/>
              <w:t>Especificación de acabados exteriores</w:t>
            </w:r>
          </w:p>
        </w:tc>
        <w:tc>
          <w:tcPr>
            <w:tcW w:type="dxa" w:w="2422"/>
          </w:tcPr>
          <w:p>
            <w:r>
              <w:rPr/>
              <w:t>Materiales, dimensiones, texturas y proveedores del proyecto original</w:t>
            </w:r>
          </w:p>
        </w:tc>
        <w:tc>
          <w:tcPr>
            <w:tcW w:type="dxa" w:w="2422"/>
          </w:tcPr>
          <w:p>
            <w:r>
              <w:rPr/>
              <w:t>HABI</w:t>
            </w:r>
          </w:p>
        </w:tc>
        <w:tc>
          <w:tcPr>
            <w:tcW w:type="dxa" w:w="2422"/>
          </w:tcPr>
          <w:p>
            <w:r>
              <w:rPr/>
              <w:t>—</w:t>
            </w:r>
          </w:p>
        </w:tc>
      </w:tr>
      <w:tr>
        <w:tc>
          <w:tcPr>
            <w:tcW w:type="dxa" w:w="2422"/>
          </w:tcPr>
          <w:p>
            <w:r>
              <w:rPr/>
              <w:t>Planos de fachadas tipo</w:t>
            </w:r>
          </w:p>
        </w:tc>
        <w:tc>
          <w:tcPr>
            <w:tcW w:type="dxa" w:w="2422"/>
          </w:tcPr>
          <w:p>
            <w:r>
              <w:rPr/>
              <w:t>Fachadas de los prototipos con proporciones y elementos arquitectónicos</w:t>
            </w:r>
          </w:p>
        </w:tc>
        <w:tc>
          <w:tcPr>
            <w:tcW w:type="dxa" w:w="2422"/>
          </w:tcPr>
          <w:p>
            <w:r>
              <w:rPr/>
              <w:t>HABI</w:t>
            </w:r>
          </w:p>
        </w:tc>
        <w:tc>
          <w:tcPr>
            <w:tcW w:type="dxa" w:w="2422"/>
          </w:tcPr>
          <w:p>
            <w:r>
              <w:rPr/>
              <w:t>Municipio</w:t>
            </w:r>
          </w:p>
        </w:tc>
      </w:tr>
    </w:tbl>
    <w:p>
      <w:pPr>
        <w:pBdr>
          <w:bottom w:val="single" w:sz="6" w:space="1" w:color="E2E8F0"/>
        </w:pBdr>
      </w:pPr>
    </w:p>
    <w:p>
      <w:pPr>
        <w:pStyle w:val="Heading2"/>
        <w:spacing w:before="360" w:after="180"/>
      </w:pPr>
      <w:r>
        <w:rPr>
          <w:b/>
          <w:color w:val="1B2C3E"/>
          <w:sz w:val="36"/>
        </w:rPr>
        <w:t>Carta A — Solicitud a HABI</w:t>
      </w:r>
    </w:p>
    <w:p>
      <w:pPr>
        <w:spacing w:after="160"/>
      </w:pPr>
      <w:r>
        <w:rPr>
          <w:i/>
        </w:rPr>
        <w:t>(En papel membretado del Fraccionamiento Solé o del Comité de Representantes)</w:t>
      </w:r>
    </w:p>
    <w:p>
      <w:pPr>
        <w:pBdr>
          <w:bottom w:val="single" w:sz="6" w:space="1" w:color="E2E8F0"/>
        </w:pBdr>
      </w:pPr>
    </w:p>
    <w:p>
      <w:pPr>
        <w:spacing w:after="160"/>
      </w:pPr>
      <w:r>
        <w:rPr/>
        <w:t>[Ciudad], [Fecha]</w:t>
      </w:r>
    </w:p>
    <w:p>
      <w:pPr>
        <w:spacing w:after="160"/>
      </w:pPr>
      <w:r>
        <w:rPr/>
      </w:r>
      <w:r>
        <w:rPr>
          <w:b/>
        </w:rPr>
        <w:t>PROMOCIONES HABI, S.A. de C.V.</w:t>
      </w:r>
      <w:r>
        <w:rPr/>
      </w:r>
      <w:r>
        <w:t xml:space="preserve"> </w:t>
      </w:r>
      <w:r>
        <w:rPr/>
        <w:t>Presente</w:t>
      </w:r>
    </w:p>
    <w:p>
      <w:pPr>
        <w:spacing w:after="160"/>
      </w:pPr>
      <w:r>
        <w:rPr/>
      </w:r>
      <w:r>
        <w:rPr>
          <w:b/>
        </w:rPr>
        <w:t>Asunto:</w:t>
      </w:r>
      <w:r>
        <w:rPr/>
        <w:t xml:space="preserve"> Solicitud de carta cromática, especificación de acabados exteriores y planos de fachadas tipo del Fraccionamiento Solé — El Toro</w:t>
      </w:r>
    </w:p>
    <w:p>
      <w:pPr>
        <w:spacing w:after="160"/>
      </w:pPr>
      <w:r>
        <w:rPr/>
        <w:t>Estimados señores:</w:t>
      </w:r>
    </w:p>
    <w:p>
      <w:pPr>
        <w:spacing w:after="160"/>
      </w:pPr>
      <w:r>
        <w:rPr/>
        <w:t xml:space="preserve">Los condóminos del Fraccionamiento Solé — El Toro, por conducto del Comité de Representantes, nos dirigimos a ustedes con fundamento en el </w:t>
      </w:r>
      <w:r>
        <w:rPr>
          <w:b/>
        </w:rPr>
        <w:t>Art. 86(g) del Reglamento Interno del Fraccionamiento</w:t>
      </w:r>
      <w:r>
        <w:rPr/>
        <w:t xml:space="preserve">, que encomienda al Administrador "recabar y conservar los libros y la documentación relacionada con el Condominio", en relación con el </w:t>
      </w:r>
      <w:r>
        <w:rPr>
          <w:b/>
        </w:rPr>
        <w:t>Art. 83, frac. IV de la Ley sobre el Régimen de Propiedad en Condominio del Estado de San Luis Potosí</w:t>
      </w:r>
      <w:r>
        <w:rPr/>
        <w:t>, que establece que dicha documentación podrá ser consultada en todo tiempo por los condóminos.</w:t>
      </w:r>
    </w:p>
    <w:p>
      <w:pPr>
        <w:spacing w:after="160"/>
      </w:pPr>
      <w:r>
        <w:rPr/>
        <w:t xml:space="preserve">En el marco de la elaboración del </w:t>
      </w:r>
      <w:r>
        <w:rPr>
          <w:b/>
        </w:rPr>
        <w:t>Manual de Imagen Urbana</w:t>
      </w:r>
      <w:r>
        <w:rPr/>
        <w:t xml:space="preserve"> del fraccionamiento, aprobada en Asamblea General de Condóminos celebrada el </w:t>
      </w:r>
      <w:r>
        <w:rPr>
          <w:i/>
        </w:rPr>
      </w:r>
      <w:r>
        <w:rPr>
          <w:b/>
          <w:i/>
        </w:rPr>
        <w:t>/</w:t>
      </w:r>
      <w:r>
        <w:rPr>
          <w:i/>
        </w:rPr>
      </w:r>
      <w:r>
        <w:rPr/>
        <w:t>/______, solicitamos respetuosamente nos proporcionen los siguientes documentos del proyecto original:</w:t>
      </w:r>
    </w:p>
    <w:p>
      <w:pPr>
        <w:pStyle w:val="ListNumber"/>
      </w:pPr>
      <w:r>
        <w:rPr/>
      </w:r>
      <w:r>
        <w:rPr>
          <w:b/>
        </w:rPr>
        <w:t>Carta cromática</w:t>
      </w:r>
      <w:r>
        <w:rPr/>
        <w:t xml:space="preserve"> — colores de fachada con codificación de los prototipos autorizados para el fraccionamiento</w:t>
      </w:r>
    </w:p>
    <w:p>
      <w:pPr>
        <w:pStyle w:val="ListNumber"/>
      </w:pPr>
      <w:r>
        <w:rPr/>
      </w:r>
      <w:r>
        <w:rPr>
          <w:b/>
        </w:rPr>
        <w:t>Especificación de acabados exteriores</w:t>
      </w:r>
      <w:r>
        <w:rPr/>
        <w:t xml:space="preserve"> — materiales, dimensiones, texturas y proveedores utilizados en el proyecto original</w:t>
      </w:r>
    </w:p>
    <w:p>
      <w:pPr>
        <w:pStyle w:val="ListNumber"/>
      </w:pPr>
      <w:r>
        <w:rPr/>
      </w:r>
      <w:r>
        <w:rPr>
          <w:b/>
        </w:rPr>
        <w:t>Planos de fachadas tipo</w:t>
      </w:r>
      <w:r>
        <w:rPr/>
        <w:t xml:space="preserve"> — fachadas de los prototipos con proporciones, elementos arquitectónicos y cotas</w:t>
      </w:r>
    </w:p>
    <w:p>
      <w:pPr>
        <w:spacing w:after="160"/>
      </w:pPr>
      <w:r>
        <w:rPr/>
        <w:t>La documentación solicitada será utilizada exclusivamente como referencia técnica para la elaboración del Manual de Imagen Urbana del fraccionamiento, en beneficio de la imagen y la plusvalía del conjunto — incluidas las unidades actualmente en poder de HABI.</w:t>
      </w:r>
    </w:p>
    <w:p>
      <w:pPr>
        <w:spacing w:after="160"/>
      </w:pPr>
      <w:r>
        <w:rPr/>
        <w:t>Agradecemos su respuesta a la brevedad posible. Quedamos a sus órdenes para cualquier aclaración.</w:t>
      </w:r>
    </w:p>
    <w:p>
      <w:pPr>
        <w:spacing w:after="160"/>
      </w:pPr>
      <w:r>
        <w:rPr/>
        <w:t>Atentamente,</w:t>
      </w:r>
    </w:p>
    <w:p>
      <w:pPr>
        <w:pBdr>
          <w:bottom w:val="single" w:sz="6" w:space="1" w:color="E2E8F0"/>
        </w:pBdr>
      </w:pPr>
    </w:p>
    <w:p>
      <w:pPr>
        <w:spacing w:after="160"/>
      </w:pPr>
      <w:r>
        <w:rPr/>
        <w:t>[Nombre del Presidente del Comité de Representantes]</w:t>
      </w:r>
      <w:r>
        <w:t xml:space="preserve"> </w:t>
      </w:r>
      <w:r>
        <w:rPr/>
        <w:t>Comité de Representantes</w:t>
      </w:r>
      <w:r>
        <w:t xml:space="preserve"> </w:t>
      </w:r>
      <w:r>
        <w:rPr/>
        <w:t>Fraccionamiento Solé — El Toro</w:t>
      </w:r>
    </w:p>
    <w:p>
      <w:pPr>
        <w:pBdr>
          <w:bottom w:val="single" w:sz="6" w:space="1" w:color="E2E8F0"/>
        </w:pBdr>
      </w:pPr>
    </w:p>
    <w:p>
      <w:pPr>
        <w:spacing w:after="160"/>
      </w:pPr>
      <w:r>
        <w:rPr/>
        <w:t>[Nombre del Administrador]</w:t>
      </w:r>
      <w:r>
        <w:t xml:space="preserve"> </w:t>
      </w:r>
      <w:r>
        <w:rPr/>
        <w:t>Administración del Fraccionamiento Solé</w:t>
      </w:r>
    </w:p>
    <w:p>
      <w:pPr>
        <w:spacing w:after="160"/>
      </w:pPr>
      <w:r>
        <w:rPr/>
      </w:r>
      <w:r>
        <w:rPr>
          <w:b/>
        </w:rPr>
        <w:t>Correo de contacto:</w:t>
      </w:r>
      <w:r>
        <w:rPr/>
        <w:t xml:space="preserve"> ________________________________</w:t>
      </w:r>
    </w:p>
    <w:p>
      <w:pPr>
        <w:spacing w:after="160"/>
      </w:pPr>
      <w:r>
        <w:rPr/>
      </w:r>
      <w:r>
        <w:rPr>
          <w:b/>
        </w:rPr>
        <w:t>Teléfono:</w:t>
      </w:r>
      <w:r>
        <w:rPr/>
        <w:t xml:space="preserve"> ________________________________</w:t>
      </w:r>
    </w:p>
    <w:p>
      <w:pPr>
        <w:pBdr>
          <w:bottom w:val="single" w:sz="6" w:space="1" w:color="E2E8F0"/>
        </w:pBdr>
      </w:pPr>
    </w:p>
    <w:p>
      <w:pPr>
        <w:pStyle w:val="Heading2"/>
        <w:spacing w:before="360" w:after="180"/>
      </w:pPr>
      <w:r>
        <w:rPr>
          <w:b/>
          <w:color w:val="1B2C3E"/>
          <w:sz w:val="36"/>
        </w:rPr>
        <w:t>Carta B — Solicitud al Municipio de Soledad de Graciano Sánchez</w:t>
      </w:r>
    </w:p>
    <w:p>
      <w:pPr>
        <w:spacing w:after="160"/>
      </w:pPr>
      <w:r>
        <w:rPr>
          <w:i/>
        </w:rPr>
        <w:t>(En papel membretado del Fraccionamiento Solé o del Comité de Representantes)</w:t>
      </w:r>
    </w:p>
    <w:p>
      <w:pPr>
        <w:pBdr>
          <w:bottom w:val="single" w:sz="6" w:space="1" w:color="E2E8F0"/>
        </w:pBdr>
      </w:pPr>
    </w:p>
    <w:p>
      <w:pPr>
        <w:spacing w:after="160"/>
      </w:pPr>
      <w:r>
        <w:rPr/>
        <w:t>[Ciudad], [Fecha]</w:t>
      </w:r>
    </w:p>
    <w:p>
      <w:pPr>
        <w:spacing w:after="160"/>
      </w:pPr>
      <w:r>
        <w:rPr/>
      </w:r>
      <w:r>
        <w:rPr>
          <w:b/>
        </w:rPr>
        <w:t>Dirección de Desarrollo Urbano</w:t>
      </w:r>
      <w:r>
        <w:rPr/>
      </w:r>
      <w:r>
        <w:t xml:space="preserve"> </w:t>
      </w:r>
      <w:r>
        <w:rPr/>
      </w:r>
      <w:r>
        <w:rPr>
          <w:b/>
        </w:rPr>
        <w:t>Municipio de Soledad de Graciano Sánchez, S.L.P.</w:t>
      </w:r>
      <w:r>
        <w:rPr/>
      </w:r>
      <w:r>
        <w:t xml:space="preserve"> </w:t>
      </w:r>
      <w:r>
        <w:rPr/>
        <w:t>Presente</w:t>
      </w:r>
    </w:p>
    <w:p>
      <w:pPr>
        <w:spacing w:after="160"/>
      </w:pPr>
      <w:r>
        <w:rPr/>
      </w:r>
      <w:r>
        <w:rPr>
          <w:b/>
        </w:rPr>
        <w:t>Asunto:</w:t>
      </w:r>
      <w:r>
        <w:rPr/>
        <w:t xml:space="preserve"> Solicitud de información pública — Planos y especificaciones del Fraccionamiento Solé — El Toro</w:t>
      </w:r>
    </w:p>
    <w:p>
      <w:pPr>
        <w:spacing w:after="160"/>
      </w:pPr>
      <w:r>
        <w:rPr/>
        <w:t xml:space="preserve">Con fundamento en la </w:t>
      </w:r>
      <w:r>
        <w:rPr>
          <w:b/>
        </w:rPr>
        <w:t>Ley de Transparencia y Acceso a la Información Pública del Estado de San Luis Potosí</w:t>
      </w:r>
      <w:r>
        <w:rPr/>
        <w:t>, los condóminos del Fraccionamiento Solé — El Toro, representados por el Comité de Representantes, solicitamos acceso a los siguientes documentos del expediente de autorización del fraccionamiento:</w:t>
      </w:r>
    </w:p>
    <w:p>
      <w:pPr>
        <w:pStyle w:val="ListNumber"/>
      </w:pPr>
      <w:r>
        <w:rPr/>
      </w:r>
      <w:r>
        <w:rPr>
          <w:b/>
        </w:rPr>
        <w:t>Carta cromática</w:t>
      </w:r>
      <w:r>
        <w:rPr/>
        <w:t xml:space="preserve"> o especificación de colores de fachada aprobados para el fraccionamiento</w:t>
      </w:r>
    </w:p>
    <w:p>
      <w:pPr>
        <w:pStyle w:val="ListNumber"/>
      </w:pPr>
      <w:r>
        <w:rPr/>
      </w:r>
      <w:r>
        <w:rPr>
          <w:b/>
        </w:rPr>
        <w:t>Planos de fachadas tipo</w:t>
      </w:r>
      <w:r>
        <w:rPr/>
        <w:t xml:space="preserve"> del proyecto original con proporciones y elementos arquitectónicos autorizados</w:t>
      </w:r>
    </w:p>
    <w:p>
      <w:pPr>
        <w:pStyle w:val="ListNumber"/>
      </w:pPr>
      <w:r>
        <w:rPr/>
      </w:r>
      <w:r>
        <w:rPr>
          <w:b/>
        </w:rPr>
        <w:t>Especificación de materiales de acabados exteriores</w:t>
      </w:r>
      <w:r>
        <w:rPr/>
        <w:t xml:space="preserve"> incluida en el expediente de licencia de construcción</w:t>
      </w:r>
    </w:p>
    <w:p>
      <w:pPr>
        <w:spacing w:after="160"/>
      </w:pPr>
      <w:r>
        <w:rPr/>
      </w:r>
      <w:r>
        <w:rPr>
          <w:b/>
        </w:rPr>
        <w:t>Datos del fraccionamiento:</w:t>
      </w:r>
      <w:r>
        <w:rPr/>
      </w:r>
    </w:p>
    <w:tbl>
      <w:tblPr>
        <w:tblStyle w:val="TableGrid"/>
        <w:tblW w:type="auto" w:w="0"/>
        <w:tblLook w:firstColumn="1" w:firstRow="1" w:lastColumn="0" w:lastRow="0" w:noHBand="0" w:noVBand="1" w:val="04A0"/>
      </w:tblPr>
      <w:tblGrid>
        <w:gridCol w:w="4844"/>
        <w:gridCol w:w="4844"/>
      </w:tblGrid>
      <w:tr>
        <w:tc>
          <w:tcPr>
            <w:tcW w:type="dxa" w:w="4844"/>
          </w:tcPr>
          <w:p>
            <w:r>
              <w:rPr>
                <w:b/>
              </w:rPr>
              <w:t>Campo</w:t>
            </w:r>
          </w:p>
        </w:tc>
        <w:tc>
          <w:tcPr>
            <w:tcW w:type="dxa" w:w="4844"/>
          </w:tcPr>
          <w:p>
            <w:r>
              <w:rPr>
                <w:b/>
              </w:rPr>
              <w:t>Dato</w:t>
            </w:r>
          </w:p>
        </w:tc>
      </w:tr>
      <w:tr>
        <w:tc>
          <w:tcPr>
            <w:tcW w:type="dxa" w:w="4844"/>
          </w:tcPr>
          <w:p>
            <w:r>
              <w:rPr/>
              <w:t>Nombre</w:t>
            </w:r>
          </w:p>
        </w:tc>
        <w:tc>
          <w:tcPr>
            <w:tcW w:type="dxa" w:w="4844"/>
          </w:tcPr>
          <w:p>
            <w:r>
              <w:rPr/>
              <w:t>Fraccionamiento Solé — El Toro</w:t>
            </w:r>
          </w:p>
        </w:tc>
      </w:tr>
      <w:tr>
        <w:tc>
          <w:tcPr>
            <w:tcW w:type="dxa" w:w="4844"/>
          </w:tcPr>
          <w:p>
            <w:r>
              <w:rPr/>
              <w:t>Desarrollador</w:t>
            </w:r>
          </w:p>
        </w:tc>
        <w:tc>
          <w:tcPr>
            <w:tcW w:type="dxa" w:w="4844"/>
          </w:tcPr>
          <w:p>
            <w:r>
              <w:rPr/>
              <w:t>PROMOCIONES HABI, S.A. de C.V.</w:t>
            </w:r>
          </w:p>
        </w:tc>
      </w:tr>
      <w:tr>
        <w:tc>
          <w:tcPr>
            <w:tcW w:type="dxa" w:w="4844"/>
          </w:tcPr>
          <w:p>
            <w:r>
              <w:rPr/>
              <w:t>Ubicación</w:t>
            </w:r>
          </w:p>
        </w:tc>
        <w:tc>
          <w:tcPr>
            <w:tcW w:type="dxa" w:w="4844"/>
          </w:tcPr>
          <w:p>
            <w:r>
              <w:rPr/>
              <w:t>Soledad de Graciano Sánchez, S.L.P.</w:t>
            </w:r>
          </w:p>
        </w:tc>
      </w:tr>
      <w:tr>
        <w:tc>
          <w:tcPr>
            <w:tcW w:type="dxa" w:w="4844"/>
          </w:tcPr>
          <w:p>
            <w:r>
              <w:rPr/>
              <w:t>Uso de suelo</w:t>
            </w:r>
          </w:p>
        </w:tc>
        <w:tc>
          <w:tcPr>
            <w:tcW w:type="dxa" w:w="4844"/>
          </w:tcPr>
          <w:p>
            <w:r>
              <w:rPr/>
              <w:t>Habitacional privado / Régimen de condominio</w:t>
            </w:r>
          </w:p>
        </w:tc>
      </w:tr>
    </w:tbl>
    <w:p>
      <w:pPr>
        <w:spacing w:after="160"/>
      </w:pPr>
      <w:r>
        <w:rPr/>
        <w:t>La información solicitada será utilizada para la elaboración del Manual de Imagen Urbana del fraccionamiento, conforme a los derechos de los condóminos establecidos en la Ley sobre el Régimen de Propiedad en Condominio del Estado de San Luis Potosí.</w:t>
      </w:r>
    </w:p>
    <w:p>
      <w:pPr>
        <w:spacing w:after="160"/>
      </w:pPr>
      <w:r>
        <w:rPr/>
        <w:t xml:space="preserve">Conforme a la normativa de transparencia, solicitamos respuesta en un plazo no mayor a </w:t>
      </w:r>
      <w:r>
        <w:rPr>
          <w:b/>
        </w:rPr>
        <w:t>10 días hábiles</w:t>
      </w:r>
      <w:r>
        <w:rPr/>
        <w:t xml:space="preserve"> a partir de la recepción de esta solicitud.</w:t>
      </w:r>
    </w:p>
    <w:p>
      <w:pPr>
        <w:spacing w:after="160"/>
      </w:pPr>
      <w:r>
        <w:rPr/>
        <w:t>Atentamente,</w:t>
      </w:r>
    </w:p>
    <w:p>
      <w:pPr>
        <w:pBdr>
          <w:bottom w:val="single" w:sz="6" w:space="1" w:color="E2E8F0"/>
        </w:pBdr>
      </w:pPr>
    </w:p>
    <w:p>
      <w:pPr>
        <w:spacing w:after="160"/>
      </w:pPr>
      <w:r>
        <w:rPr/>
        <w:t>[Nombre del Presidente del Comité de Representantes]</w:t>
      </w:r>
      <w:r>
        <w:t xml:space="preserve"> </w:t>
      </w:r>
      <w:r>
        <w:rPr/>
        <w:t>Comité de Representantes</w:t>
      </w:r>
      <w:r>
        <w:t xml:space="preserve"> </w:t>
      </w:r>
      <w:r>
        <w:rPr/>
        <w:t>Fraccionamiento Solé — El Toro</w:t>
      </w:r>
    </w:p>
    <w:p>
      <w:pPr>
        <w:spacing w:after="160"/>
      </w:pPr>
      <w:r>
        <w:rPr/>
      </w:r>
      <w:r>
        <w:rPr>
          <w:b/>
        </w:rPr>
        <w:t>Correo de contacto:</w:t>
      </w:r>
      <w:r>
        <w:rPr/>
        <w:t xml:space="preserve"> ________________________________</w:t>
      </w:r>
    </w:p>
    <w:p>
      <w:pPr>
        <w:spacing w:after="160"/>
      </w:pPr>
      <w:r>
        <w:rPr/>
      </w:r>
      <w:r>
        <w:rPr>
          <w:b/>
        </w:rPr>
        <w:t>Teléfono:</w:t>
      </w:r>
      <w:r>
        <w:rPr/>
        <w:t xml:space="preserve"> ________________________________</w:t>
      </w:r>
    </w:p>
    <w:p>
      <w:pPr>
        <w:pBdr>
          <w:bottom w:val="single" w:sz="6" w:space="1" w:color="E2E8F0"/>
        </w:pBdr>
      </w:pPr>
    </w:p>
    <w:p>
      <w:pPr>
        <w:pStyle w:val="Heading2"/>
        <w:spacing w:before="360" w:after="180"/>
      </w:pPr>
      <w:r>
        <w:rPr>
          <w:b/>
          <w:color w:val="1B2C3E"/>
          <w:sz w:val="36"/>
        </w:rPr>
        <w:t>Seguimiento</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r>
              <w:rPr>
                <w:b/>
              </w:rPr>
              <w:t>Acción</w:t>
            </w:r>
          </w:p>
        </w:tc>
        <w:tc>
          <w:tcPr>
            <w:tcW w:type="dxa" w:w="2422"/>
          </w:tcPr>
          <w:p>
            <w:r>
              <w:rPr>
                <w:b/>
              </w:rPr>
              <w:t>Fecha</w:t>
            </w:r>
          </w:p>
        </w:tc>
        <w:tc>
          <w:tcPr>
            <w:tcW w:type="dxa" w:w="2422"/>
          </w:tcPr>
          <w:p>
            <w:r>
              <w:rPr>
                <w:b/>
              </w:rPr>
              <w:t>Responsable</w:t>
            </w:r>
          </w:p>
        </w:tc>
        <w:tc>
          <w:tcPr>
            <w:tcW w:type="dxa" w:w="2422"/>
          </w:tcPr>
          <w:p>
            <w:r>
              <w:rPr>
                <w:b/>
              </w:rPr>
              <w:t>Estado</w:t>
            </w:r>
          </w:p>
        </w:tc>
      </w:tr>
      <w:tr>
        <w:tc>
          <w:tcPr>
            <w:tcW w:type="dxa" w:w="2422"/>
          </w:tcPr>
          <w:p>
            <w:r>
              <w:rPr/>
              <w:t>Envío de carta a HABI</w:t>
            </w:r>
          </w:p>
        </w:tc>
        <w:tc>
          <w:tcPr>
            <w:tcW w:type="dxa" w:w="2422"/>
          </w:tcPr>
          <w:p/>
        </w:tc>
        <w:tc>
          <w:tcPr>
            <w:tcW w:type="dxa" w:w="2422"/>
          </w:tcPr>
          <w:p/>
        </w:tc>
        <w:tc>
          <w:tcPr>
            <w:tcW w:type="dxa" w:w="2422"/>
          </w:tcPr>
          <w:p>
            <w:r>
              <w:rPr/>
              <w:t>[ ] Enviada [ ] Pendiente</w:t>
            </w:r>
          </w:p>
        </w:tc>
      </w:tr>
      <w:tr>
        <w:tc>
          <w:tcPr>
            <w:tcW w:type="dxa" w:w="2422"/>
          </w:tcPr>
          <w:p>
            <w:r>
              <w:rPr/>
              <w:t>Acuse de recibo de HABI</w:t>
            </w:r>
          </w:p>
        </w:tc>
        <w:tc>
          <w:tcPr>
            <w:tcW w:type="dxa" w:w="2422"/>
          </w:tcPr>
          <w:p/>
        </w:tc>
        <w:tc>
          <w:tcPr>
            <w:tcW w:type="dxa" w:w="2422"/>
          </w:tcPr>
          <w:p/>
        </w:tc>
        <w:tc>
          <w:tcPr>
            <w:tcW w:type="dxa" w:w="2422"/>
          </w:tcPr>
          <w:p>
            <w:r>
              <w:rPr/>
              <w:t>[ ] Recibido [ ] Pendiente</w:t>
            </w:r>
          </w:p>
        </w:tc>
      </w:tr>
      <w:tr>
        <w:tc>
          <w:tcPr>
            <w:tcW w:type="dxa" w:w="2422"/>
          </w:tcPr>
          <w:p>
            <w:r>
              <w:rPr/>
              <w:t>Envío de solicitud al Municipio</w:t>
            </w:r>
          </w:p>
        </w:tc>
        <w:tc>
          <w:tcPr>
            <w:tcW w:type="dxa" w:w="2422"/>
          </w:tcPr>
          <w:p/>
        </w:tc>
        <w:tc>
          <w:tcPr>
            <w:tcW w:type="dxa" w:w="2422"/>
          </w:tcPr>
          <w:p/>
        </w:tc>
        <w:tc>
          <w:tcPr>
            <w:tcW w:type="dxa" w:w="2422"/>
          </w:tcPr>
          <w:p>
            <w:r>
              <w:rPr/>
              <w:t>[ ] Enviada [ ] Pendiente</w:t>
            </w:r>
          </w:p>
        </w:tc>
      </w:tr>
      <w:tr>
        <w:tc>
          <w:tcPr>
            <w:tcW w:type="dxa" w:w="2422"/>
          </w:tcPr>
          <w:p>
            <w:r>
              <w:rPr/>
              <w:t>Acuse de recibo del Municipio</w:t>
            </w:r>
          </w:p>
        </w:tc>
        <w:tc>
          <w:tcPr>
            <w:tcW w:type="dxa" w:w="2422"/>
          </w:tcPr>
          <w:p/>
        </w:tc>
        <w:tc>
          <w:tcPr>
            <w:tcW w:type="dxa" w:w="2422"/>
          </w:tcPr>
          <w:p/>
        </w:tc>
        <w:tc>
          <w:tcPr>
            <w:tcW w:type="dxa" w:w="2422"/>
          </w:tcPr>
          <w:p>
            <w:r>
              <w:rPr/>
              <w:t>[ ] Recibido [ ] Pendiente</w:t>
            </w:r>
          </w:p>
        </w:tc>
      </w:tr>
      <w:tr>
        <w:tc>
          <w:tcPr>
            <w:tcW w:type="dxa" w:w="2422"/>
          </w:tcPr>
          <w:p>
            <w:r>
              <w:rPr/>
              <w:t>Respuesta de HABI</w:t>
            </w:r>
          </w:p>
        </w:tc>
        <w:tc>
          <w:tcPr>
            <w:tcW w:type="dxa" w:w="2422"/>
          </w:tcPr>
          <w:p/>
        </w:tc>
        <w:tc>
          <w:tcPr>
            <w:tcW w:type="dxa" w:w="2422"/>
          </w:tcPr>
          <w:p/>
        </w:tc>
        <w:tc>
          <w:tcPr>
            <w:tcW w:type="dxa" w:w="2422"/>
          </w:tcPr>
          <w:p>
            <w:r>
              <w:rPr/>
              <w:t>[ ] Recibida [ ] Pendiente</w:t>
            </w:r>
          </w:p>
        </w:tc>
      </w:tr>
      <w:tr>
        <w:tc>
          <w:tcPr>
            <w:tcW w:type="dxa" w:w="2422"/>
          </w:tcPr>
          <w:p>
            <w:r>
              <w:rPr/>
              <w:t>Respuesta del Municipio (plazo: 10 días hábiles)</w:t>
            </w:r>
          </w:p>
        </w:tc>
        <w:tc>
          <w:tcPr>
            <w:tcW w:type="dxa" w:w="2422"/>
          </w:tcPr>
          <w:p/>
        </w:tc>
        <w:tc>
          <w:tcPr>
            <w:tcW w:type="dxa" w:w="2422"/>
          </w:tcPr>
          <w:p/>
        </w:tc>
        <w:tc>
          <w:tcPr>
            <w:tcW w:type="dxa" w:w="2422"/>
          </w:tcPr>
          <w:p>
            <w:r>
              <w:rPr/>
              <w:t>[ ] Recibida [ ] Pendiente</w:t>
            </w:r>
          </w:p>
        </w:tc>
      </w:tr>
      <w:tr>
        <w:tc>
          <w:tcPr>
            <w:tcW w:type="dxa" w:w="2422"/>
          </w:tcPr>
          <w:p>
            <w:r>
              <w:rPr/>
              <w:t>Cruce y verificación entre ambas fuentes</w:t>
            </w:r>
          </w:p>
        </w:tc>
        <w:tc>
          <w:tcPr>
            <w:tcW w:type="dxa" w:w="2422"/>
          </w:tcPr>
          <w:p/>
        </w:tc>
        <w:tc>
          <w:tcPr>
            <w:tcW w:type="dxa" w:w="2422"/>
          </w:tcPr>
          <w:p/>
        </w:tc>
        <w:tc>
          <w:tcPr>
            <w:tcW w:type="dxa" w:w="2422"/>
          </w:tcPr>
          <w:p>
            <w:r>
              <w:rPr/>
              <w:t>[ ] Completado [ ] Pendiente</w:t>
            </w:r>
          </w:p>
        </w:tc>
      </w:tr>
      <w:tr>
        <w:tc>
          <w:tcPr>
            <w:tcW w:type="dxa" w:w="2422"/>
          </w:tcPr>
          <w:p>
            <w:r>
              <w:rPr/>
              <w:t>Entrega al Grupo de Trabajo del Manual</w:t>
            </w:r>
          </w:p>
        </w:tc>
        <w:tc>
          <w:tcPr>
            <w:tcW w:type="dxa" w:w="2422"/>
          </w:tcPr>
          <w:p/>
        </w:tc>
        <w:tc>
          <w:tcPr>
            <w:tcW w:type="dxa" w:w="2422"/>
          </w:tcPr>
          <w:p/>
        </w:tc>
        <w:tc>
          <w:tcPr>
            <w:tcW w:type="dxa" w:w="2422"/>
          </w:tcPr>
          <w:p>
            <w:r>
              <w:rPr/>
              <w:t>[ ] Completado [ ] Pendiente</w:t>
            </w:r>
          </w:p>
        </w:tc>
      </w:tr>
    </w:tbl>
    <w:p>
      <w:pPr>
        <w:pBdr>
          <w:left w:val="single" w:sz="20" w:space="8" w:color="3182CE"/>
        </w:pBdr>
        <w:shd w:val="clear" w:color="auto" w:fill="EBF4FF"/>
      </w:pPr>
      <w:r>
        <w:rPr>
          <w:b/>
        </w:rPr>
        <w:t xml:space="preserve">  NOTA</w:t>
      </w:r>
    </w:p>
    <w:p>
      <w:pPr>
        <w:pBdr>
          <w:left w:val="single" w:sz="20" w:space="8" w:color="3182CE"/>
        </w:pBdr>
        <w:shd w:val="clear" w:color="auto" w:fill="EBF4FF"/>
      </w:pPr>
      <w:r>
        <w:rPr/>
        <w:t>Si HABI no responde en un plazo razonable, el expediente del Municipio sirve como fuente alternativa, aunque puede estar incompleto en formatos digitales obsoletos. En ese caso, el Grupo de Trabajo redactor del Manual complementará con levantamiento fotográfico del estado original de las fachadas actualmente sin modificar.</w:t>
      </w:r>
    </w:p>
    <w:p>
      <w:pPr>
        <w:pBdr>
          <w:bottom w:val="single" w:sz="6" w:space="1" w:color="E2E8F0"/>
        </w:pBdr>
      </w:pPr>
    </w:p>
    <w:p>
      <w:pPr>
        <w:pStyle w:val="Heading1"/>
        <w:pageBreakBefore/>
        <w:spacing w:before="480" w:after="240"/>
        <w:jc w:val="center"/>
      </w:pPr>
      <w:r>
        <w:rPr>
          <w:b/>
          <w:color w:val="1B2C3E"/>
          <w:sz w:val="48"/>
        </w:rPr>
        <w:t>Modificaciones al Catálogo de Multas en Materia de Obras e Imagen Urbana</w:t>
      </w:r>
    </w:p>
    <w:p>
      <w:pPr>
        <w:spacing w:after="160"/>
      </w:pPr>
      <w:r>
        <w:rPr>
          <w:i/>
        </w:rPr>
        <w:t>Para consideración y aprobación por la Asamblea General de Condóminos. Este documento no forma parte del Reglamento ni de los artículos propuestos A–E. Constituye una propuesta de actualización al Catálogo de Multas operado por la administración, para que sea coherente con el nuevo sistema de gobernanza arquitectónica si éste es aprobado.</w:t>
      </w:r>
    </w:p>
    <w:p>
      <w:pPr>
        <w:pBdr>
          <w:bottom w:val="single" w:sz="6" w:space="1" w:color="E2E8F0"/>
        </w:pBdr>
      </w:pPr>
    </w:p>
    <w:p>
      <w:pPr>
        <w:pStyle w:val="Heading2"/>
        <w:spacing w:before="360" w:after="180"/>
      </w:pPr>
      <w:r>
        <w:rPr>
          <w:b/>
          <w:color w:val="1B2C3E"/>
          <w:sz w:val="36"/>
        </w:rPr>
        <w:t>Por qué los montos están expresados en UMAs</w:t>
      </w:r>
    </w:p>
    <w:p>
      <w:pPr>
        <w:spacing w:after="160"/>
      </w:pPr>
      <w:r>
        <w:rPr/>
        <w:t xml:space="preserve">Todos los montos de multa de esta sección se expresan en </w:t>
      </w:r>
      <w:r>
        <w:rPr>
          <w:b/>
        </w:rPr>
        <w:t>UMAs (Unidades de Medida y Actualización)</w:t>
      </w:r>
      <w:r>
        <w:rPr/>
        <w:t>, no en pesos fijos.</w:t>
      </w:r>
    </w:p>
    <w:p>
      <w:pPr>
        <w:spacing w:after="160"/>
      </w:pPr>
      <w:r>
        <w:rPr/>
      </w:r>
      <w:r>
        <w:rPr>
          <w:b/>
        </w:rPr>
        <w:t>¿Qué es la UMA?</w:t>
      </w:r>
      <w:r>
        <w:rPr/>
        <w:t xml:space="preserve"> Es una unidad de referencia económica establecida por la Constitución mexicana (Art. 26 apartado B) y calculada anualmente por el INEGI conforme al Índice Nacional de Precios al Consumidor (INPC). Su valor en pesos se publica en el Diario Oficial de la Federación cada febrero y entra en vigor el 1 de febrero de ese año.</w:t>
      </w:r>
    </w:p>
    <w:p>
      <w:pPr>
        <w:spacing w:after="160"/>
      </w:pPr>
      <w:r>
        <w:rPr/>
      </w:r>
      <w:r>
        <w:rPr>
          <w:b/>
        </w:rPr>
        <w:t>¿Por qué se propone esta forma de expresar las multas?</w:t>
      </w:r>
      <w:r>
        <w:rPr/>
      </w:r>
    </w:p>
    <w:p>
      <w:pPr>
        <w:spacing w:after="160"/>
      </w:pPr>
      <w:r>
        <w:rPr/>
        <w:t>El Catálogo vigente usa montos fijos en pesos. Eso genera dos problemas prácticos: primero, con el paso de los años la inflación erosiona el valor real de las multas hasta volverlas simbólicas — una multa de $1,000 pesos que hoy representa cierto peso económico, en cinco años puede equivaler a menos de la mitad en términos de poder adquisitivo; segundo, cada vez que se quiere actualizar el monto hay que convocar a Asamblea o renegociar con la administradora, lo cual en la práctica rara vez ocurre.</w:t>
      </w:r>
    </w:p>
    <w:p>
      <w:pPr>
        <w:spacing w:after="160"/>
      </w:pPr>
      <w:r>
        <w:rPr/>
        <w:t>Al fijar los montos en UMAs:</w:t>
      </w:r>
    </w:p>
    <w:p>
      <w:pPr>
        <w:pStyle w:val="ListBullet"/>
      </w:pPr>
      <w:r>
        <w:rPr/>
      </w:r>
      <w:r>
        <w:rPr>
          <w:b/>
        </w:rPr>
        <w:t>Se actualizan automáticamente</w:t>
      </w:r>
      <w:r>
        <w:rPr/>
        <w:t xml:space="preserve"> cada febrero, al ritmo de la inflación oficial, sin necesidad de modificar este documento ni convocar a Asamblea.</w:t>
      </w:r>
    </w:p>
    <w:p>
      <w:pPr>
        <w:pStyle w:val="ListBullet"/>
      </w:pPr>
      <w:r>
        <w:rPr/>
      </w:r>
      <w:r>
        <w:rPr>
          <w:b/>
        </w:rPr>
        <w:t>Mantienen su peso disuasorio</w:t>
      </w:r>
      <w:r>
        <w:rPr/>
        <w:t xml:space="preserve"> a lo largo del tiempo — 27 UMAs hoy y 27 UMAs en cinco años representan el mismo esfuerzo económico relativo.</w:t>
      </w:r>
    </w:p>
    <w:p>
      <w:pPr>
        <w:pStyle w:val="ListBullet"/>
      </w:pPr>
      <w:r>
        <w:rPr/>
      </w:r>
      <w:r>
        <w:rPr>
          <w:b/>
        </w:rPr>
        <w:t>Son transparentes y verificables</w:t>
      </w:r>
      <w:r>
        <w:rPr/>
        <w:t>: cualquier condómino puede consultar el valor vigente en inegi.org.mx en cualquier momento.</w:t>
      </w:r>
    </w:p>
    <w:p>
      <w:pPr>
        <w:pStyle w:val="ListBullet"/>
      </w:pPr>
      <w:r>
        <w:rPr/>
      </w:r>
      <w:r>
        <w:rPr>
          <w:b/>
        </w:rPr>
        <w:t>Es la práctica estándar</w:t>
      </w:r>
      <w:r>
        <w:rPr/>
        <w:t xml:space="preserve"> en contratos, leyes y reglamentos públicos en México desde la reforma constitucional de 2016 que desligó la UMA del salario mínimo.</w:t>
      </w:r>
    </w:p>
    <w:p>
      <w:pPr>
        <w:spacing w:after="160"/>
      </w:pPr>
      <w:r>
        <w:rPr/>
      </w:r>
      <w:r>
        <w:rPr>
          <w:b/>
        </w:rPr>
        <w:t>Para convertir a pesos:</w:t>
      </w:r>
      <w:r>
        <w:rPr/>
        <w:t xml:space="preserve"> multiplica el número de UMAs por el valor diario vigente.</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r>
              <w:rPr>
                <w:b/>
              </w:rPr>
              <w:t>Período</w:t>
            </w:r>
          </w:p>
        </w:tc>
        <w:tc>
          <w:tcPr>
            <w:tcW w:type="dxa" w:w="2422"/>
          </w:tcPr>
          <w:p>
            <w:r>
              <w:rPr>
                <w:b/>
              </w:rPr>
              <w:t>Diario</w:t>
            </w:r>
          </w:p>
        </w:tc>
        <w:tc>
          <w:tcPr>
            <w:tcW w:type="dxa" w:w="2422"/>
          </w:tcPr>
          <w:p>
            <w:r>
              <w:rPr>
                <w:b/>
              </w:rPr>
              <w:t>Mensual</w:t>
            </w:r>
          </w:p>
        </w:tc>
        <w:tc>
          <w:tcPr>
            <w:tcW w:type="dxa" w:w="2422"/>
          </w:tcPr>
          <w:p>
            <w:r>
              <w:rPr>
                <w:b/>
              </w:rPr>
              <w:t>Anual</w:t>
            </w:r>
          </w:p>
        </w:tc>
      </w:tr>
      <w:tr>
        <w:tc>
          <w:tcPr>
            <w:tcW w:type="dxa" w:w="2422"/>
          </w:tcPr>
          <w:p>
            <w:r>
              <w:rPr/>
              <w:t>A partir del 1 de febrero de 2026</w:t>
            </w:r>
          </w:p>
        </w:tc>
        <w:tc>
          <w:tcPr>
            <w:tcW w:type="dxa" w:w="2422"/>
          </w:tcPr>
          <w:p>
            <w:r>
              <w:rPr/>
              <w:t>$117.31 MXN</w:t>
            </w:r>
          </w:p>
        </w:tc>
        <w:tc>
          <w:tcPr>
            <w:tcW w:type="dxa" w:w="2422"/>
          </w:tcPr>
          <w:p>
            <w:r>
              <w:rPr/>
              <w:t>$3,566.22 MXN</w:t>
            </w:r>
          </w:p>
        </w:tc>
        <w:tc>
          <w:tcPr>
            <w:tcW w:type="dxa" w:w="2422"/>
          </w:tcPr>
          <w:p>
            <w:r>
              <w:rPr/>
              <w:t>$42,794.64 MXN</w:t>
            </w:r>
          </w:p>
        </w:tc>
      </w:tr>
    </w:tbl>
    <w:p>
      <w:pPr>
        <w:spacing w:after="160"/>
      </w:pPr>
      <w:r>
        <w:rPr>
          <w:i/>
        </w:rPr>
        <w:t>Fuente: INEGI. El valor se actualiza cada año en febrero conforme al INPC. Consultar el valor vigente en inegi.org.mx.</w:t>
      </w:r>
    </w:p>
    <w:p>
      <w:pPr>
        <w:ind w:left="720"/>
        <w:pBdr>
          <w:left w:val="single" w:sz="12" w:space="8" w:color="E2E8F0"/>
        </w:pBdr>
      </w:pPr>
      <w:r>
        <w:rPr/>
      </w:r>
      <w:r>
        <w:rPr>
          <w:b/>
        </w:rPr>
        <w:t>Ejemplo de lectura:</w:t>
      </w:r>
      <w:r>
        <w:rPr/>
        <w:t xml:space="preserve"> Una multa de 27 UMAs equivale a $3,167.37 MXN con el valor 2026. Cuando el INEGI publique el valor 2027, el equivalente en pesos se actualizará automáticamente — sin que este documento cambie.</w:t>
      </w:r>
    </w:p>
    <w:p>
      <w:pPr>
        <w:pBdr>
          <w:bottom w:val="single" w:sz="6" w:space="1" w:color="E2E8F0"/>
        </w:pBdr>
      </w:pPr>
    </w:p>
    <w:p>
      <w:pPr>
        <w:pStyle w:val="Heading2"/>
        <w:spacing w:before="360" w:after="180"/>
      </w:pPr>
      <w:r>
        <w:rPr>
          <w:b/>
          <w:color w:val="1B2C3E"/>
          <w:sz w:val="36"/>
        </w:rPr>
        <w:t>Catálogo vigente — conceptos de construcción</w:t>
      </w:r>
    </w:p>
    <w:p>
      <w:pPr>
        <w:spacing w:after="160"/>
      </w:pPr>
      <w:r>
        <w:rPr/>
        <w:t>El Catálogo de Multas vigente contiene tres conceptos relacionados con construcción:</w:t>
      </w:r>
    </w:p>
    <w:p>
      <w:pPr>
        <w:pStyle w:val="ListBullet"/>
      </w:pPr>
      <w:r>
        <w:rPr/>
      </w:r>
      <w:r>
        <w:rPr>
          <w:b/>
        </w:rPr>
        <w:t>No. 8</w:t>
      </w:r>
      <w:r>
        <w:rPr/>
        <w:t xml:space="preserve"> — Iniciar proyecto de construcción-instalación sin autorización (1 llamado / $1,000 / $2,000 reincidencia)</w:t>
      </w:r>
    </w:p>
    <w:p>
      <w:pPr>
        <w:pStyle w:val="ListBullet"/>
      </w:pPr>
      <w:r>
        <w:rPr/>
      </w:r>
      <w:r>
        <w:rPr>
          <w:b/>
        </w:rPr>
        <w:t>No. 9</w:t>
      </w:r>
      <w:r>
        <w:rPr/>
        <w:t xml:space="preserve"> — Materiales de construcción en vialidades (1 llamado / $500 / $1,000 reincidencia)</w:t>
      </w:r>
    </w:p>
    <w:p>
      <w:pPr>
        <w:pStyle w:val="ListBullet"/>
      </w:pPr>
      <w:r>
        <w:rPr/>
      </w:r>
      <w:r>
        <w:rPr>
          <w:b/>
        </w:rPr>
        <w:t>No. 10</w:t>
      </w:r>
      <w:r>
        <w:rPr/>
        <w:t xml:space="preserve"> — Exceder horario permitido para construcciones o instalaciones (1 llamado / $1,000 / $2,000 reincidencia)</w:t>
      </w:r>
    </w:p>
    <w:p>
      <w:pPr>
        <w:spacing w:after="160"/>
      </w:pPr>
      <w:r>
        <w:rPr/>
        <w:t>La aprobación de los Artículos A–E introduce categorías de obra, requisitos distintos por tipo y nuevas figuras de incumplimiento que el Catálogo vigente no contempla. Esta sección propone las modificaciones necesarias.</w:t>
      </w:r>
    </w:p>
    <w:p>
      <w:pPr>
        <w:pBdr>
          <w:bottom w:val="single" w:sz="6" w:space="1" w:color="E2E8F0"/>
        </w:pBdr>
      </w:pPr>
    </w:p>
    <w:p>
      <w:pPr>
        <w:pStyle w:val="Heading2"/>
        <w:spacing w:before="360" w:after="180"/>
      </w:pPr>
      <w:r>
        <w:rPr>
          <w:b/>
          <w:color w:val="1B2C3E"/>
          <w:sz w:val="36"/>
        </w:rPr>
        <w:t>1. Modificación del concepto No. 8 — Inicio de obra sin autorización</w:t>
      </w:r>
    </w:p>
    <w:p>
      <w:pPr>
        <w:spacing w:after="160"/>
      </w:pPr>
      <w:r>
        <w:rPr/>
        <w:t>El concepto No. 8 genérico se sustituye por tres conceptos diferenciados conforme a la clasificación del Artículo C:</w:t>
      </w:r>
    </w:p>
    <w:tbl>
      <w:tblPr>
        <w:tblStyle w:val="TableGrid"/>
        <w:tblW w:type="auto" w:w="0"/>
        <w:tblLook w:firstColumn="1" w:firstRow="1" w:lastColumn="0" w:lastRow="0" w:noHBand="0" w:noVBand="1" w:val="04A0"/>
      </w:tblPr>
      <w:tblGrid>
        <w:gridCol w:w="1211"/>
        <w:gridCol w:w="1211"/>
        <w:gridCol w:w="1211"/>
        <w:gridCol w:w="1211"/>
        <w:gridCol w:w="1211"/>
        <w:gridCol w:w="1211"/>
        <w:gridCol w:w="1211"/>
        <w:gridCol w:w="1211"/>
      </w:tblGrid>
      <w:tr>
        <w:tc>
          <w:tcPr>
            <w:tcW w:type="dxa" w:w="1211"/>
          </w:tcPr>
          <w:p>
            <w:r>
              <w:rPr>
                <w:b/>
              </w:rPr>
              <w:t>No.</w:t>
            </w:r>
          </w:p>
        </w:tc>
        <w:tc>
          <w:tcPr>
            <w:tcW w:type="dxa" w:w="1211"/>
          </w:tcPr>
          <w:p>
            <w:r>
              <w:rPr>
                <w:b/>
              </w:rPr>
              <w:t>Motivo</w:t>
            </w:r>
          </w:p>
        </w:tc>
        <w:tc>
          <w:tcPr>
            <w:tcW w:type="dxa" w:w="1211"/>
          </w:tcPr>
          <w:p>
            <w:r>
              <w:rPr>
                <w:b/>
              </w:rPr>
              <w:t>Llamado / Multa directa</w:t>
            </w:r>
          </w:p>
        </w:tc>
        <w:tc>
          <w:tcPr>
            <w:tcW w:type="dxa" w:w="1211"/>
          </w:tcPr>
          <w:p>
            <w:r>
              <w:rPr>
                <w:b/>
              </w:rPr>
              <w:t>Monto (UMAs)</w:t>
            </w:r>
          </w:p>
        </w:tc>
        <w:tc>
          <w:tcPr>
            <w:tcW w:type="dxa" w:w="1211"/>
          </w:tcPr>
          <w:p>
            <w:r>
              <w:rPr>
                <w:b/>
              </w:rPr>
              <w:t>Equiv. aprox. 2025</w:t>
            </w:r>
          </w:p>
        </w:tc>
        <w:tc>
          <w:tcPr>
            <w:tcW w:type="dxa" w:w="1211"/>
          </w:tcPr>
          <w:p>
            <w:r>
              <w:rPr>
                <w:b/>
              </w:rPr>
              <w:t>Reincidencia (UMAs)</w:t>
            </w:r>
          </w:p>
        </w:tc>
        <w:tc>
          <w:tcPr>
            <w:tcW w:type="dxa" w:w="1211"/>
          </w:tcPr>
          <w:p>
            <w:r>
              <w:rPr>
                <w:b/>
              </w:rPr>
              <w:t>Equiv. aprox. 2025</w:t>
            </w:r>
          </w:p>
        </w:tc>
        <w:tc>
          <w:tcPr>
            <w:tcW w:type="dxa" w:w="1211"/>
          </w:tcPr>
          <w:p>
            <w:r>
              <w:rPr>
                <w:b/>
              </w:rPr>
              <w:t>Observación</w:t>
            </w:r>
          </w:p>
        </w:tc>
      </w:tr>
      <w:tr>
        <w:tc>
          <w:tcPr>
            <w:tcW w:type="dxa" w:w="1211"/>
          </w:tcPr>
          <w:p>
            <w:r>
              <w:rPr/>
              <w:t>8-A</w:t>
            </w:r>
          </w:p>
        </w:tc>
        <w:tc>
          <w:tcPr>
            <w:tcW w:type="dxa" w:w="1211"/>
          </w:tcPr>
          <w:p>
            <w:r>
              <w:rPr/>
              <w:t>Iniciar Obra Categoría I sin notificación de 48 h al Administrador (Formato C-1)</w:t>
            </w:r>
          </w:p>
        </w:tc>
        <w:tc>
          <w:tcPr>
            <w:tcW w:type="dxa" w:w="1211"/>
          </w:tcPr>
          <w:p>
            <w:r>
              <w:rPr/>
              <w:t>1 Llamado de atención</w:t>
            </w:r>
          </w:p>
        </w:tc>
        <w:tc>
          <w:tcPr>
            <w:tcW w:type="dxa" w:w="1211"/>
          </w:tcPr>
          <w:p>
            <w:r>
              <w:rPr/>
              <w:t>5 UMAs</w:t>
            </w:r>
          </w:p>
        </w:tc>
        <w:tc>
          <w:tcPr>
            <w:tcW w:type="dxa" w:w="1211"/>
          </w:tcPr>
          <w:p>
            <w:r>
              <w:rPr/>
              <w:t>~$566</w:t>
            </w:r>
          </w:p>
        </w:tc>
        <w:tc>
          <w:tcPr>
            <w:tcW w:type="dxa" w:w="1211"/>
          </w:tcPr>
          <w:p>
            <w:r>
              <w:rPr/>
              <w:t>9 UMAs</w:t>
            </w:r>
          </w:p>
        </w:tc>
        <w:tc>
          <w:tcPr>
            <w:tcW w:type="dxa" w:w="1211"/>
          </w:tcPr>
          <w:p>
            <w:r>
              <w:rPr/>
              <w:t>~$1,018</w:t>
            </w:r>
          </w:p>
        </w:tc>
        <w:tc>
          <w:tcPr>
            <w:tcW w:type="dxa" w:w="1211"/>
          </w:tcPr>
          <w:p>
            <w:r>
              <w:rPr/>
              <w:t>El Administrador otorga 24 h para regularizar la notificación antes de aplicar multa</w:t>
            </w:r>
          </w:p>
        </w:tc>
      </w:tr>
      <w:tr>
        <w:tc>
          <w:tcPr>
            <w:tcW w:type="dxa" w:w="1211"/>
          </w:tcPr>
          <w:p>
            <w:r>
              <w:rPr/>
              <w:t>8-B</w:t>
            </w:r>
          </w:p>
        </w:tc>
        <w:tc>
          <w:tcPr>
            <w:tcW w:type="dxa" w:w="1211"/>
          </w:tcPr>
          <w:p>
            <w:r>
              <w:rPr/>
              <w:t>Iniciar Obra Categoría II sin resolución favorable del Consejo de Diseño</w:t>
            </w:r>
          </w:p>
        </w:tc>
        <w:tc>
          <w:tcPr>
            <w:tcW w:type="dxa" w:w="1211"/>
          </w:tcPr>
          <w:p>
            <w:r>
              <w:rPr/>
              <w:t>Multa directa</w:t>
            </w:r>
          </w:p>
        </w:tc>
        <w:tc>
          <w:tcPr>
            <w:tcW w:type="dxa" w:w="1211"/>
          </w:tcPr>
          <w:p>
            <w:r>
              <w:rPr/>
              <w:t>27 UMAs</w:t>
            </w:r>
          </w:p>
        </w:tc>
        <w:tc>
          <w:tcPr>
            <w:tcW w:type="dxa" w:w="1211"/>
          </w:tcPr>
          <w:p>
            <w:r>
              <w:rPr/>
              <w:t>~$3,055</w:t>
            </w:r>
          </w:p>
        </w:tc>
        <w:tc>
          <w:tcPr>
            <w:tcW w:type="dxa" w:w="1211"/>
          </w:tcPr>
          <w:p>
            <w:r>
              <w:rPr/>
              <w:t>53 UMAs</w:t>
            </w:r>
          </w:p>
        </w:tc>
        <w:tc>
          <w:tcPr>
            <w:tcW w:type="dxa" w:w="1211"/>
          </w:tcPr>
          <w:p>
            <w:r>
              <w:rPr/>
              <w:t>~$5,996</w:t>
            </w:r>
          </w:p>
        </w:tc>
        <w:tc>
          <w:tcPr>
            <w:tcW w:type="dxa" w:w="1211"/>
          </w:tcPr>
          <w:p>
            <w:r>
              <w:rPr/>
              <w:t>Suspensión de obra inmediata; la multa es independiente de la cuota de revisión y del depósito en garantía del Artículo C</w:t>
            </w:r>
          </w:p>
        </w:tc>
      </w:tr>
      <w:tr>
        <w:tc>
          <w:tcPr>
            <w:tcW w:type="dxa" w:w="1211"/>
          </w:tcPr>
          <w:p>
            <w:r>
              <w:rPr/>
              <w:t>8-C</w:t>
            </w:r>
          </w:p>
        </w:tc>
        <w:tc>
          <w:tcPr>
            <w:tcW w:type="dxa" w:w="1211"/>
          </w:tcPr>
          <w:p>
            <w:r>
              <w:rPr/>
              <w:t>Iniciar Obra Categoría III sin autorización previa del Consejo de Diseño, sin DRO o sin permisos municipales</w:t>
            </w:r>
          </w:p>
        </w:tc>
        <w:tc>
          <w:tcPr>
            <w:tcW w:type="dxa" w:w="1211"/>
          </w:tcPr>
          <w:p>
            <w:r>
              <w:rPr/>
              <w:t>Multa directa</w:t>
            </w:r>
          </w:p>
        </w:tc>
        <w:tc>
          <w:tcPr>
            <w:tcW w:type="dxa" w:w="1211"/>
          </w:tcPr>
          <w:p>
            <w:r>
              <w:rPr/>
              <w:t>88 UMAs</w:t>
            </w:r>
          </w:p>
        </w:tc>
        <w:tc>
          <w:tcPr>
            <w:tcW w:type="dxa" w:w="1211"/>
          </w:tcPr>
          <w:p>
            <w:r>
              <w:rPr/>
              <w:t>~$9,956</w:t>
            </w:r>
          </w:p>
        </w:tc>
        <w:tc>
          <w:tcPr>
            <w:tcW w:type="dxa" w:w="1211"/>
          </w:tcPr>
          <w:p>
            <w:r>
              <w:rPr/>
              <w:t>133 UMAs</w:t>
            </w:r>
          </w:p>
        </w:tc>
        <w:tc>
          <w:tcPr>
            <w:tcW w:type="dxa" w:w="1211"/>
          </w:tcPr>
          <w:p>
            <w:r>
              <w:rPr/>
              <w:t>~$15,048</w:t>
            </w:r>
          </w:p>
        </w:tc>
        <w:tc>
          <w:tcPr>
            <w:tcW w:type="dxa" w:w="1211"/>
          </w:tcPr>
          <w:p>
            <w:r>
              <w:rPr/>
              <w:t>Suspensión de obra inmediata; la multa no sustituye el depósito en garantía ni las responsabilidades ante la Dirección de Desarrollo Urbano</w:t>
            </w:r>
          </w:p>
        </w:tc>
      </w:tr>
    </w:tbl>
    <w:p>
      <w:pPr>
        <w:ind w:left="720"/>
        <w:pBdr>
          <w:left w:val="single" w:sz="12" w:space="8" w:color="E2E8F0"/>
        </w:pBdr>
      </w:pPr>
      <w:r>
        <w:rPr/>
      </w:r>
      <w:r>
        <w:rPr>
          <w:b/>
        </w:rPr>
        <w:t>Por qué montos distintos:</w:t>
      </w:r>
      <w:r>
        <w:rPr/>
        <w:t xml:space="preserve"> Una multa fija de $1,000 no disuade obras mayores cuyo costo puede superar los $200,000 MXN. Los nuevos montos en UMAs son proporcionales al depósito en garantía de cada categoría, de modo que evadir el proceso nunca resulte más económico que seguirlo. Al expresarse en UMAs se actualizan automáticamente con la inflación sin necesitar reforma al Catálogo.</w:t>
      </w:r>
    </w:p>
    <w:p>
      <w:pPr>
        <w:pBdr>
          <w:bottom w:val="single" w:sz="6" w:space="1" w:color="E2E8F0"/>
        </w:pBdr>
      </w:pPr>
    </w:p>
    <w:p>
      <w:pPr>
        <w:pStyle w:val="Heading2"/>
        <w:spacing w:before="360" w:after="180"/>
      </w:pPr>
      <w:r>
        <w:rPr>
          <w:b/>
          <w:color w:val="1B2C3E"/>
          <w:sz w:val="36"/>
        </w:rPr>
        <w:t>2. Permanencia de los conceptos No. 9 y No. 10</w:t>
      </w:r>
    </w:p>
    <w:p>
      <w:pPr>
        <w:spacing w:after="160"/>
      </w:pPr>
      <w:r>
        <w:rPr/>
        <w:t xml:space="preserve">Los conceptos </w:t>
      </w:r>
      <w:r>
        <w:rPr>
          <w:b/>
        </w:rPr>
        <w:t>No. 9</w:t>
      </w:r>
      <w:r>
        <w:rPr/>
        <w:t xml:space="preserve"> (materiales en vialidades) y </w:t>
      </w:r>
      <w:r>
        <w:rPr>
          <w:b/>
        </w:rPr>
        <w:t>No. 10</w:t>
      </w:r>
      <w:r>
        <w:rPr/>
        <w:t xml:space="preserve"> (exceder horario de construcción) se mantienen en estructura. Se propone expresar sus montos también en UMAs para consistencia:</w:t>
      </w:r>
    </w:p>
    <w:tbl>
      <w:tblPr>
        <w:tblStyle w:val="TableGrid"/>
        <w:tblW w:type="auto" w:w="0"/>
        <w:tblLook w:firstColumn="1" w:firstRow="1" w:lastColumn="0" w:lastRow="0" w:noHBand="0" w:noVBand="1" w:val="04A0"/>
      </w:tblPr>
      <w:tblGrid>
        <w:gridCol w:w="1211"/>
        <w:gridCol w:w="1211"/>
        <w:gridCol w:w="1211"/>
        <w:gridCol w:w="1211"/>
        <w:gridCol w:w="1211"/>
        <w:gridCol w:w="1211"/>
        <w:gridCol w:w="1211"/>
        <w:gridCol w:w="1211"/>
      </w:tblGrid>
      <w:tr>
        <w:tc>
          <w:tcPr>
            <w:tcW w:type="dxa" w:w="1211"/>
          </w:tcPr>
          <w:p>
            <w:r>
              <w:rPr>
                <w:b/>
              </w:rPr>
              <w:t>No.</w:t>
            </w:r>
          </w:p>
        </w:tc>
        <w:tc>
          <w:tcPr>
            <w:tcW w:type="dxa" w:w="1211"/>
          </w:tcPr>
          <w:p>
            <w:r>
              <w:rPr>
                <w:b/>
              </w:rPr>
              <w:t>Motivo</w:t>
            </w:r>
          </w:p>
        </w:tc>
        <w:tc>
          <w:tcPr>
            <w:tcW w:type="dxa" w:w="1211"/>
          </w:tcPr>
          <w:p>
            <w:r>
              <w:rPr>
                <w:b/>
              </w:rPr>
              <w:t>Llamado / Multa directa</w:t>
            </w:r>
          </w:p>
        </w:tc>
        <w:tc>
          <w:tcPr>
            <w:tcW w:type="dxa" w:w="1211"/>
          </w:tcPr>
          <w:p>
            <w:r>
              <w:rPr>
                <w:b/>
              </w:rPr>
              <w:t>Monto (UMAs)</w:t>
            </w:r>
          </w:p>
        </w:tc>
        <w:tc>
          <w:tcPr>
            <w:tcW w:type="dxa" w:w="1211"/>
          </w:tcPr>
          <w:p>
            <w:r>
              <w:rPr>
                <w:b/>
              </w:rPr>
              <w:t>Equiv. aprox. 2025</w:t>
            </w:r>
          </w:p>
        </w:tc>
        <w:tc>
          <w:tcPr>
            <w:tcW w:type="dxa" w:w="1211"/>
          </w:tcPr>
          <w:p>
            <w:r>
              <w:rPr>
                <w:b/>
              </w:rPr>
              <w:t>Reincidencia (UMAs)</w:t>
            </w:r>
          </w:p>
        </w:tc>
        <w:tc>
          <w:tcPr>
            <w:tcW w:type="dxa" w:w="1211"/>
          </w:tcPr>
          <w:p>
            <w:r>
              <w:rPr>
                <w:b/>
              </w:rPr>
              <w:t>Equiv. aprox. 2025</w:t>
            </w:r>
          </w:p>
        </w:tc>
        <w:tc>
          <w:tcPr>
            <w:tcW w:type="dxa" w:w="1211"/>
          </w:tcPr>
          <w:p>
            <w:r>
              <w:rPr>
                <w:b/>
              </w:rPr>
              <w:t>Observación</w:t>
            </w:r>
          </w:p>
        </w:tc>
      </w:tr>
      <w:tr>
        <w:tc>
          <w:tcPr>
            <w:tcW w:type="dxa" w:w="1211"/>
          </w:tcPr>
          <w:p>
            <w:r>
              <w:rPr/>
              <w:t>9</w:t>
            </w:r>
          </w:p>
        </w:tc>
        <w:tc>
          <w:tcPr>
            <w:tcW w:type="dxa" w:w="1211"/>
          </w:tcPr>
          <w:p>
            <w:r>
              <w:rPr/>
              <w:t>Materiales de construcción en vialidades</w:t>
            </w:r>
          </w:p>
        </w:tc>
        <w:tc>
          <w:tcPr>
            <w:tcW w:type="dxa" w:w="1211"/>
          </w:tcPr>
          <w:p>
            <w:r>
              <w:rPr/>
              <w:t>1 Llamado de atención</w:t>
            </w:r>
          </w:p>
        </w:tc>
        <w:tc>
          <w:tcPr>
            <w:tcW w:type="dxa" w:w="1211"/>
          </w:tcPr>
          <w:p>
            <w:r>
              <w:rPr/>
              <w:t>5 UMAs</w:t>
            </w:r>
          </w:p>
        </w:tc>
        <w:tc>
          <w:tcPr>
            <w:tcW w:type="dxa" w:w="1211"/>
          </w:tcPr>
          <w:p>
            <w:r>
              <w:rPr/>
              <w:t>~$566</w:t>
            </w:r>
          </w:p>
        </w:tc>
        <w:tc>
          <w:tcPr>
            <w:tcW w:type="dxa" w:w="1211"/>
          </w:tcPr>
          <w:p>
            <w:r>
              <w:rPr/>
              <w:t>9 UMAs</w:t>
            </w:r>
          </w:p>
        </w:tc>
        <w:tc>
          <w:tcPr>
            <w:tcW w:type="dxa" w:w="1211"/>
          </w:tcPr>
          <w:p>
            <w:r>
              <w:rPr/>
              <w:t>~$1,018</w:t>
            </w:r>
          </w:p>
        </w:tc>
        <w:tc>
          <w:tcPr>
            <w:tcW w:type="dxa" w:w="1211"/>
          </w:tcPr>
          <w:p>
            <w:r>
              <w:rPr/>
              <w:t>Suspensión de obra en caso de reincidir</w:t>
            </w:r>
          </w:p>
        </w:tc>
      </w:tr>
      <w:tr>
        <w:tc>
          <w:tcPr>
            <w:tcW w:type="dxa" w:w="1211"/>
          </w:tcPr>
          <w:p>
            <w:r>
              <w:rPr/>
              <w:t>10</w:t>
            </w:r>
          </w:p>
        </w:tc>
        <w:tc>
          <w:tcPr>
            <w:tcW w:type="dxa" w:w="1211"/>
          </w:tcPr>
          <w:p>
            <w:r>
              <w:rPr/>
              <w:t>Exceder el horario permitido para construcciones o instalaciones</w:t>
            </w:r>
          </w:p>
        </w:tc>
        <w:tc>
          <w:tcPr>
            <w:tcW w:type="dxa" w:w="1211"/>
          </w:tcPr>
          <w:p>
            <w:r>
              <w:rPr/>
              <w:t>1 Llamado de atención</w:t>
            </w:r>
          </w:p>
        </w:tc>
        <w:tc>
          <w:tcPr>
            <w:tcW w:type="dxa" w:w="1211"/>
          </w:tcPr>
          <w:p>
            <w:r>
              <w:rPr/>
              <w:t>9 UMAs</w:t>
            </w:r>
          </w:p>
        </w:tc>
        <w:tc>
          <w:tcPr>
            <w:tcW w:type="dxa" w:w="1211"/>
          </w:tcPr>
          <w:p>
            <w:r>
              <w:rPr/>
              <w:t>~$1,018</w:t>
            </w:r>
          </w:p>
        </w:tc>
        <w:tc>
          <w:tcPr>
            <w:tcW w:type="dxa" w:w="1211"/>
          </w:tcPr>
          <w:p>
            <w:r>
              <w:rPr/>
              <w:t>18 UMAs</w:t>
            </w:r>
          </w:p>
        </w:tc>
        <w:tc>
          <w:tcPr>
            <w:tcW w:type="dxa" w:w="1211"/>
          </w:tcPr>
          <w:p>
            <w:r>
              <w:rPr/>
              <w:t>~$2,037</w:t>
            </w:r>
          </w:p>
        </w:tc>
        <w:tc>
          <w:tcPr>
            <w:tcW w:type="dxa" w:w="1211"/>
          </w:tcPr>
          <w:p>
            <w:r>
              <w:rPr/>
              <w:t>Suspensión de obra en caso de reincidir</w:t>
            </w:r>
          </w:p>
        </w:tc>
      </w:tr>
    </w:tbl>
    <w:p>
      <w:pPr>
        <w:spacing w:after="160"/>
      </w:pPr>
      <w:r>
        <w:rPr/>
        <w:t xml:space="preserve">Se aclara expresamente que ambos conceptos aplican </w:t>
      </w:r>
      <w:r>
        <w:rPr>
          <w:b/>
        </w:rPr>
        <w:t>independientemente de si la obra cuenta o no con autorización</w:t>
      </w:r>
      <w:r>
        <w:rPr/>
        <w:t xml:space="preserve"> del Consejo de Diseño — una obra autorizada también incurre en estas multas si viola las condiciones operativas.</w:t>
      </w:r>
    </w:p>
    <w:p>
      <w:pPr>
        <w:pBdr>
          <w:bottom w:val="single" w:sz="6" w:space="1" w:color="E2E8F0"/>
        </w:pBdr>
      </w:pPr>
    </w:p>
    <w:p>
      <w:pPr>
        <w:pStyle w:val="Heading2"/>
        <w:spacing w:before="360" w:after="180"/>
      </w:pPr>
      <w:r>
        <w:rPr>
          <w:b/>
          <w:color w:val="1B2C3E"/>
          <w:sz w:val="36"/>
        </w:rPr>
        <w:t>3. Nuevos conceptos derivados del sistema de gobernanza</w:t>
      </w:r>
    </w:p>
    <w:p>
      <w:pPr>
        <w:spacing w:after="160"/>
      </w:pPr>
      <w:r>
        <w:rPr/>
        <w:t>Se propone agregar al Catálogo los siguientes conceptos:</w:t>
      </w:r>
    </w:p>
    <w:tbl>
      <w:tblPr>
        <w:tblStyle w:val="TableGrid"/>
        <w:tblW w:type="auto" w:w="0"/>
        <w:tblLook w:firstColumn="1" w:firstRow="1" w:lastColumn="0" w:lastRow="0" w:noHBand="0" w:noVBand="1" w:val="04A0"/>
      </w:tblPr>
      <w:tblGrid>
        <w:gridCol w:w="1211"/>
        <w:gridCol w:w="1211"/>
        <w:gridCol w:w="1211"/>
        <w:gridCol w:w="1211"/>
        <w:gridCol w:w="1211"/>
        <w:gridCol w:w="1211"/>
        <w:gridCol w:w="1211"/>
        <w:gridCol w:w="1211"/>
      </w:tblGrid>
      <w:tr>
        <w:tc>
          <w:tcPr>
            <w:tcW w:type="dxa" w:w="1211"/>
          </w:tcPr>
          <w:p>
            <w:r>
              <w:rPr>
                <w:b/>
              </w:rPr>
              <w:t>No.</w:t>
            </w:r>
          </w:p>
        </w:tc>
        <w:tc>
          <w:tcPr>
            <w:tcW w:type="dxa" w:w="1211"/>
          </w:tcPr>
          <w:p>
            <w:r>
              <w:rPr>
                <w:b/>
              </w:rPr>
              <w:t>Motivo</w:t>
            </w:r>
          </w:p>
        </w:tc>
        <w:tc>
          <w:tcPr>
            <w:tcW w:type="dxa" w:w="1211"/>
          </w:tcPr>
          <w:p>
            <w:r>
              <w:rPr>
                <w:b/>
              </w:rPr>
              <w:t>Llamado / Multa directa</w:t>
            </w:r>
          </w:p>
        </w:tc>
        <w:tc>
          <w:tcPr>
            <w:tcW w:type="dxa" w:w="1211"/>
          </w:tcPr>
          <w:p>
            <w:r>
              <w:rPr>
                <w:b/>
              </w:rPr>
              <w:t>Monto (UMAs)</w:t>
            </w:r>
          </w:p>
        </w:tc>
        <w:tc>
          <w:tcPr>
            <w:tcW w:type="dxa" w:w="1211"/>
          </w:tcPr>
          <w:p>
            <w:r>
              <w:rPr>
                <w:b/>
              </w:rPr>
              <w:t>Equiv. aprox. 2025</w:t>
            </w:r>
          </w:p>
        </w:tc>
        <w:tc>
          <w:tcPr>
            <w:tcW w:type="dxa" w:w="1211"/>
          </w:tcPr>
          <w:p>
            <w:r>
              <w:rPr>
                <w:b/>
              </w:rPr>
              <w:t>Reincidencia (UMAs)</w:t>
            </w:r>
          </w:p>
        </w:tc>
        <w:tc>
          <w:tcPr>
            <w:tcW w:type="dxa" w:w="1211"/>
          </w:tcPr>
          <w:p>
            <w:r>
              <w:rPr>
                <w:b/>
              </w:rPr>
              <w:t>Equiv. aprox. 2025</w:t>
            </w:r>
          </w:p>
        </w:tc>
        <w:tc>
          <w:tcPr>
            <w:tcW w:type="dxa" w:w="1211"/>
          </w:tcPr>
          <w:p>
            <w:r>
              <w:rPr>
                <w:b/>
              </w:rPr>
              <w:t>Observación</w:t>
            </w:r>
          </w:p>
        </w:tc>
      </w:tr>
      <w:tr>
        <w:tc>
          <w:tcPr>
            <w:tcW w:type="dxa" w:w="1211"/>
          </w:tcPr>
          <w:p>
            <w:r>
              <w:rPr/>
              <w:t>17</w:t>
            </w:r>
          </w:p>
        </w:tc>
        <w:tc>
          <w:tcPr>
            <w:tcW w:type="dxa" w:w="1211"/>
          </w:tcPr>
          <w:p>
            <w:r>
              <w:rPr/>
              <w:t>Incumplir condiciones de obra impuestas por el Consejo de Diseño en su resolución escrita</w:t>
            </w:r>
          </w:p>
        </w:tc>
        <w:tc>
          <w:tcPr>
            <w:tcW w:type="dxa" w:w="1211"/>
          </w:tcPr>
          <w:p>
            <w:r>
              <w:rPr/>
              <w:t>1 Llamado de atención</w:t>
            </w:r>
          </w:p>
        </w:tc>
        <w:tc>
          <w:tcPr>
            <w:tcW w:type="dxa" w:w="1211"/>
          </w:tcPr>
          <w:p>
            <w:r>
              <w:rPr/>
              <w:t>13 UMAs</w:t>
            </w:r>
          </w:p>
        </w:tc>
        <w:tc>
          <w:tcPr>
            <w:tcW w:type="dxa" w:w="1211"/>
          </w:tcPr>
          <w:p>
            <w:r>
              <w:rPr/>
              <w:t>~$1,471</w:t>
            </w:r>
          </w:p>
        </w:tc>
        <w:tc>
          <w:tcPr>
            <w:tcW w:type="dxa" w:w="1211"/>
          </w:tcPr>
          <w:p>
            <w:r>
              <w:rPr/>
              <w:t>27 UMAs</w:t>
            </w:r>
          </w:p>
        </w:tc>
        <w:tc>
          <w:tcPr>
            <w:tcW w:type="dxa" w:w="1211"/>
          </w:tcPr>
          <w:p>
            <w:r>
              <w:rPr/>
              <w:t>~$3,055</w:t>
            </w:r>
          </w:p>
        </w:tc>
        <w:tc>
          <w:tcPr>
            <w:tcW w:type="dxa" w:w="1211"/>
          </w:tcPr>
          <w:p>
            <w:r>
              <w:rPr/>
              <w:t>El Consejo puede ordenar suspensión de obra hasta verificar el cumplimiento</w:t>
            </w:r>
          </w:p>
        </w:tc>
      </w:tr>
      <w:tr>
        <w:tc>
          <w:tcPr>
            <w:tcW w:type="dxa" w:w="1211"/>
          </w:tcPr>
          <w:p>
            <w:r>
              <w:rPr/>
              <w:t>18</w:t>
            </w:r>
          </w:p>
        </w:tc>
        <w:tc>
          <w:tcPr>
            <w:tcW w:type="dxa" w:w="1211"/>
          </w:tcPr>
          <w:p>
            <w:r>
              <w:rPr/>
              <w:t>No regularizar obra no autorizada dentro del plazo de 15 días hábiles tras notificación, fuera del período de amnistía</w:t>
            </w:r>
          </w:p>
        </w:tc>
        <w:tc>
          <w:tcPr>
            <w:tcW w:type="dxa" w:w="1211"/>
          </w:tcPr>
          <w:p>
            <w:r>
              <w:rPr/>
              <w:t>Multa directa</w:t>
            </w:r>
          </w:p>
        </w:tc>
        <w:tc>
          <w:tcPr>
            <w:tcW w:type="dxa" w:w="1211"/>
          </w:tcPr>
          <w:p>
            <w:r>
              <w:rPr/>
              <w:t>Doble del depósito en garantía de la categoría correspondiente</w:t>
            </w:r>
          </w:p>
        </w:tc>
        <w:tc>
          <w:tcPr>
            <w:tcW w:type="dxa" w:w="1211"/>
          </w:tcPr>
          <w:p>
            <w:r>
              <w:rPr/>
              <w:t>—</w:t>
            </w:r>
          </w:p>
        </w:tc>
        <w:tc>
          <w:tcPr>
            <w:tcW w:type="dxa" w:w="1211"/>
          </w:tcPr>
          <w:p>
            <w:r>
              <w:rPr/>
              <w:t>—</w:t>
            </w:r>
          </w:p>
        </w:tc>
        <w:tc>
          <w:tcPr>
            <w:tcW w:type="dxa" w:w="1211"/>
          </w:tcPr>
          <w:p>
            <w:r>
              <w:rPr/>
              <w:t>—</w:t>
            </w:r>
          </w:p>
        </w:tc>
        <w:tc>
          <w:tcPr>
            <w:tcW w:type="dxa" w:w="1211"/>
          </w:tcPr>
          <w:p>
            <w:r>
              <w:rPr/>
              <w:t>Acumulable por cada período vencido; el Comité de Representantes puede contratar la restitución con cargo al infractor</w:t>
            </w:r>
          </w:p>
        </w:tc>
      </w:tr>
      <w:tr>
        <w:tc>
          <w:tcPr>
            <w:tcW w:type="dxa" w:w="1211"/>
          </w:tcPr>
          <w:p>
            <w:r>
              <w:rPr/>
              <w:t>19</w:t>
            </w:r>
          </w:p>
        </w:tc>
        <w:tc>
          <w:tcPr>
            <w:tcW w:type="dxa" w:w="1211"/>
          </w:tcPr>
          <w:p>
            <w:r>
              <w:rPr/>
              <w:t>Obstaculizar o impedir visitas de supervisión del Consejo de Diseño durante obra autorizada de Categoría III</w:t>
            </w:r>
          </w:p>
        </w:tc>
        <w:tc>
          <w:tcPr>
            <w:tcW w:type="dxa" w:w="1211"/>
          </w:tcPr>
          <w:p>
            <w:r>
              <w:rPr/>
              <w:t>Multa directa</w:t>
            </w:r>
          </w:p>
        </w:tc>
        <w:tc>
          <w:tcPr>
            <w:tcW w:type="dxa" w:w="1211"/>
          </w:tcPr>
          <w:p>
            <w:r>
              <w:rPr/>
              <w:t>18 UMAs</w:t>
            </w:r>
          </w:p>
        </w:tc>
        <w:tc>
          <w:tcPr>
            <w:tcW w:type="dxa" w:w="1211"/>
          </w:tcPr>
          <w:p>
            <w:r>
              <w:rPr/>
              <w:t>~$2,037</w:t>
            </w:r>
          </w:p>
        </w:tc>
        <w:tc>
          <w:tcPr>
            <w:tcW w:type="dxa" w:w="1211"/>
          </w:tcPr>
          <w:p>
            <w:r>
              <w:rPr/>
              <w:t>36 UMAs</w:t>
            </w:r>
          </w:p>
        </w:tc>
        <w:tc>
          <w:tcPr>
            <w:tcW w:type="dxa" w:w="1211"/>
          </w:tcPr>
          <w:p>
            <w:r>
              <w:rPr/>
              <w:t>~$4,073</w:t>
            </w:r>
          </w:p>
        </w:tc>
        <w:tc>
          <w:tcPr>
            <w:tcW w:type="dxa" w:w="1211"/>
          </w:tcPr>
          <w:p>
            <w:r>
              <w:rPr/>
              <w:t>Suspensión de obra hasta que se permita la visita</w:t>
            </w:r>
          </w:p>
        </w:tc>
      </w:tr>
      <w:tr>
        <w:tc>
          <w:tcPr>
            <w:tcW w:type="dxa" w:w="1211"/>
          </w:tcPr>
          <w:p>
            <w:r>
              <w:rPr/>
              <w:t>20</w:t>
            </w:r>
          </w:p>
        </w:tc>
        <w:tc>
          <w:tcPr>
            <w:tcW w:type="dxa" w:w="1211"/>
          </w:tcPr>
          <w:p>
            <w:r>
              <w:rPr/>
              <w:t>Proporcionar información falsa o documentación apócrifa en solicitudes de autorización de obra</w:t>
            </w:r>
          </w:p>
        </w:tc>
        <w:tc>
          <w:tcPr>
            <w:tcW w:type="dxa" w:w="1211"/>
          </w:tcPr>
          <w:p>
            <w:r>
              <w:rPr/>
              <w:t>Multa directa</w:t>
            </w:r>
          </w:p>
        </w:tc>
        <w:tc>
          <w:tcPr>
            <w:tcW w:type="dxa" w:w="1211"/>
          </w:tcPr>
          <w:p>
            <w:r>
              <w:rPr/>
              <w:t>45 UMAs</w:t>
            </w:r>
          </w:p>
        </w:tc>
        <w:tc>
          <w:tcPr>
            <w:tcW w:type="dxa" w:w="1211"/>
          </w:tcPr>
          <w:p>
            <w:r>
              <w:rPr/>
              <w:t>~$5,091</w:t>
            </w:r>
          </w:p>
        </w:tc>
        <w:tc>
          <w:tcPr>
            <w:tcW w:type="dxa" w:w="1211"/>
          </w:tcPr>
          <w:p>
            <w:r>
              <w:rPr/>
              <w:t>Revocación de la autorización</w:t>
            </w:r>
          </w:p>
        </w:tc>
        <w:tc>
          <w:tcPr>
            <w:tcW w:type="dxa" w:w="1211"/>
          </w:tcPr>
          <w:p>
            <w:r>
              <w:rPr/>
              <w:t>—</w:t>
            </w:r>
          </w:p>
        </w:tc>
        <w:tc>
          <w:tcPr>
            <w:tcW w:type="dxa" w:w="1211"/>
          </w:tcPr>
          <w:p>
            <w:r>
              <w:rPr/>
              <w:t>Se da vista al Ministerio Público si la conducta constituye delito</w:t>
            </w:r>
          </w:p>
        </w:tc>
      </w:tr>
    </w:tbl>
    <w:p>
      <w:pPr>
        <w:pBdr>
          <w:bottom w:val="single" w:sz="6" w:space="1" w:color="E2E8F0"/>
        </w:pBdr>
      </w:pPr>
    </w:p>
    <w:p>
      <w:pPr>
        <w:pStyle w:val="Heading2"/>
        <w:spacing w:before="360" w:after="180"/>
      </w:pPr>
      <w:r>
        <w:rPr>
          <w:b/>
          <w:color w:val="1B2C3E"/>
          <w:sz w:val="36"/>
        </w:rPr>
        <w:t>4. Criterio de acumulación</w:t>
      </w:r>
    </w:p>
    <w:p>
      <w:pPr>
        <w:spacing w:after="160"/>
      </w:pPr>
      <w:r>
        <w:rPr/>
        <w:t>Las multas de esta sección son acumulables entre sí y con los demás conceptos del Catálogo cuando concurran varias infracciones en un mismo evento o proceso.</w:t>
      </w:r>
    </w:p>
    <w:p>
      <w:pPr>
        <w:spacing w:after="160"/>
      </w:pPr>
      <w:r>
        <w:rPr/>
        <w:t xml:space="preserve">La multa de regularización del Artículo E (doble del depósito en garantía) </w:t>
      </w:r>
      <w:r>
        <w:rPr>
          <w:b/>
        </w:rPr>
        <w:t>no sustituye</w:t>
      </w:r>
      <w:r>
        <w:rPr/>
        <w:t xml:space="preserve"> la multa por inicio sin autorización de los conceptos 8-B o 8-C — ambas proceden de manera independiente, salvo durante el período de amnistía, en que el Artículo E prevé expresamente la reducción del 50% sobre las penalidades administrativas.</w:t>
      </w:r>
    </w:p>
    <w:p>
      <w:pPr>
        <w:pBdr>
          <w:bottom w:val="single" w:sz="6" w:space="1" w:color="E2E8F0"/>
        </w:pBdr>
      </w:pPr>
    </w:p>
    <w:p>
      <w:pPr>
        <w:pStyle w:val="Heading2"/>
        <w:spacing w:before="360" w:after="180"/>
      </w:pPr>
      <w:r>
        <w:rPr>
          <w:b/>
          <w:color w:val="1B2C3E"/>
          <w:sz w:val="36"/>
        </w:rPr>
        <w:t>5. Derecho de audiencia</w:t>
      </w:r>
    </w:p>
    <w:p>
      <w:pPr>
        <w:spacing w:after="160"/>
      </w:pPr>
      <w:r>
        <w:rPr/>
        <w:t xml:space="preserve">Antes de aplicar cualquier multa de los conceptos 8-B, 8-C, 17, 18, 19 o 20, EL ADMINISTRADOR concederá al CONDÓMINO un plazo mínimo de </w:t>
      </w:r>
      <w:r>
        <w:rPr>
          <w:b/>
        </w:rPr>
        <w:t>5 días hábiles</w:t>
      </w:r>
      <w:r>
        <w:rPr/>
        <w:t xml:space="preserve"> para presentar por escrito sus observaciones o documentación que desvirtúe la infracción.</w:t>
      </w:r>
    </w:p>
    <w:p>
      <w:pPr>
        <w:spacing w:after="160"/>
      </w:pPr>
      <w:r>
        <w:rPr/>
        <w:t xml:space="preserve">Este plazo </w:t>
      </w:r>
      <w:r>
        <w:rPr>
          <w:b/>
        </w:rPr>
        <w:t>no aplica</w:t>
      </w:r>
      <w:r>
        <w:rPr/>
        <w:t xml:space="preserve"> a las medidas cautelares (suspensión de obra), las cuales son inmediatas y preventivas, y se mantienen hasta que el CONDÓMINO acredite su situación ante el Consejo de Diseño.</w:t>
      </w:r>
    </w:p>
    <w:p>
      <w:pPr>
        <w:pBdr>
          <w:bottom w:val="single" w:sz="6" w:space="1" w:color="E2E8F0"/>
        </w:pBdr>
      </w:pPr>
    </w:p>
    <w:p>
      <w:pPr>
        <w:pStyle w:val="Heading2"/>
        <w:spacing w:before="360" w:after="180"/>
      </w:pPr>
      <w:r>
        <w:rPr>
          <w:b/>
          <w:color w:val="1B2C3E"/>
          <w:sz w:val="36"/>
        </w:rPr>
        <w:t>6. Actualización anual automática</w:t>
      </w:r>
    </w:p>
    <w:p>
      <w:pPr>
        <w:spacing w:after="160"/>
      </w:pPr>
      <w:r>
        <w:rPr/>
        <w:t xml:space="preserve">Al expresar los montos en UMAs, la actualización es </w:t>
      </w:r>
      <w:r>
        <w:rPr>
          <w:b/>
        </w:rPr>
        <w:t>automática</w:t>
      </w:r>
      <w:r>
        <w:rPr/>
        <w:t>: cada febrero, cuando el INEGI publica el nuevo valor de la UMA, los montos en pesos se actualizan sin necesidad de modificar este documento ni convocar a Asamblea. EL ADMINISTRADOR deberá comunicar a los condóminos el valor actualizado de la UMA dentro de los primeros 15 días de cada año.</w:t>
      </w:r>
    </w:p>
    <w:p>
      <w:pPr>
        <w:pBdr>
          <w:bottom w:val="single" w:sz="6" w:space="1" w:color="E2E8F0"/>
        </w:pBdr>
      </w:pPr>
    </w:p>
    <w:p>
      <w:pPr>
        <w:spacing w:after="160"/>
      </w:pPr>
      <w:r>
        <w:rPr>
          <w:i/>
        </w:rPr>
        <w:t>Propuesta ciudadana — Art. 99 Reglamento Interno · Junio 2026</w:t>
      </w:r>
    </w:p>
    <w:p>
      <w:pPr>
        <w:pBdr>
          <w:bottom w:val="single" w:sz="6" w:space="1" w:color="E2E8F0"/>
        </w:pBdr>
      </w:pPr>
    </w:p>
    <w:p>
      <w:pPr>
        <w:pStyle w:val="Heading2"/>
        <w:spacing w:before="360" w:after="180"/>
      </w:pPr>
      <w:r>
        <w:rPr>
          <w:b/>
          <w:color w:val="1B2C3E"/>
          <w:sz w:val="36"/>
        </w:rPr>
        <w:t>1. Preguntas Frecuentes</w:t>
      </w:r>
    </w:p>
    <w:p>
      <w:pPr>
        <w:pStyle w:val="Heading4"/>
        <w:spacing w:before="240" w:after="120"/>
      </w:pPr>
      <w:r>
        <w:rPr>
          <w:b/>
          <w:sz w:val="24"/>
        </w:rPr>
        <w:t>P1. ¿Con qué autoridad presenta usted esta propuesta?</w:t>
      </w:r>
    </w:p>
    <w:p>
      <w:pPr>
        <w:spacing w:after="160"/>
      </w:pPr>
      <w:r>
        <w:rPr/>
        <w:t xml:space="preserve">El </w:t>
      </w:r>
      <w:r>
        <w:rPr>
          <w:b/>
        </w:rPr>
        <w:t>Art. 99 del Reglamento Interno</w:t>
      </w:r>
      <w:r>
        <w:rPr/>
        <w:t xml:space="preserve"> faculta a cualquier condómino, o grupo que represente al menos el </w:t>
      </w:r>
      <w:r>
        <w:rPr>
          <w:b/>
        </w:rPr>
        <w:t>25% de los condóminos</w:t>
      </w:r>
      <w:r>
        <w:rPr/>
        <w:t>, a convocar a Asamblea y proponer temas.</w:t>
      </w:r>
    </w:p>
    <w:p>
      <w:pPr>
        <w:ind w:left="720"/>
        <w:pBdr>
          <w:left w:val="single" w:sz="12" w:space="8" w:color="E2E8F0"/>
        </w:pBdr>
      </w:pPr>
      <w:r>
        <w:rPr>
          <w:i/>
        </w:rPr>
        <w:t>Art. 99o. Reglamento Solé:</w:t>
      </w:r>
      <w:r>
        <w:rPr/>
        <w:t xml:space="preserve"> «LOS CONDÓMINOS podrán convocar a ASAMBLEA GENERAL DE CONDÓMINOS, sin la intervención de EL ADMINISTRADOR, cuando representen por lo menos el 25% del total de los CONDÓMINOS.»</w:t>
      </w:r>
    </w:p>
    <w:p>
      <w:pPr>
        <w:spacing w:after="160"/>
      </w:pPr>
      <w:r>
        <w:rPr/>
        <w:t>Esta propuesta no tiene autoridad propia: solo es vinculante si la Asamblea la aprueba. Cualquier condómino puede proponer modificaciones antes de la votación.</w:t>
      </w:r>
    </w:p>
    <w:p>
      <w:pPr>
        <w:pStyle w:val="Heading4"/>
        <w:spacing w:before="240" w:after="120"/>
      </w:pPr>
      <w:r>
        <w:rPr>
          <w:b/>
          <w:sz w:val="24"/>
        </w:rPr>
        <w:t>P2. ¿Quién decide si mi obra es Pequeña, Mediana o Grande? ¿No sigue siendo subjetivo?</w:t>
      </w:r>
    </w:p>
    <w:p>
      <w:pPr>
        <w:spacing w:after="160"/>
      </w:pPr>
      <w:r>
        <w:rPr/>
        <w:t>La clasificación tiene tres filtros en cadena:</w:t>
      </w:r>
    </w:p>
    <w:p>
      <w:pPr>
        <w:pStyle w:val="ListNumber"/>
      </w:pPr>
      <w:r>
        <w:rPr/>
      </w:r>
      <w:r>
        <w:rPr>
          <w:b/>
        </w:rPr>
        <w:t>Usted propone</w:t>
      </w:r>
      <w:r>
        <w:rPr/>
        <w:t xml:space="preserve"> la categoría en el formulario</w:t>
      </w:r>
    </w:p>
    <w:p>
      <w:pPr>
        <w:pStyle w:val="ListNumber"/>
      </w:pPr>
      <w:r>
        <w:rPr/>
      </w:r>
      <w:r>
        <w:rPr>
          <w:b/>
        </w:rPr>
        <w:t>El Administrador verifica</w:t>
      </w:r>
      <w:r>
        <w:rPr/>
        <w:t xml:space="preserve"> en 24 horas (Obra Pequeña) o 2 días (otras), con firma que confirma la clasificación</w:t>
      </w:r>
    </w:p>
    <w:p>
      <w:pPr>
        <w:pStyle w:val="ListNumber"/>
      </w:pPr>
      <w:r>
        <w:rPr/>
      </w:r>
      <w:r>
        <w:rPr>
          <w:b/>
        </w:rPr>
        <w:t>El Consejo puede reclasificar</w:t>
      </w:r>
      <w:r>
        <w:rPr/>
        <w:t xml:space="preserve"> solo en los primeros 3 días de su plazo, con fundamento escrito que cite el Manual</w:t>
      </w:r>
    </w:p>
    <w:p>
      <w:pPr>
        <w:spacing w:after="160"/>
      </w:pPr>
      <w:r>
        <w:rPr/>
        <w:t>El silencio del Consejo en ese plazo equivale a aceptación de la clasificación original.</w:t>
      </w:r>
    </w:p>
    <w:p>
      <w:pPr>
        <w:pStyle w:val="Heading4"/>
        <w:spacing w:before="240" w:after="120"/>
      </w:pPr>
      <w:r>
        <w:rPr>
          <w:b/>
          <w:sz w:val="24"/>
        </w:rPr>
        <w:t>P3. ¿Las cifras sobre plusvalía tienen respaldo real?</w:t>
      </w:r>
    </w:p>
    <w:p>
      <w:pPr>
        <w:spacing w:after="160"/>
      </w:pPr>
      <w:r>
        <w:rPr/>
        <w:t>Sí. Todas provienen de fuentes verificables con referencias completas en la Sección 10:</w:t>
      </w:r>
    </w:p>
    <w:p>
      <w:pPr>
        <w:pStyle w:val="ListBullet"/>
      </w:pPr>
      <w:r>
        <w:rPr/>
        <w:t xml:space="preserve">CAI (2025): </w:t>
      </w:r>
      <w:r>
        <w:rPr>
          <w:b/>
        </w:rPr>
        <w:t>2%–17%</w:t>
      </w:r>
      <w:r>
        <w:rPr/>
        <w:t xml:space="preserve"> de incremento o protección de valor</w:t>
      </w:r>
    </w:p>
    <w:p>
      <w:pPr>
        <w:pStyle w:val="ListBullet"/>
      </w:pPr>
      <w:r>
        <w:rPr/>
        <w:t xml:space="preserve">Journal of Housing Economics (2014): mínimo </w:t>
      </w:r>
      <w:r>
        <w:rPr>
          <w:b/>
        </w:rPr>
        <w:t>4%</w:t>
      </w:r>
      <w:r>
        <w:rPr/>
        <w:t xml:space="preserve"> de diferencia en precio</w:t>
      </w:r>
    </w:p>
    <w:p>
      <w:pPr>
        <w:pStyle w:val="ListBullet"/>
      </w:pPr>
      <w:r>
        <w:rPr/>
        <w:t xml:space="preserve">Índice SHF 2T 2025: brecha de </w:t>
      </w:r>
      <w:r>
        <w:rPr>
          <w:b/>
        </w:rPr>
        <w:t>2–3% vs. 9–11%</w:t>
      </w:r>
      <w:r>
        <w:rPr/>
        <w:t xml:space="preserve"> anual</w:t>
      </w:r>
    </w:p>
    <w:p>
      <w:pPr>
        <w:pStyle w:val="Heading4"/>
        <w:spacing w:before="240" w:after="120"/>
      </w:pPr>
      <w:r>
        <w:rPr>
          <w:b/>
          <w:sz w:val="24"/>
        </w:rPr>
        <w:t>P4. ¿La apelación no es ante el mismo grupo que tomó la decisión original?</w:t>
      </w:r>
    </w:p>
    <w:p>
      <w:pPr>
        <w:spacing w:after="160"/>
      </w:pPr>
      <w:r>
        <w:rPr/>
        <w:t>No. El proceso tiene dos niveles independientes:</w:t>
      </w:r>
    </w:p>
    <w:p>
      <w:pPr>
        <w:pStyle w:val="ListNumber"/>
      </w:pPr>
      <w:r>
        <w:rPr/>
      </w:r>
      <w:r>
        <w:rPr>
          <w:b/>
        </w:rPr>
        <w:t>Comité de Representantes:</w:t>
      </w:r>
      <w:r>
        <w:rPr/>
        <w:t xml:space="preserve"> solo verifica si la resolución está fundada en el Manual. Si no lo está, la revierte de inmediato sin evaluar el fondo.</w:t>
      </w:r>
    </w:p>
    <w:p>
      <w:pPr>
        <w:pStyle w:val="ListNumber"/>
      </w:pPr>
      <w:r>
        <w:rPr/>
      </w:r>
      <w:r>
        <w:rPr>
          <w:b/>
        </w:rPr>
        <w:t>Árbitro externo:</w:t>
      </w:r>
      <w:r>
        <w:rPr/>
        <w:t xml:space="preserve"> designado por el Colegio de Arquitectos del Estado o el Registro de DROs del Municipio. Ninguna parte lo elige.</w:t>
      </w:r>
    </w:p>
    <w:p>
      <w:pPr>
        <w:pStyle w:val="Heading4"/>
        <w:spacing w:before="240" w:after="120"/>
      </w:pPr>
      <w:r>
        <w:rPr>
          <w:b/>
          <w:sz w:val="24"/>
        </w:rPr>
        <w:t>P5. Si notifico una Obra Pequeña y nadie dice nada, ¿puedo hacer lo que sea?</w:t>
      </w:r>
    </w:p>
    <w:p>
      <w:pPr>
        <w:spacing w:after="160"/>
      </w:pPr>
      <w:r>
        <w:rPr/>
        <w:t>No. La Obra Pequeña sigue sujeta al Manual de Lineamientos. Si el Administrador detecta que la obra no encuadra en esa categoría, lo notifica en 24 horas. Una clasificación incorrecta no tiene efecto legal y da oportunidad de adecuación.</w:t>
      </w:r>
    </w:p>
    <w:p>
      <w:pPr>
        <w:pStyle w:val="Heading4"/>
        <w:spacing w:before="240" w:after="120"/>
      </w:pPr>
      <w:r>
        <w:rPr>
          <w:b/>
          <w:sz w:val="24"/>
        </w:rPr>
        <w:t>P6. ¿Qué garantiza el perfil técnico del Consejo?</w:t>
      </w:r>
    </w:p>
    <w:p>
      <w:pPr>
        <w:spacing w:after="160"/>
      </w:pPr>
      <w:r>
        <w:rPr/>
        <w:t>Al menos uno de los tres miembros votantes debe acreditar (ver Sección 4.4):</w:t>
      </w:r>
    </w:p>
    <w:p>
      <w:pPr>
        <w:pStyle w:val="ListBullet"/>
      </w:pPr>
      <w:r>
        <w:rPr/>
        <w:t>Cédula en Arquitectura, Ingeniería Civil, Diseño, o equivalente</w:t>
      </w:r>
    </w:p>
    <w:p>
      <w:pPr>
        <w:pStyle w:val="ListBullet"/>
      </w:pPr>
      <w:r>
        <w:rPr/>
        <w:t>Registro como DRO ante el Municipio de Soledad</w:t>
      </w:r>
    </w:p>
    <w:p>
      <w:pPr>
        <w:pStyle w:val="ListBullet"/>
      </w:pPr>
      <w:r>
        <w:rPr/>
        <w:t>O bien, 7 años de experiencia documentada (con aprobación expresa de la Asamblea)</w:t>
      </w:r>
    </w:p>
    <w:p>
      <w:pPr>
        <w:pStyle w:val="Heading4"/>
        <w:spacing w:before="240" w:after="120"/>
      </w:pPr>
      <w:r>
        <w:rPr>
          <w:b/>
          <w:sz w:val="24"/>
        </w:rPr>
        <w:t>P7. ¿Qué pasa si los miembros del Consejo son colindantes del solicitante?</w:t>
      </w:r>
    </w:p>
    <w:p>
      <w:pPr>
        <w:spacing w:after="160"/>
      </w:pPr>
      <w:r>
        <w:rPr/>
        <w:t>La inhibición aplica solo a lotes con barda, muro o cerca perimetral compartida (ver Sección 4.5). El miembro inhibido puede deliberar pero no votar.</w:t>
      </w:r>
    </w:p>
    <w:p>
      <w:pPr>
        <w:pStyle w:val="Heading4"/>
        <w:spacing w:before="240" w:after="120"/>
      </w:pPr>
      <w:r>
        <w:rPr>
          <w:b/>
          <w:sz w:val="24"/>
        </w:rPr>
        <w:t>P8. Pagué la cuota de revisión y me rechazaron. ¿Me devuelven el dinero?</w:t>
      </w:r>
    </w:p>
    <w:p>
      <w:pPr>
        <w:spacing w:after="160"/>
      </w:pPr>
      <w:r>
        <w:rPr/>
        <w:t>Depende del resultado (ver tabla en Sección 5.3):</w:t>
      </w:r>
    </w:p>
    <w:p>
      <w:pPr>
        <w:pStyle w:val="ListBullet"/>
      </w:pPr>
      <w:r>
        <w:rPr/>
        <w:t xml:space="preserve">Aprobación tácita → </w:t>
      </w:r>
      <w:r>
        <w:rPr>
          <w:b/>
        </w:rPr>
        <w:t>100%</w:t>
      </w:r>
      <w:r>
        <w:rPr/>
      </w:r>
    </w:p>
    <w:p>
      <w:pPr>
        <w:pStyle w:val="ListBullet"/>
      </w:pPr>
      <w:r>
        <w:rPr/>
        <w:t xml:space="preserve">Rechazo revertido en apelación → </w:t>
      </w:r>
      <w:r>
        <w:rPr>
          <w:b/>
        </w:rPr>
        <w:t>75%</w:t>
      </w:r>
      <w:r>
        <w:rPr/>
      </w:r>
    </w:p>
    <w:p>
      <w:pPr>
        <w:pStyle w:val="ListBullet"/>
      </w:pPr>
      <w:r>
        <w:rPr/>
        <w:t xml:space="preserve">Rechazo confirmado → </w:t>
      </w:r>
      <w:r>
        <w:rPr>
          <w:b/>
        </w:rPr>
        <w:t>0%</w:t>
      </w:r>
      <w:r>
        <w:rPr/>
      </w:r>
    </w:p>
    <w:p>
      <w:pPr>
        <w:pStyle w:val="ListBullet"/>
      </w:pPr>
      <w:r>
        <w:rPr/>
        <w:t xml:space="preserve">Expediente devuelto por incompleto → </w:t>
      </w:r>
      <w:r>
        <w:rPr>
          <w:b/>
        </w:rPr>
        <w:t>100%</w:t>
      </w:r>
      <w:r>
        <w:rPr/>
      </w:r>
    </w:p>
    <w:p>
      <w:pPr>
        <w:pStyle w:val="Heading4"/>
        <w:spacing w:before="240" w:after="120"/>
      </w:pPr>
      <w:r>
        <w:rPr>
          <w:b/>
          <w:sz w:val="24"/>
        </w:rPr>
        <w:t>P9. ¿Reformar el Reglamento no requiere un quórum que raramente alcanzamos?</w:t>
      </w:r>
    </w:p>
    <w:p>
      <w:pPr>
        <w:spacing w:after="160"/>
      </w:pPr>
      <w:r>
        <w:rPr/>
        <w:t>Los Artículos A, C, D y E (el protocolo operativo) pueden aprobarse en Asamblea Extraordinaria sin que el Manual esté listo. El Artículo B (aprobación del Manual) viene en una segunda Asamblea, cuando el Consejo ya esté funcionando. El arranque no depende de tener el Manual terminado.</w:t>
      </w:r>
    </w:p>
    <w:p>
      <w:pPr>
        <w:pStyle w:val="Heading4"/>
        <w:spacing w:before="240" w:after="120"/>
      </w:pPr>
      <w:r>
        <w:rPr>
          <w:b/>
          <w:sz w:val="24"/>
        </w:rPr>
        <w:t>P10. ¿Cuánto cuesta elaborar el Manual y de dónde sale el dinero?</w:t>
      </w:r>
    </w:p>
    <w:p>
      <w:pPr>
        <w:spacing w:after="160"/>
      </w:pPr>
      <w:r>
        <w:rPr/>
        <w:t xml:space="preserve">Entre </w:t>
      </w:r>
      <w:r>
        <w:rPr>
          <w:b/>
        </w:rPr>
        <w:t>$0 y $43,000 pesos</w:t>
      </w:r>
      <w:r>
        <w:rPr/>
        <w:t xml:space="preserve"> según el nivel de apoyo profesional externo (ver presupuesto en Sección 6.3). El Art. 63 del Reglamento permite financiarlo con el Fondo de Mantenimiento con la sola aprobación del Comité de Representantes, sin cuota extraordinaria ni Asamblea especial.</w:t>
      </w:r>
    </w:p>
    <w:p>
      <w:pPr>
        <w:pStyle w:val="Heading4"/>
        <w:spacing w:before="240" w:after="120"/>
      </w:pPr>
      <w:r>
        <w:rPr>
          <w:b/>
          <w:sz w:val="24"/>
        </w:rPr>
        <w:t>P11. ¿No van a escribir el Manual los mismos que proponen esto y luego van a ser el Consejo?</w:t>
      </w:r>
    </w:p>
    <w:p>
      <w:pPr>
        <w:spacing w:after="160"/>
      </w:pPr>
      <w:r>
        <w:rPr/>
        <w:t>Cuatro salvaguardas lo impiden:</w:t>
      </w:r>
    </w:p>
    <w:p>
      <w:pPr>
        <w:pStyle w:val="ListNumber"/>
      </w:pPr>
      <w:r>
        <w:rPr/>
        <w:t>Los proponentes no pueden ser mayoría en el Grupo de Trabajo</w:t>
      </w:r>
    </w:p>
    <w:p>
      <w:pPr>
        <w:pStyle w:val="ListNumber"/>
      </w:pPr>
      <w:r>
        <w:rPr/>
        <w:t>Un facilitador externo neutral coordina la redacción</w:t>
      </w:r>
    </w:p>
    <w:p>
      <w:pPr>
        <w:pStyle w:val="ListNumber"/>
      </w:pPr>
      <w:r>
        <w:rPr/>
        <w:t>El borrador se publica 15 días para observaciones de cualquier condómino, con respuesta documentada a todas</w:t>
      </w:r>
    </w:p>
    <w:p>
      <w:pPr>
        <w:pStyle w:val="ListNumber"/>
      </w:pPr>
      <w:r>
        <w:rPr/>
        <w:t xml:space="preserve">Quienes redactaron el Manual quedan inhabilitados para integrar el Consejo durante los primeros </w:t>
      </w:r>
      <w:r>
        <w:rPr>
          <w:b/>
        </w:rPr>
        <w:t>dos años</w:t>
      </w:r>
      <w:r>
        <w:rPr/>
      </w:r>
    </w:p>
    <w:p>
      <w:pPr>
        <w:pStyle w:val="Heading4"/>
        <w:spacing w:before="240" w:after="120"/>
      </w:pPr>
      <w:r>
        <w:rPr>
          <w:b/>
          <w:sz w:val="24"/>
        </w:rPr>
        <w:t>P12. Tengo obras ya hechas sin autorización. ¿Me van a obligar a demoler?</w:t>
      </w:r>
    </w:p>
    <w:p>
      <w:pPr>
        <w:spacing w:after="160"/>
      </w:pPr>
      <w:r>
        <w:rPr/>
        <w:t>No necesariamente. Hay tres mecanismos según el caso (ver Sección 7):</w:t>
      </w:r>
    </w:p>
    <w:p>
      <w:pPr>
        <w:pStyle w:val="ListBullet"/>
      </w:pPr>
      <w:r>
        <w:rPr/>
        <w:t xml:space="preserve">Si la obra puede cumplir el Manual: regularización voluntaria en </w:t>
      </w:r>
      <w:r>
        <w:rPr>
          <w:b/>
        </w:rPr>
        <w:t>90 días</w:t>
      </w:r>
      <w:r>
        <w:rPr/>
        <w:t xml:space="preserve"> con </w:t>
      </w:r>
      <w:r>
        <w:rPr>
          <w:b/>
        </w:rPr>
        <w:t>50% de descuento</w:t>
      </w:r>
      <w:r>
        <w:rPr/>
        <w:t xml:space="preserve"> en la multa</w:t>
      </w:r>
    </w:p>
    <w:p>
      <w:pPr>
        <w:pStyle w:val="ListBullet"/>
      </w:pPr>
      <w:r>
        <w:rPr/>
        <w:t>Si la obra viola una prohibición vigente del Reglamento (como el Art. 120-A que reserva el 30% del lote para área verde): la restitución aplica, también con reducción del 50% en penalidades durante la amnistía</w:t>
      </w:r>
    </w:p>
    <w:p>
      <w:pPr>
        <w:pStyle w:val="ListBullet"/>
      </w:pPr>
      <w:r>
        <w:rPr/>
        <w:t xml:space="preserve">Si compraste la casa con las obras ya hechas y no las realizaste tú: el Mecanismo B de reconocimiento puede aplicarse </w:t>
      </w:r>
      <w:r>
        <w:rPr>
          <w:b/>
        </w:rPr>
        <w:t>sin multa al comprador actual</w:t>
      </w:r>
      <w:r>
        <w:rPr/>
        <w:t xml:space="preserve"> si la obra cumple el Manual</w:t>
      </w:r>
    </w:p>
    <w:p>
      <w:pPr>
        <w:pStyle w:val="Heading4"/>
        <w:spacing w:before="240" w:after="120"/>
      </w:pPr>
      <w:r>
        <w:rPr>
          <w:b/>
          <w:sz w:val="24"/>
        </w:rPr>
        <w:t>P13. ¿HABI tiene votos en la Asamblea? ¿Cómo afecta eso a esta propuesta?</w:t>
      </w:r>
    </w:p>
    <w:p>
      <w:pPr>
        <w:spacing w:after="160"/>
      </w:pPr>
      <w:r>
        <w:rPr/>
        <w:t xml:space="preserve">Sí. HABI tiene </w:t>
      </w:r>
      <w:r>
        <w:rPr>
          <w:b/>
        </w:rPr>
        <w:t>~90 votos</w:t>
      </w:r>
      <w:r>
        <w:rPr/>
        <w:t xml:space="preserve"> (~31.8% del total de 283), y su participación es significativa para el resultado. No existe base legal para excluirlos del voto por ser el desarrollador.</w:t>
      </w:r>
    </w:p>
    <w:p>
      <w:pPr>
        <w:spacing w:after="160"/>
      </w:pPr>
      <w:r>
        <w:rPr/>
        <w:t>Sin embargo, para las cláusulas que los benefician directamente —la exención de autorización (Art. A, Sec. V) y la cláusula de transición— el Art. 95 del Reglamento justifica una abstención voluntaria.</w:t>
      </w:r>
    </w:p>
    <w:p>
      <w:pPr>
        <w:spacing w:after="160"/>
      </w:pPr>
      <w:r>
        <w:rPr/>
        <w:t>Los intereses de HABI se alinean con los de los condóminos en lo central: un fraccionamiento con imagen consistente y gobernanza formal es más fácil de comercializar. La propuesta incorpora cuatro consideraciones específicas para HABI: exención, reconocimiento de variantes, cláusula de transición y transparencia en la votación.</w:t>
      </w:r>
    </w:p>
    <w:p>
      <w:pPr>
        <w:pStyle w:val="Heading4"/>
        <w:spacing w:before="240" w:after="120"/>
      </w:pPr>
      <w:r>
        <w:rPr>
          <w:b/>
          <w:sz w:val="24"/>
        </w:rPr>
        <w:t>P14. ¿Qué pasa si el Manual contradice lo que permite el Municipio?</w:t>
      </w:r>
    </w:p>
    <w:p>
      <w:pPr>
        <w:spacing w:after="160"/>
      </w:pPr>
      <w:r>
        <w:rPr/>
        <w:t xml:space="preserve">El Manual puede ser </w:t>
      </w:r>
      <w:r>
        <w:rPr>
          <w:b/>
        </w:rPr>
        <w:t>más restrictivo</w:t>
      </w:r>
      <w:r>
        <w:rPr/>
        <w:t>, nunca por debajo de los mínimos municipales. En caso de conflicto:</w:t>
      </w:r>
    </w:p>
    <w:p>
      <w:pPr>
        <w:pStyle w:val="ListBullet"/>
      </w:pPr>
      <w:r>
        <w:rPr/>
        <w:t>Seguridad estructural → prevalece la norma municipal</w:t>
      </w:r>
    </w:p>
    <w:p>
      <w:pPr>
        <w:pStyle w:val="ListBullet"/>
      </w:pPr>
      <w:r>
        <w:rPr/>
        <w:t>Imagen urbana y colores → prevalece el Manual, siempre que no viole el uso de suelo</w:t>
      </w:r>
    </w:p>
    <w:p>
      <w:pPr>
        <w:pStyle w:val="ListBullet"/>
      </w:pPr>
      <w:r>
        <w:rPr/>
        <w:t>Las resoluciones del Consejo que contradigan normativa municipal pueden ser revertidas ante la Dirección de Desarrollo Urbano</w:t>
      </w:r>
    </w:p>
    <w:p>
      <w:pPr>
        <w:pBdr>
          <w:bottom w:val="single" w:sz="6" w:space="1" w:color="E2E8F0"/>
        </w:pBdr>
      </w:pPr>
    </w:p>
    <w:p>
      <w:pPr>
        <w:pBdr>
          <w:bottom w:val="single" w:sz="6" w:space="1" w:color="E2E8F0"/>
        </w:pBdr>
      </w:pPr>
    </w:p>
    <w:p>
      <w:pPr>
        <w:pStyle w:val="Heading2"/>
        <w:spacing w:before="360" w:after="180"/>
      </w:pPr>
      <w:r>
        <w:rPr>
          <w:b/>
          <w:color w:val="1B2C3E"/>
          <w:sz w:val="36"/>
        </w:rPr>
        <w:t>13. Glosario de Términos</w:t>
      </w:r>
    </w:p>
    <w:p>
      <w:pPr>
        <w:pStyle w:val="Heading3"/>
        <w:spacing w:before="300" w:after="120"/>
      </w:pPr>
      <w:r>
        <w:rPr>
          <w:b/>
          <w:color w:val="3D5168"/>
          <w:sz w:val="28"/>
        </w:rPr>
        <w:t>Órganos del Condominio</w:t>
      </w:r>
    </w:p>
    <w:tbl>
      <w:tblPr>
        <w:tblStyle w:val="TableGrid"/>
        <w:tblW w:type="auto" w:w="0"/>
        <w:tblLook w:firstColumn="1" w:firstRow="1" w:lastColumn="0" w:lastRow="0" w:noHBand="0" w:noVBand="1" w:val="04A0"/>
      </w:tblPr>
      <w:tblGrid>
        <w:gridCol w:w="4844"/>
        <w:gridCol w:w="4844"/>
      </w:tblGrid>
      <w:tr>
        <w:tc>
          <w:tcPr>
            <w:tcW w:type="dxa" w:w="4844"/>
          </w:tcPr>
          <w:p>
            <w:r>
              <w:rPr>
                <w:b/>
              </w:rPr>
              <w:t>Término</w:t>
            </w:r>
          </w:p>
        </w:tc>
        <w:tc>
          <w:tcPr>
            <w:tcW w:type="dxa" w:w="4844"/>
          </w:tcPr>
          <w:p>
            <w:r>
              <w:rPr>
                <w:b/>
              </w:rPr>
              <w:t>Definición</w:t>
            </w:r>
          </w:p>
        </w:tc>
      </w:tr>
      <w:tr>
        <w:tc>
          <w:tcPr>
            <w:tcW w:type="dxa" w:w="4844"/>
          </w:tcPr>
          <w:p>
            <w:r>
              <w:rPr/>
              <w:t>Administrador</w:t>
            </w:r>
          </w:p>
        </w:tc>
        <w:tc>
          <w:tcPr>
            <w:tcW w:type="dxa" w:w="4844"/>
          </w:tcPr>
          <w:p>
            <w:r>
              <w:rPr/>
              <w:t>Persona o empresa que gestiona la operación diaria: cobra cuotas, contrata servicios, administra fondos</w:t>
            </w:r>
          </w:p>
        </w:tc>
      </w:tr>
      <w:tr>
        <w:tc>
          <w:tcPr>
            <w:tcW w:type="dxa" w:w="4844"/>
          </w:tcPr>
          <w:p>
            <w:r>
              <w:rPr/>
              <w:t>Asamblea General de Condóminos</w:t>
            </w:r>
          </w:p>
        </w:tc>
        <w:tc>
          <w:tcPr>
            <w:tcW w:type="dxa" w:w="4844"/>
          </w:tcPr>
          <w:p>
            <w:r>
              <w:rPr/>
              <w:t>Reunión de todos los propietarios. Órgano máximo. Sus acuerdos son obligatorios para todos</w:t>
            </w:r>
          </w:p>
        </w:tc>
      </w:tr>
      <w:tr>
        <w:tc>
          <w:tcPr>
            <w:tcW w:type="dxa" w:w="4844"/>
          </w:tcPr>
          <w:p>
            <w:r>
              <w:rPr/>
              <w:t>Asamblea Extraordinaria</w:t>
            </w:r>
          </w:p>
        </w:tc>
        <w:tc>
          <w:tcPr>
            <w:tcW w:type="dxa" w:w="4844"/>
          </w:tcPr>
          <w:p>
            <w:r>
              <w:rPr/>
              <w:t>Convocada para asuntos específicos; requiere quórum más alto que la ordinaria</w:t>
            </w:r>
          </w:p>
        </w:tc>
      </w:tr>
      <w:tr>
        <w:tc>
          <w:tcPr>
            <w:tcW w:type="dxa" w:w="4844"/>
          </w:tcPr>
          <w:p>
            <w:r>
              <w:rPr/>
              <w:t>Comité de Representantes</w:t>
            </w:r>
          </w:p>
        </w:tc>
        <w:tc>
          <w:tcPr>
            <w:tcW w:type="dxa" w:w="4844"/>
          </w:tcPr>
          <w:p>
            <w:r>
              <w:rPr/>
              <w:t>Condóminos elegidos que sirven de enlace entre Administrador y vecinos</w:t>
            </w:r>
          </w:p>
        </w:tc>
      </w:tr>
      <w:tr>
        <w:tc>
          <w:tcPr>
            <w:tcW w:type="dxa" w:w="4844"/>
          </w:tcPr>
          <w:p>
            <w:r>
              <w:rPr/>
              <w:t>Comité de Vigilancia</w:t>
            </w:r>
          </w:p>
        </w:tc>
        <w:tc>
          <w:tcPr>
            <w:tcW w:type="dxa" w:w="4844"/>
          </w:tcPr>
          <w:p>
            <w:r>
              <w:rPr/>
              <w:t>Condóminos elegidos que fiscalizan al Administrador y al Comité de Representantes</w:t>
            </w:r>
          </w:p>
        </w:tc>
      </w:tr>
      <w:tr>
        <w:tc>
          <w:tcPr>
            <w:tcW w:type="dxa" w:w="4844"/>
          </w:tcPr>
          <w:p>
            <w:r>
              <w:rPr/>
              <w:t>Consejo de Diseño</w:t>
            </w:r>
          </w:p>
        </w:tc>
        <w:tc>
          <w:tcPr>
            <w:tcW w:type="dxa" w:w="4844"/>
          </w:tcPr>
          <w:p>
            <w:r>
              <w:rPr/>
              <w:t>Órgano encargado de revisar y aprobar proyectos de modificación en áreas privativas</w:t>
            </w:r>
          </w:p>
        </w:tc>
      </w:tr>
    </w:tbl>
    <w:p>
      <w:pPr>
        <w:pStyle w:val="Heading3"/>
        <w:spacing w:before="300" w:after="120"/>
      </w:pPr>
      <w:r>
        <w:rPr>
          <w:b/>
          <w:color w:val="3D5168"/>
          <w:sz w:val="28"/>
        </w:rPr>
        <w:t>Conceptos de propiedad</w:t>
      </w:r>
    </w:p>
    <w:tbl>
      <w:tblPr>
        <w:tblStyle w:val="TableGrid"/>
        <w:tblW w:type="auto" w:w="0"/>
        <w:tblLook w:firstColumn="1" w:firstRow="1" w:lastColumn="0" w:lastRow="0" w:noHBand="0" w:noVBand="1" w:val="04A0"/>
      </w:tblPr>
      <w:tblGrid>
        <w:gridCol w:w="4844"/>
        <w:gridCol w:w="4844"/>
      </w:tblGrid>
      <w:tr>
        <w:tc>
          <w:tcPr>
            <w:tcW w:type="dxa" w:w="4844"/>
          </w:tcPr>
          <w:p>
            <w:r>
              <w:rPr>
                <w:b/>
              </w:rPr>
              <w:t>Término</w:t>
            </w:r>
          </w:p>
        </w:tc>
        <w:tc>
          <w:tcPr>
            <w:tcW w:type="dxa" w:w="4844"/>
          </w:tcPr>
          <w:p>
            <w:r>
              <w:rPr>
                <w:b/>
              </w:rPr>
              <w:t>Definición</w:t>
            </w:r>
          </w:p>
        </w:tc>
      </w:tr>
      <w:tr>
        <w:tc>
          <w:tcPr>
            <w:tcW w:type="dxa" w:w="4844"/>
          </w:tcPr>
          <w:p>
            <w:r>
              <w:rPr/>
              <w:t>Área Común</w:t>
            </w:r>
          </w:p>
        </w:tc>
        <w:tc>
          <w:tcPr>
            <w:tcW w:type="dxa" w:w="4844"/>
          </w:tcPr>
          <w:p>
            <w:r>
              <w:rPr/>
              <w:t>Espacio de uso compartido: calles, alberca, áreas verdes, casa club, caseta de acceso</w:t>
            </w:r>
          </w:p>
        </w:tc>
      </w:tr>
      <w:tr>
        <w:tc>
          <w:tcPr>
            <w:tcW w:type="dxa" w:w="4844"/>
          </w:tcPr>
          <w:p>
            <w:r>
              <w:rPr/>
              <w:t>Área Privativa</w:t>
            </w:r>
          </w:p>
        </w:tc>
        <w:tc>
          <w:tcPr>
            <w:tcW w:type="dxa" w:w="4844"/>
          </w:tcPr>
          <w:p>
            <w:r>
              <w:rPr/>
              <w:t>Espacio de propiedad exclusiva de cada condómino: su lote y su casa</w:t>
            </w:r>
          </w:p>
        </w:tc>
      </w:tr>
      <w:tr>
        <w:tc>
          <w:tcPr>
            <w:tcW w:type="dxa" w:w="4844"/>
          </w:tcPr>
          <w:p>
            <w:r>
              <w:rPr/>
              <w:t>Cuota de Mantenimiento</w:t>
            </w:r>
          </w:p>
        </w:tc>
        <w:tc>
          <w:tcPr>
            <w:tcW w:type="dxa" w:w="4844"/>
          </w:tcPr>
          <w:p>
            <w:r>
              <w:rPr/>
              <w:t>Pago mensual obligatorio (primeros 10 días) para cubrir gastos comunes</w:t>
            </w:r>
          </w:p>
        </w:tc>
      </w:tr>
      <w:tr>
        <w:tc>
          <w:tcPr>
            <w:tcW w:type="dxa" w:w="4844"/>
          </w:tcPr>
          <w:p>
            <w:r>
              <w:rPr/>
              <w:t>Régimen de Propiedad en Condominio</w:t>
            </w:r>
          </w:p>
        </w:tc>
        <w:tc>
          <w:tcPr>
            <w:tcW w:type="dxa" w:w="4844"/>
          </w:tcPr>
          <w:p>
            <w:r>
              <w:rPr/>
              <w:t>Forma de propiedad donde conviven bienes privados y bienes comunes</w:t>
            </w:r>
          </w:p>
        </w:tc>
      </w:tr>
    </w:tbl>
    <w:p>
      <w:pPr>
        <w:pStyle w:val="Heading3"/>
        <w:spacing w:before="300" w:after="120"/>
      </w:pPr>
      <w:r>
        <w:rPr>
          <w:b/>
          <w:color w:val="3D5168"/>
          <w:sz w:val="28"/>
        </w:rPr>
        <w:t>Términos de arquitectura y construcción</w:t>
      </w:r>
    </w:p>
    <w:tbl>
      <w:tblPr>
        <w:tblStyle w:val="TableGrid"/>
        <w:tblW w:type="auto" w:w="0"/>
        <w:tblLook w:firstColumn="1" w:firstRow="1" w:lastColumn="0" w:lastRow="0" w:noHBand="0" w:noVBand="1" w:val="04A0"/>
      </w:tblPr>
      <w:tblGrid>
        <w:gridCol w:w="4844"/>
        <w:gridCol w:w="4844"/>
      </w:tblGrid>
      <w:tr>
        <w:tc>
          <w:tcPr>
            <w:tcW w:type="dxa" w:w="4844"/>
          </w:tcPr>
          <w:p>
            <w:r>
              <w:rPr>
                <w:b/>
              </w:rPr>
              <w:t>Término</w:t>
            </w:r>
          </w:p>
        </w:tc>
        <w:tc>
          <w:tcPr>
            <w:tcW w:type="dxa" w:w="4844"/>
          </w:tcPr>
          <w:p>
            <w:r>
              <w:rPr>
                <w:b/>
              </w:rPr>
              <w:t>Definición</w:t>
            </w:r>
          </w:p>
        </w:tc>
      </w:tr>
      <w:tr>
        <w:tc>
          <w:tcPr>
            <w:tcW w:type="dxa" w:w="4844"/>
          </w:tcPr>
          <w:p>
            <w:r>
              <w:rPr/>
              <w:t>COS</w:t>
            </w:r>
          </w:p>
        </w:tc>
        <w:tc>
          <w:tcPr>
            <w:tcW w:type="dxa" w:w="4844"/>
          </w:tcPr>
          <w:p>
            <w:r>
              <w:rPr/>
              <w:t xml:space="preserve">Coeficiente de Ocupación del Suelo: % máximo del terreno que puede cubrirse con techo. En Solé: </w:t>
            </w:r>
            <w:r>
              <w:rPr>
                <w:b/>
              </w:rPr>
              <w:t>70%</w:t>
            </w:r>
            <w:r>
              <w:rPr/>
            </w:r>
          </w:p>
        </w:tc>
      </w:tr>
      <w:tr>
        <w:tc>
          <w:tcPr>
            <w:tcW w:type="dxa" w:w="4844"/>
          </w:tcPr>
          <w:p>
            <w:r>
              <w:rPr/>
              <w:t>CUS</w:t>
            </w:r>
          </w:p>
        </w:tc>
        <w:tc>
          <w:tcPr>
            <w:tcW w:type="dxa" w:w="4844"/>
          </w:tcPr>
          <w:p>
            <w:r>
              <w:rPr/>
              <w:t xml:space="preserve">Coeficiente de Utilización del Suelo: m² totales construibles sumando todos los niveles. En Solé: </w:t>
            </w:r>
            <w:r>
              <w:rPr>
                <w:b/>
              </w:rPr>
              <w:t>2.5 veces</w:t>
            </w:r>
            <w:r>
              <w:rPr/>
            </w:r>
          </w:p>
        </w:tc>
      </w:tr>
      <w:tr>
        <w:tc>
          <w:tcPr>
            <w:tcW w:type="dxa" w:w="4844"/>
          </w:tcPr>
          <w:p>
            <w:r>
              <w:rPr/>
              <w:t>DRO</w:t>
            </w:r>
          </w:p>
        </w:tc>
        <w:tc>
          <w:tcPr>
            <w:tcW w:type="dxa" w:w="4844"/>
          </w:tcPr>
          <w:p>
            <w:r>
              <w:rPr/>
              <w:t>Director Responsable de Obra: profesional con cédula y registro municipal; asume responsabilidad técnica. Obligatorio para Obra Grande</w:t>
            </w:r>
          </w:p>
        </w:tc>
      </w:tr>
      <w:tr>
        <w:tc>
          <w:tcPr>
            <w:tcW w:type="dxa" w:w="4844"/>
          </w:tcPr>
          <w:p>
            <w:r>
              <w:rPr/>
              <w:t>Fachada</w:t>
            </w:r>
          </w:p>
        </w:tc>
        <w:tc>
          <w:tcPr>
            <w:tcW w:type="dxa" w:w="4844"/>
          </w:tcPr>
          <w:p>
            <w:r>
              <w:rPr/>
              <w:t>Cara exterior visible desde la calle o áreas comunes</w:t>
            </w:r>
          </w:p>
        </w:tc>
      </w:tr>
      <w:tr>
        <w:tc>
          <w:tcPr>
            <w:tcW w:type="dxa" w:w="4844"/>
          </w:tcPr>
          <w:p>
            <w:r>
              <w:rPr/>
              <w:t>Manual de Imagen Urbana</w:t>
            </w:r>
          </w:p>
        </w:tc>
        <w:tc>
          <w:tcPr>
            <w:tcW w:type="dxa" w:w="4844"/>
          </w:tcPr>
          <w:p>
            <w:r>
              <w:rPr/>
              <w:t>Anexo Técnico del Reglamento con la misma jerarquía legal. Define materiales, colores y elementos permitidos</w:t>
            </w:r>
          </w:p>
        </w:tc>
      </w:tr>
      <w:tr>
        <w:tc>
          <w:tcPr>
            <w:tcW w:type="dxa" w:w="4844"/>
          </w:tcPr>
          <w:p>
            <w:r>
              <w:rPr/>
              <w:t>Muro de Carga</w:t>
            </w:r>
          </w:p>
        </w:tc>
        <w:tc>
          <w:tcPr>
            <w:tcW w:type="dxa" w:w="4844"/>
          </w:tcPr>
          <w:p>
            <w:r>
              <w:rPr/>
              <w:t>Muro estructural que soporta el peso de la construcción. Solo puede modificarse con supervisión técnica</w:t>
            </w:r>
          </w:p>
        </w:tc>
      </w:tr>
      <w:tr>
        <w:tc>
          <w:tcPr>
            <w:tcW w:type="dxa" w:w="4844"/>
          </w:tcPr>
          <w:p>
            <w:r>
              <w:rPr/>
              <w:t>Pretil</w:t>
            </w:r>
          </w:p>
        </w:tc>
        <w:tc>
          <w:tcPr>
            <w:tcW w:type="dxa" w:w="4844"/>
          </w:tcPr>
          <w:p>
            <w:r>
              <w:rPr/>
              <w:t>Muro bajo en el borde de azotea que oculta tinacos y equipos visibles desde la calle</w:t>
            </w:r>
          </w:p>
        </w:tc>
      </w:tr>
      <w:tr>
        <w:tc>
          <w:tcPr>
            <w:tcW w:type="dxa" w:w="4844"/>
          </w:tcPr>
          <w:p>
            <w:r>
              <w:rPr/>
              <w:t>Vitropiso</w:t>
            </w:r>
          </w:p>
        </w:tc>
        <w:tc>
          <w:tcPr>
            <w:tcW w:type="dxa" w:w="4844"/>
          </w:tcPr>
          <w:p>
            <w:r>
              <w:rPr/>
              <w:t>Baldosa brillante; en el Reglamento se refiere al material de fachada del proyecto original de HABI</w:t>
            </w:r>
          </w:p>
        </w:tc>
      </w:tr>
    </w:tbl>
    <w:p>
      <w:pPr>
        <w:pStyle w:val="Heading3"/>
        <w:spacing w:before="300" w:after="120"/>
      </w:pPr>
      <w:r>
        <w:rPr>
          <w:b/>
          <w:color w:val="3D5168"/>
          <w:sz w:val="28"/>
        </w:rPr>
        <w:t>Términos legales y financieros</w:t>
      </w:r>
    </w:p>
    <w:tbl>
      <w:tblPr>
        <w:tblStyle w:val="TableGrid"/>
        <w:tblW w:type="auto" w:w="0"/>
        <w:tblLook w:firstColumn="1" w:firstRow="1" w:lastColumn="0" w:lastRow="0" w:noHBand="0" w:noVBand="1" w:val="04A0"/>
      </w:tblPr>
      <w:tblGrid>
        <w:gridCol w:w="4844"/>
        <w:gridCol w:w="4844"/>
      </w:tblGrid>
      <w:tr>
        <w:tc>
          <w:tcPr>
            <w:tcW w:type="dxa" w:w="4844"/>
          </w:tcPr>
          <w:p>
            <w:r>
              <w:rPr>
                <w:b/>
              </w:rPr>
              <w:t>Término</w:t>
            </w:r>
          </w:p>
        </w:tc>
        <w:tc>
          <w:tcPr>
            <w:tcW w:type="dxa" w:w="4844"/>
          </w:tcPr>
          <w:p>
            <w:r>
              <w:rPr>
                <w:b/>
              </w:rPr>
              <w:t>Definición</w:t>
            </w:r>
          </w:p>
        </w:tc>
      </w:tr>
      <w:tr>
        <w:tc>
          <w:tcPr>
            <w:tcW w:type="dxa" w:w="4844"/>
          </w:tcPr>
          <w:p>
            <w:r>
              <w:rPr/>
              <w:t>Aprobación tácita</w:t>
            </w:r>
          </w:p>
        </w:tc>
        <w:tc>
          <w:tcPr>
            <w:tcW w:type="dxa" w:w="4844"/>
          </w:tcPr>
          <w:p>
            <w:r>
              <w:rPr/>
              <w:t>El silencio dentro de un plazo establecido equivale a dar el visto bueno</w:t>
            </w:r>
          </w:p>
        </w:tc>
      </w:tr>
      <w:tr>
        <w:tc>
          <w:tcPr>
            <w:tcW w:type="dxa" w:w="4844"/>
          </w:tcPr>
          <w:p>
            <w:r>
              <w:rPr/>
              <w:t>UMA</w:t>
            </w:r>
          </w:p>
        </w:tc>
        <w:tc>
          <w:tcPr>
            <w:tcW w:type="dxa" w:w="4844"/>
          </w:tcPr>
          <w:p>
            <w:r>
              <w:rPr/>
              <w:t xml:space="preserve">Unidad de Medida y Actualización. Valor en pesos que publica el INEGI cada febrero conforme al INPC. Se usa como referencia para fijar multas y obligaciones de modo que se actualicen automáticamente con la inflación sin necesidad de modificar los documentos que las establecen. </w:t>
            </w:r>
            <w:r>
              <w:rPr>
                <w:b/>
              </w:rPr>
              <w:t>Valor 2026: $117.31 MXN diarios / $3,566.22 mensuales.</w:t>
            </w:r>
            <w:r>
              <w:rPr/>
              <w:t xml:space="preserve"> Consultar el valor vigente en inegi.org.mx</w:t>
            </w:r>
          </w:p>
        </w:tc>
      </w:tr>
      <w:tr>
        <w:tc>
          <w:tcPr>
            <w:tcW w:type="dxa" w:w="4844"/>
          </w:tcPr>
          <w:p>
            <w:r>
              <w:rPr/>
              <w:t>Constancia de No Adeudo</w:t>
            </w:r>
          </w:p>
        </w:tc>
        <w:tc>
          <w:tcPr>
            <w:tcW w:type="dxa" w:w="4844"/>
          </w:tcPr>
          <w:p>
            <w:r>
              <w:rPr/>
              <w:t>Acredita que el condómino está al corriente en cuotas. Obligatoria para vender (Art. 14o. Reglamento)</w:t>
            </w:r>
          </w:p>
        </w:tc>
      </w:tr>
      <w:tr>
        <w:tc>
          <w:tcPr>
            <w:tcW w:type="dxa" w:w="4844"/>
          </w:tcPr>
          <w:p>
            <w:r>
              <w:rPr/>
              <w:t>Constancia de Estado de Modificaciones</w:t>
            </w:r>
          </w:p>
        </w:tc>
        <w:tc>
          <w:tcPr>
            <w:tcW w:type="dxa" w:w="4844"/>
          </w:tcPr>
          <w:p>
            <w:r>
              <w:rPr/>
              <w:t>Documento nuevo propuesto: acredita qué obras han sido autorizadas en el lote</w:t>
            </w:r>
          </w:p>
        </w:tc>
      </w:tr>
      <w:tr>
        <w:tc>
          <w:tcPr>
            <w:tcW w:type="dxa" w:w="4844"/>
          </w:tcPr>
          <w:p>
            <w:r>
              <w:rPr/>
              <w:t>Impugnar</w:t>
            </w:r>
          </w:p>
        </w:tc>
        <w:tc>
          <w:tcPr>
            <w:tcW w:type="dxa" w:w="4844"/>
          </w:tcPr>
          <w:p>
            <w:r>
              <w:rPr/>
              <w:t>Cuestionar formalmente la validez de una decisión usando los medios legales disponibles</w:t>
            </w:r>
          </w:p>
        </w:tc>
      </w:tr>
      <w:tr>
        <w:tc>
          <w:tcPr>
            <w:tcW w:type="dxa" w:w="4844"/>
          </w:tcPr>
          <w:p>
            <w:r>
              <w:rPr/>
              <w:t>Plusvalía</w:t>
            </w:r>
          </w:p>
        </w:tc>
        <w:tc>
          <w:tcPr>
            <w:tcW w:type="dxa" w:w="4844"/>
          </w:tcPr>
          <w:p>
            <w:r>
              <w:rPr/>
              <w:t>Incremento en el valor de una propiedad con el tiempo</w:t>
            </w:r>
          </w:p>
        </w:tc>
      </w:tr>
      <w:tr>
        <w:tc>
          <w:tcPr>
            <w:tcW w:type="dxa" w:w="4844"/>
          </w:tcPr>
          <w:p>
            <w:r>
              <w:rPr/>
              <w:t>Quórum</w:t>
            </w:r>
          </w:p>
        </w:tc>
        <w:tc>
          <w:tcPr>
            <w:tcW w:type="dxa" w:w="4844"/>
          </w:tcPr>
          <w:p>
            <w:r>
              <w:rPr/>
              <w:t>Número mínimo de participantes para que una Asamblea sea válida</w:t>
            </w:r>
          </w:p>
        </w:tc>
      </w:tr>
      <w:tr>
        <w:tc>
          <w:tcPr>
            <w:tcW w:type="dxa" w:w="4844"/>
          </w:tcPr>
          <w:p>
            <w:r>
              <w:rPr/>
              <w:t>Regularización</w:t>
            </w:r>
          </w:p>
        </w:tc>
        <w:tc>
          <w:tcPr>
            <w:tcW w:type="dxa" w:w="4844"/>
          </w:tcPr>
          <w:p>
            <w:r>
              <w:rPr/>
              <w:t>Proceso de obtener autorización retroactiva para una obra ya construida</w:t>
            </w:r>
          </w:p>
        </w:tc>
      </w:tr>
      <w:tr>
        <w:tc>
          <w:tcPr>
            <w:tcW w:type="dxa" w:w="4844"/>
          </w:tcPr>
          <w:p>
            <w:r>
              <w:rPr/>
              <w:t>Restitución</w:t>
            </w:r>
          </w:p>
        </w:tc>
        <w:tc>
          <w:tcPr>
            <w:tcW w:type="dxa" w:w="4844"/>
          </w:tcPr>
          <w:p>
            <w:r>
              <w:rPr/>
              <w:t>Obligación de devolver el inmueble a su estado original</w:t>
            </w:r>
          </w:p>
        </w:tc>
      </w:tr>
      <w:tr>
        <w:tc>
          <w:tcPr>
            <w:tcW w:type="dxa" w:w="4844"/>
          </w:tcPr>
          <w:p>
            <w:r>
              <w:rPr/>
              <w:t>Vinculante</w:t>
            </w:r>
          </w:p>
        </w:tc>
        <w:tc>
          <w:tcPr>
            <w:tcW w:type="dxa" w:w="4844"/>
          </w:tcPr>
          <w:p>
            <w:r>
              <w:rPr/>
              <w:t>Que obliga. Las decisiones de la Asamblea son vinculantes para todos los condóminos</w:t>
            </w:r>
          </w:p>
        </w:tc>
      </w:tr>
    </w:tbl>
    <w:p>
      <w:pPr>
        <w:pStyle w:val="Heading3"/>
        <w:spacing w:before="300" w:after="120"/>
      </w:pPr>
      <w:r>
        <w:rPr>
          <w:b/>
          <w:color w:val="3D5168"/>
          <w:sz w:val="28"/>
        </w:rPr>
        <w:t>Siglas y abreviaturas</w:t>
      </w:r>
    </w:p>
    <w:tbl>
      <w:tblPr>
        <w:tblStyle w:val="TableGrid"/>
        <w:tblW w:type="auto" w:w="0"/>
        <w:tblLook w:firstColumn="1" w:firstRow="1" w:lastColumn="0" w:lastRow="0" w:noHBand="0" w:noVBand="1" w:val="04A0"/>
      </w:tblPr>
      <w:tblGrid>
        <w:gridCol w:w="4844"/>
        <w:gridCol w:w="4844"/>
      </w:tblGrid>
      <w:tr>
        <w:tc>
          <w:tcPr>
            <w:tcW w:type="dxa" w:w="4844"/>
          </w:tcPr>
          <w:p>
            <w:r>
              <w:rPr>
                <w:b/>
              </w:rPr>
              <w:t>Sigla</w:t>
            </w:r>
          </w:p>
        </w:tc>
        <w:tc>
          <w:tcPr>
            <w:tcW w:type="dxa" w:w="4844"/>
          </w:tcPr>
          <w:p>
            <w:r>
              <w:rPr>
                <w:b/>
              </w:rPr>
              <w:t>Significado</w:t>
            </w:r>
          </w:p>
        </w:tc>
      </w:tr>
      <w:tr>
        <w:tc>
          <w:tcPr>
            <w:tcW w:type="dxa" w:w="4844"/>
          </w:tcPr>
          <w:p>
            <w:r>
              <w:rPr/>
              <w:t>CAI</w:t>
            </w:r>
          </w:p>
        </w:tc>
        <w:tc>
          <w:tcPr>
            <w:tcW w:type="dxa" w:w="4844"/>
          </w:tcPr>
          <w:p>
            <w:r>
              <w:rPr/>
              <w:t>Community Associations Institute — organización internacional especializada en comunidades residenciales</w:t>
            </w:r>
          </w:p>
        </w:tc>
      </w:tr>
      <w:tr>
        <w:tc>
          <w:tcPr>
            <w:tcW w:type="dxa" w:w="4844"/>
          </w:tcPr>
          <w:p>
            <w:r>
              <w:rPr/>
              <w:t>COS / CUS</w:t>
            </w:r>
          </w:p>
        </w:tc>
        <w:tc>
          <w:tcPr>
            <w:tcW w:type="dxa" w:w="4844"/>
          </w:tcPr>
          <w:p>
            <w:r>
              <w:rPr/>
              <w:t>Ver tabla de Arquitectura y Construcción</w:t>
            </w:r>
          </w:p>
        </w:tc>
      </w:tr>
      <w:tr>
        <w:tc>
          <w:tcPr>
            <w:tcW w:type="dxa" w:w="4844"/>
          </w:tcPr>
          <w:p>
            <w:r>
              <w:rPr/>
              <w:t>DRO</w:t>
            </w:r>
          </w:p>
        </w:tc>
        <w:tc>
          <w:tcPr>
            <w:tcW w:type="dxa" w:w="4844"/>
          </w:tcPr>
          <w:p>
            <w:r>
              <w:rPr/>
              <w:t>Director Responsable de Obra</w:t>
            </w:r>
          </w:p>
        </w:tc>
      </w:tr>
      <w:tr>
        <w:tc>
          <w:tcPr>
            <w:tcW w:type="dxa" w:w="4844"/>
          </w:tcPr>
          <w:p>
            <w:r>
              <w:rPr/>
              <w:t>HABI</w:t>
            </w:r>
          </w:p>
        </w:tc>
        <w:tc>
          <w:tcPr>
            <w:tcW w:type="dxa" w:w="4844"/>
          </w:tcPr>
          <w:p>
            <w:r>
              <w:rPr/>
              <w:t>PROMOCIONES HABI, S.A. de C.V. — empresa desarrolladora del Fraccionamiento Solé</w:t>
            </w:r>
          </w:p>
        </w:tc>
      </w:tr>
      <w:tr>
        <w:tc>
          <w:tcPr>
            <w:tcW w:type="dxa" w:w="4844"/>
          </w:tcPr>
          <w:p>
            <w:r>
              <w:rPr/>
              <w:t>SHF</w:t>
            </w:r>
          </w:p>
        </w:tc>
        <w:tc>
          <w:tcPr>
            <w:tcW w:type="dxa" w:w="4844"/>
          </w:tcPr>
          <w:p>
            <w:r>
              <w:rPr/>
              <w:t>Sociedad Hipotecaria Federal — publica el Índice de Precios de la Vivienda en México</w:t>
            </w:r>
          </w:p>
        </w:tc>
      </w:tr>
      <w:tr>
        <w:tc>
          <w:tcPr>
            <w:tcW w:type="dxa" w:w="4844"/>
          </w:tcPr>
          <w:p>
            <w:r>
              <w:rPr/>
              <w:t>SLP</w:t>
            </w:r>
          </w:p>
        </w:tc>
        <w:tc>
          <w:tcPr>
            <w:tcW w:type="dxa" w:w="4844"/>
          </w:tcPr>
          <w:p>
            <w:r>
              <w:rPr/>
              <w:t>San Luis Potosí (estado o ciudad capital, según contexto)</w:t>
            </w:r>
          </w:p>
        </w:tc>
      </w:tr>
      <w:tr>
        <w:tc>
          <w:tcPr>
            <w:tcW w:type="dxa" w:w="4844"/>
          </w:tcPr>
          <w:p>
            <w:r>
              <w:rPr/>
              <w:t>UMA</w:t>
            </w:r>
          </w:p>
        </w:tc>
        <w:tc>
          <w:tcPr>
            <w:tcW w:type="dxa" w:w="4844"/>
          </w:tcPr>
          <w:p>
            <w:r>
              <w:rPr/>
              <w:t>Unidad de Medida y Actualización — ver tabla de Términos legales y financieros</w:t>
            </w:r>
          </w:p>
        </w:tc>
      </w:tr>
    </w:tbl>
    <w:p>
      <w:pPr>
        <w:pBdr>
          <w:bottom w:val="single" w:sz="6" w:space="1" w:color="E2E8F0"/>
        </w:pBdr>
      </w:pPr>
    </w:p>
    <w:p>
      <w:pPr>
        <w:pBdr>
          <w:bottom w:val="single" w:sz="6" w:space="1" w:color="E2E8F0"/>
        </w:pBdr>
      </w:pPr>
    </w:p>
    <w:p>
      <w:pPr>
        <w:pStyle w:val="Heading2"/>
        <w:spacing w:before="360" w:after="180"/>
      </w:pPr>
      <w:r>
        <w:rPr>
          <w:b/>
          <w:color w:val="1B2C3E"/>
          <w:sz w:val="36"/>
        </w:rPr>
        <w:t>3. Marco legal de referencia</w:t>
      </w:r>
    </w:p>
    <w:p>
      <w:pPr>
        <w:pStyle w:val="Heading3"/>
        <w:spacing w:before="300" w:after="120"/>
      </w:pPr>
      <w:r>
        <w:rPr>
          <w:b/>
          <w:color w:val="3D5168"/>
          <w:sz w:val="28"/>
        </w:rPr>
        <w:t>Normatividad del condominio</w:t>
      </w:r>
    </w:p>
    <w:p>
      <w:pPr>
        <w:pStyle w:val="ListBullet"/>
      </w:pPr>
      <w:r>
        <w:rPr/>
        <w:t>Reglamento del Régimen de Propiedad en Condominio El Toro — Fraccionamiento Solé (Escritura 94589)</w:t>
      </w:r>
    </w:p>
    <w:p>
      <w:pPr>
        <w:pStyle w:val="ListBullet"/>
      </w:pPr>
      <w:r>
        <w:rPr/>
        <w:t>Escritura constitutiva No. 94589, PROMOCIONES HABI, S.A. de C.V.</w:t>
      </w:r>
    </w:p>
    <w:p>
      <w:pPr>
        <w:pStyle w:val="Heading3"/>
        <w:spacing w:before="300" w:after="120"/>
      </w:pPr>
      <w:r>
        <w:rPr>
          <w:b/>
          <w:color w:val="3D5168"/>
          <w:sz w:val="28"/>
        </w:rPr>
        <w:t>Legislación estatal</w:t>
      </w:r>
    </w:p>
    <w:p>
      <w:pPr>
        <w:pStyle w:val="ListBullet"/>
      </w:pPr>
      <w:r>
        <w:rPr/>
      </w:r>
      <w:r>
        <w:rPr>
          <w:b/>
        </w:rPr>
        <w:t>Ley sobre el Régimen de la Propiedad en Condominio del Estado de SLP</w:t>
      </w:r>
      <w:r>
        <w:rPr/>
        <w:t xml:space="preserve"> — Arts. 16, 29 (fracs. I y IV), 33, 42, 61 (frac. XI), 65, 66, 83, 85, 87, 90, 92, 97 (frac. l)</w:t>
      </w:r>
    </w:p>
    <w:p>
      <w:pPr>
        <w:pStyle w:val="ListBullet"/>
      </w:pPr>
      <w:r>
        <w:rPr/>
        <w:t>Código Civil para el Estado de SLP — servidumbres, copropiedad y responsabilidad civil</w:t>
      </w:r>
    </w:p>
    <w:p>
      <w:pPr>
        <w:pStyle w:val="ListBullet"/>
      </w:pPr>
      <w:r>
        <w:rPr/>
        <w:t>Ley de Desarrollo Urbano del Estado de SLP</w:t>
      </w:r>
    </w:p>
    <w:p>
      <w:pPr>
        <w:pStyle w:val="ListBullet"/>
      </w:pPr>
      <w:r>
        <w:rPr/>
        <w:t>Ley de Transparencia y Acceso a la Información Pública del Estado de SLP</w:t>
      </w:r>
    </w:p>
    <w:p>
      <w:pPr>
        <w:pStyle w:val="Heading3"/>
        <w:spacing w:before="300" w:after="120"/>
      </w:pPr>
      <w:r>
        <w:rPr>
          <w:b/>
          <w:color w:val="3D5168"/>
          <w:sz w:val="28"/>
        </w:rPr>
        <w:t>Legislación federal</w:t>
      </w:r>
    </w:p>
    <w:p>
      <w:pPr>
        <w:pStyle w:val="ListBullet"/>
      </w:pPr>
      <w:r>
        <w:rPr/>
      </w:r>
      <w:r>
        <w:rPr>
          <w:b/>
        </w:rPr>
        <w:t>Constitución Política de los Estados Unidos Mexicanos</w:t>
      </w:r>
      <w:r>
        <w:rPr/>
        <w:t xml:space="preserve"> — Arts. 14 y 16 (debido proceso y seguridad jurídica)</w:t>
      </w:r>
    </w:p>
    <w:p>
      <w:pPr>
        <w:pStyle w:val="ListBullet"/>
      </w:pPr>
      <w:r>
        <w:rPr/>
      </w:r>
      <w:r>
        <w:rPr>
          <w:b/>
        </w:rPr>
        <w:t>Código Civil Federal</w:t>
      </w:r>
      <w:r>
        <w:rPr/>
        <w:t xml:space="preserve"> — Arts. 830 y 840 (límites al derecho de propiedad)</w:t>
      </w:r>
    </w:p>
    <w:p>
      <w:pPr>
        <w:pStyle w:val="ListBullet"/>
      </w:pPr>
      <w:r>
        <w:rPr/>
      </w:r>
      <w:r>
        <w:rPr>
          <w:b/>
        </w:rPr>
        <w:t>Ley Federal de Protección al Consumidor</w:t>
      </w:r>
      <w:r>
        <w:rPr/>
        <w:t xml:space="preserve"> — Arts. 73 y 73 BIS (obligaciones del proveedor de vivienda hacia el comprador)</w:t>
      </w:r>
    </w:p>
    <w:p>
      <w:pPr>
        <w:pStyle w:val="Heading3"/>
        <w:spacing w:before="300" w:after="120"/>
      </w:pPr>
      <w:r>
        <w:rPr>
          <w:b/>
          <w:color w:val="3D5168"/>
          <w:sz w:val="28"/>
        </w:rPr>
        <w:t>Normatividad municipal</w:t>
      </w:r>
    </w:p>
    <w:p>
      <w:pPr>
        <w:pStyle w:val="ListBullet"/>
      </w:pPr>
      <w:r>
        <w:rPr/>
        <w:t>Reglamento de Construcción del Municipio de Soledad de Graciano Sánchez, SLP</w:t>
      </w:r>
    </w:p>
    <w:p>
      <w:pPr>
        <w:pStyle w:val="ListBullet"/>
      </w:pPr>
      <w:r>
        <w:rPr/>
        <w:t>Normas de la Dirección de Administración y Desarrollo Urbano del Municipio de Soledad</w:t>
      </w:r>
    </w:p>
    <w:p>
      <w:pPr>
        <w:pStyle w:val="Heading3"/>
        <w:spacing w:before="300" w:after="120"/>
      </w:pPr>
      <w:r>
        <w:rPr>
          <w:b/>
          <w:color w:val="3D5168"/>
          <w:sz w:val="28"/>
        </w:rPr>
        <w:t>Fuentes técnicas</w:t>
      </w:r>
    </w:p>
    <w:p>
      <w:pPr>
        <w:pStyle w:val="ListBullet"/>
      </w:pPr>
      <w:r>
        <w:rPr/>
        <w:t xml:space="preserve">Community Associations Institute (CAI). </w:t>
      </w:r>
      <w:r>
        <w:rPr>
          <w:i/>
        </w:rPr>
        <w:t>How Does an HOA Increase Property Values?</w:t>
      </w:r>
      <w:r>
        <w:rPr/>
        <w:t xml:space="preserve"> 2025. hub.associaonline.com</w:t>
      </w:r>
    </w:p>
    <w:p>
      <w:pPr>
        <w:pStyle w:val="ListBullet"/>
      </w:pPr>
      <w:r>
        <w:rPr/>
        <w:t xml:space="preserve">Cheung, R., Cunningham, C. y Meltzer, R. </w:t>
      </w:r>
      <w:r>
        <w:rPr>
          <w:i/>
        </w:rPr>
        <w:t>Journal of Housing Economics</w:t>
      </w:r>
      <w:r>
        <w:rPr/>
        <w:t>, Vol. 24, 2014</w:t>
      </w:r>
    </w:p>
    <w:p>
      <w:pPr>
        <w:pStyle w:val="ListBullet"/>
      </w:pPr>
      <w:r>
        <w:rPr/>
        <w:t xml:space="preserve">Sociedad Hipotecaria Federal (SHF). </w:t>
      </w:r>
      <w:r>
        <w:rPr>
          <w:i/>
        </w:rPr>
        <w:t>Índice SHF de Precios de la Vivienda</w:t>
      </w:r>
      <w:r>
        <w:rPr/>
        <w:t>, 2T 2025. gob.mx/shf</w:t>
      </w:r>
    </w:p>
    <w:p>
      <w:pPr>
        <w:pStyle w:val="ListBullet"/>
      </w:pPr>
      <w:r>
        <w:rPr/>
        <w:t xml:space="preserve">Buildium. </w:t>
      </w:r>
      <w:r>
        <w:rPr>
          <w:i/>
        </w:rPr>
        <w:t>HOA Architectural Guidelines.</w:t>
      </w:r>
      <w:r>
        <w:rPr/>
        <w:t xml:space="preserve"> 2026. buildium.com</w:t>
      </w:r>
    </w:p>
    <w:p>
      <w:pPr>
        <w:pBdr>
          <w:bottom w:val="single" w:sz="6" w:space="1" w:color="E2E8F0"/>
        </w:pBdr>
      </w:pPr>
    </w:p>
    <w:sectPr w:rsidR="00FC693F" w:rsidRPr="0006063C" w:rsidSect="00034616">
      <w:headerReference w:type="default" r:id="rId9"/>
      <w:footerReference w:type="default" r:id="rId10"/>
      <w:pgSz w:w="12240" w:h="15840"/>
      <w:pgMar w:top="1417" w:right="1134"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A8796"/>
        <w:sz w:val="16"/>
      </w:rPr>
      <w:fldChar w:fldCharType="begin"/>
      <w:instrText xml:space="preserve"> PAGE </w:instrText>
      <w:fldChar w:fldCharType="end"/>
    </w:r>
    <w:r>
      <w:rPr>
        <w:color w:val="7A8796"/>
        <w:sz w:val="16"/>
      </w:rPr>
      <w:t xml:space="preserve"> / </w:t>
    </w:r>
    <w:r>
      <w:rPr>
        <w:color w:val="7A8796"/>
        <w:sz w:val="16"/>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tabs>
        <w:tab w:val="right" w:pos="9354"/>
      </w:tabs>
      <w:pBdr>
        <w:bottom w:val="single" w:sz="4" w:space="1" w:color="E2E8F0"/>
      </w:pBdr>
    </w:pPr>
    <w:r>
      <w:rPr>
        <w:color w:val="7A8796"/>
        <w:sz w:val="16"/>
      </w:rPr>
      <w:t>Daniel Chávez Flores</w:t>
    </w:r>
    <w:r>
      <w:tab/>
    </w:r>
    <w:r>
      <w:rPr>
        <w:i/>
        <w:color w:val="7A8796"/>
        <w:sz w:val="16"/>
      </w:rPr>
      <w:t>Fraccionamiento Solé — El Toro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