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360" w:after="180"/>
      </w:pPr>
      <w:r>
        <w:rPr>
          <w:b/>
          <w:color w:val="1B2C3E"/>
          <w:sz w:val="36"/>
        </w:rPr>
        <w:t>3. Marco legal de referencia</w:t>
      </w:r>
    </w:p>
    <w:p>
      <w:pPr>
        <w:pStyle w:val="Heading3"/>
        <w:spacing w:before="300" w:after="120"/>
      </w:pPr>
      <w:r>
        <w:rPr>
          <w:b/>
          <w:color w:val="3D5168"/>
          <w:sz w:val="28"/>
        </w:rPr>
        <w:t>Normatividad del condominio</w:t>
      </w:r>
    </w:p>
    <w:p>
      <w:pPr>
        <w:pStyle w:val="ListBullet"/>
      </w:pPr>
      <w:r>
        <w:rPr/>
        <w:t>Reglamento del Régimen de Propiedad en Condominio El Toro — Fraccionamiento Solé (Escritura 94589)</w:t>
      </w:r>
    </w:p>
    <w:p>
      <w:pPr>
        <w:pStyle w:val="ListBullet"/>
      </w:pPr>
      <w:r>
        <w:rPr/>
        <w:t>Escritura constitutiva No. 94589, PROMOCIONES HABI, S.A. de C.V.</w:t>
      </w:r>
    </w:p>
    <w:p>
      <w:pPr>
        <w:pStyle w:val="Heading3"/>
        <w:spacing w:before="300" w:after="120"/>
      </w:pPr>
      <w:r>
        <w:rPr>
          <w:b/>
          <w:color w:val="3D5168"/>
          <w:sz w:val="28"/>
        </w:rPr>
        <w:t>Legislación estatal</w:t>
      </w:r>
    </w:p>
    <w:p>
      <w:pPr>
        <w:pStyle w:val="ListBullet"/>
      </w:pPr>
      <w:r>
        <w:rPr/>
      </w:r>
      <w:r>
        <w:rPr>
          <w:b/>
        </w:rPr>
        <w:t>Ley sobre el Régimen de la Propiedad en Condominio del Estado de SLP</w:t>
      </w:r>
      <w:r>
        <w:rPr/>
        <w:t xml:space="preserve"> — Arts. 16, 29 (fracs. I y IV), 33, 42, 61 (frac. XI), 65, 66, 83, 85, 87, 90, 92, 97 (frac. l)</w:t>
      </w:r>
    </w:p>
    <w:p>
      <w:pPr>
        <w:pStyle w:val="ListBullet"/>
      </w:pPr>
      <w:r>
        <w:rPr/>
        <w:t>Código Civil para el Estado de SLP — servidumbres, copropiedad y responsabilidad civil</w:t>
      </w:r>
    </w:p>
    <w:p>
      <w:pPr>
        <w:pStyle w:val="ListBullet"/>
      </w:pPr>
      <w:r>
        <w:rPr/>
        <w:t>Ley de Desarrollo Urbano del Estado de SLP</w:t>
      </w:r>
    </w:p>
    <w:p>
      <w:pPr>
        <w:pStyle w:val="ListBullet"/>
      </w:pPr>
      <w:r>
        <w:rPr/>
        <w:t>Ley de Transparencia y Acceso a la Información Pública del Estado de SLP</w:t>
      </w:r>
    </w:p>
    <w:p>
      <w:pPr>
        <w:pStyle w:val="Heading3"/>
        <w:spacing w:before="300" w:after="120"/>
      </w:pPr>
      <w:r>
        <w:rPr>
          <w:b/>
          <w:color w:val="3D5168"/>
          <w:sz w:val="28"/>
        </w:rPr>
        <w:t>Legislación federal</w:t>
      </w:r>
    </w:p>
    <w:p>
      <w:pPr>
        <w:pStyle w:val="ListBullet"/>
      </w:pPr>
      <w:r>
        <w:rPr/>
      </w:r>
      <w:r>
        <w:rPr>
          <w:b/>
        </w:rPr>
        <w:t>Constitución Política de los Estados Unidos Mexicanos</w:t>
      </w:r>
      <w:r>
        <w:rPr/>
        <w:t xml:space="preserve"> — Arts. 14 y 16 (debido proceso y seguridad jurídica)</w:t>
      </w:r>
    </w:p>
    <w:p>
      <w:pPr>
        <w:pStyle w:val="ListBullet"/>
      </w:pPr>
      <w:r>
        <w:rPr/>
      </w:r>
      <w:r>
        <w:rPr>
          <w:b/>
        </w:rPr>
        <w:t>Código Civil Federal</w:t>
      </w:r>
      <w:r>
        <w:rPr/>
        <w:t xml:space="preserve"> — Arts. 830 y 840 (límites al derecho de propiedad)</w:t>
      </w:r>
    </w:p>
    <w:p>
      <w:pPr>
        <w:pStyle w:val="ListBullet"/>
      </w:pPr>
      <w:r>
        <w:rPr/>
      </w:r>
      <w:r>
        <w:rPr>
          <w:b/>
        </w:rPr>
        <w:t>Ley Federal de Protección al Consumidor</w:t>
      </w:r>
      <w:r>
        <w:rPr/>
        <w:t xml:space="preserve"> — Arts. 73 y 73 BIS (obligaciones del proveedor de vivienda hacia el comprador)</w:t>
      </w:r>
    </w:p>
    <w:p>
      <w:pPr>
        <w:pStyle w:val="Heading3"/>
        <w:spacing w:before="300" w:after="120"/>
      </w:pPr>
      <w:r>
        <w:rPr>
          <w:b/>
          <w:color w:val="3D5168"/>
          <w:sz w:val="28"/>
        </w:rPr>
        <w:t>Normatividad municipal</w:t>
      </w:r>
    </w:p>
    <w:p>
      <w:pPr>
        <w:pStyle w:val="ListBullet"/>
      </w:pPr>
      <w:r>
        <w:rPr/>
        <w:t>Reglamento de Construcción del Municipio de Soledad de Graciano Sánchez, SLP</w:t>
      </w:r>
    </w:p>
    <w:p>
      <w:pPr>
        <w:pStyle w:val="ListBullet"/>
      </w:pPr>
      <w:r>
        <w:rPr/>
        <w:t>Normas de la Dirección de Administración y Desarrollo Urbano del Municipio de Soledad</w:t>
      </w:r>
    </w:p>
    <w:p>
      <w:pPr>
        <w:pStyle w:val="Heading3"/>
        <w:spacing w:before="300" w:after="120"/>
      </w:pPr>
      <w:r>
        <w:rPr>
          <w:b/>
          <w:color w:val="3D5168"/>
          <w:sz w:val="28"/>
        </w:rPr>
        <w:t>Fuentes técnicas</w:t>
      </w:r>
    </w:p>
    <w:p>
      <w:pPr>
        <w:pStyle w:val="ListBullet"/>
      </w:pPr>
      <w:r>
        <w:rPr/>
        <w:t xml:space="preserve">Community Associations Institute (CAI). </w:t>
      </w:r>
      <w:r>
        <w:rPr>
          <w:i/>
        </w:rPr>
        <w:t>How Does an HOA Increase Property Values?</w:t>
      </w:r>
      <w:r>
        <w:rPr/>
        <w:t xml:space="preserve"> 2025. hub.associaonline.com</w:t>
      </w:r>
    </w:p>
    <w:p>
      <w:pPr>
        <w:pStyle w:val="ListBullet"/>
      </w:pPr>
      <w:r>
        <w:rPr/>
        <w:t xml:space="preserve">Cheung, R., Cunningham, C. y Meltzer, R. </w:t>
      </w:r>
      <w:r>
        <w:rPr>
          <w:i/>
        </w:rPr>
        <w:t>Journal of Housing Economics</w:t>
      </w:r>
      <w:r>
        <w:rPr/>
        <w:t>, Vol. 24, 2014</w:t>
      </w:r>
    </w:p>
    <w:p>
      <w:pPr>
        <w:pStyle w:val="ListBullet"/>
      </w:pPr>
      <w:r>
        <w:rPr/>
        <w:t xml:space="preserve">Sociedad Hipotecaria Federal (SHF). </w:t>
      </w:r>
      <w:r>
        <w:rPr>
          <w:i/>
        </w:rPr>
        <w:t>Índice SHF de Precios de la Vivienda</w:t>
      </w:r>
      <w:r>
        <w:rPr/>
        <w:t>, 2T 2025. gob.mx/shf</w:t>
      </w:r>
    </w:p>
    <w:p>
      <w:pPr>
        <w:pStyle w:val="ListBullet"/>
      </w:pPr>
      <w:r>
        <w:rPr/>
        <w:t xml:space="preserve">Buildium. </w:t>
      </w:r>
      <w:r>
        <w:rPr>
          <w:i/>
        </w:rPr>
        <w:t>HOA Architectural Guidelines.</w:t>
      </w:r>
      <w:r>
        <w:rPr/>
        <w:t xml:space="preserve"> 2026. buildium.com</w:t>
      </w:r>
    </w:p>
    <w:p>
      <w:pPr>
        <w:pBdr>
          <w:bottom w:val="single" w:sz="6" w:space="1" w:color="E2E8F0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796"/>
        <w:sz w:val="16"/>
      </w:rPr>
      <w:fldChar w:fldCharType="begin"/>
      <w:instrText xml:space="preserve"> PAGE </w:instrText>
      <w:fldChar w:fldCharType="end"/>
    </w:r>
    <w:r>
      <w:rPr>
        <w:color w:val="7A8796"/>
        <w:sz w:val="16"/>
      </w:rPr>
      <w:t xml:space="preserve"> / </w:t>
    </w:r>
    <w:r>
      <w:rPr>
        <w:color w:val="7A8796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tabs>
        <w:tab w:val="right" w:pos="9354"/>
      </w:tabs>
      <w:pBdr>
        <w:bottom w:val="single" w:sz="4" w:space="1" w:color="E2E8F0"/>
      </w:pBdr>
    </w:pPr>
    <w:r>
      <w:rPr>
        <w:color w:val="7A8796"/>
        <w:sz w:val="16"/>
      </w:rPr>
      <w:t>Daniel Chávez Flores</w:t>
    </w:r>
    <w:r>
      <w:tab/>
    </w:r>
    <w:r>
      <w:rPr>
        <w:i/>
        <w:color w:val="7A8796"/>
        <w:sz w:val="16"/>
      </w:rPr>
      <w:t>Fraccionamiento Solé — El Toro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