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b/>
          <w:color w:val="1B2C3E"/>
          <w:sz w:val="48"/>
        </w:rPr>
        <w:t>Control Arquitectónico Obligatorio y Manual de Imagen Urbana</w:t>
      </w:r>
    </w:p>
    <w:p>
      <w:pPr>
        <w:spacing w:after="160"/>
      </w:pPr>
      <w:r>
        <w:rPr/>
      </w:r>
      <w:r>
        <w:rPr>
          <w:b/>
        </w:rPr>
        <w:t>Fraccionamiento Solé — El Toro</w:t>
      </w:r>
      <w:r>
        <w:rPr/>
      </w:r>
      <w:r>
        <w:t xml:space="preserve"> </w:t>
      </w:r>
      <w:r>
        <w:rPr>
          <w:i/>
        </w:rPr>
        <w:t>Propuesta de Reforma al Reglamento</w:t>
      </w:r>
    </w:p>
    <w:p>
      <w:pPr>
        <w:spacing w:after="160"/>
      </w:pPr>
      <w:r>
        <w:rPr/>
      </w:r>
      <w:r>
        <w:rPr>
          <w:b/>
        </w:rPr>
        <w:t>Presentado por:</w:t>
      </w:r>
      <w:r>
        <w:rPr/>
        <w:t xml:space="preserve"> Daniel Chávez Flores · Circuito de los Robles 136-B</w:t>
      </w:r>
      <w:r>
        <w:t xml:space="preserve"> </w:t>
      </w:r>
      <w:r>
        <w:rPr/>
      </w:r>
      <w:r>
        <w:rPr>
          <w:b/>
        </w:rPr>
        <w:t>Contacto:</w:t>
      </w:r>
      <w:r>
        <w:rPr/>
        <w:t xml:space="preserve"> Tel. 444-105-8700 · dchavezf@gmail.com</w:t>
      </w:r>
      <w:r>
        <w:t xml:space="preserve"> </w:t>
      </w:r>
      <w:r>
        <w:rPr/>
      </w:r>
      <w:r>
        <w:rPr>
          <w:b/>
        </w:rPr>
        <w:t>Calidad:</w:t>
      </w:r>
      <w:r>
        <w:rPr/>
        <w:t xml:space="preserve"> Condómino del Fraccionamiento Solé</w:t>
      </w:r>
      <w:r>
        <w:t xml:space="preserve"> </w:t>
      </w:r>
      <w:r>
        <w:rPr/>
      </w:r>
      <w:r>
        <w:rPr>
          <w:b/>
        </w:rPr>
        <w:t>Fecha:</w:t>
      </w:r>
      <w:r>
        <w:rPr/>
        <w:t xml:space="preserve"> Junio 2026, San Luis Potosí, S.L.P.</w:t>
      </w:r>
      <w:r>
        <w:t xml:space="preserve"> </w:t>
      </w:r>
      <w:r>
        <w:rPr/>
      </w:r>
      <w:r>
        <w:rPr>
          <w:b/>
        </w:rPr>
        <w:t>Fundamento:</w:t>
      </w:r>
      <w:r>
        <w:rPr/>
        <w:t xml:space="preserve"> Art. 99 del Reglamento Interno </w:t>
      </w:r>
      <w:r>
        <w:rPr>
          <w:i/>
        </w:rPr>
        <w:t>(«LOS CONDÓMINOS podrán convocar a ASAMBLEA GENERAL DE CONDÓMINOS [...] cuando representen por lo menos el 25% del total de los CONDÓMINOS»)</w:t>
      </w:r>
    </w:p>
    <w:p>
      <w:pPr>
        <w:pStyle w:val="Heading2"/>
        <w:spacing w:before="360" w:after="180"/>
      </w:pPr>
      <w:r>
        <w:rPr>
          <w:b/>
          <w:color w:val="1B2C3E"/>
          <w:sz w:val="36"/>
        </w:rPr>
        <w:t>Parte 1 — Introducción y resumen</w:t>
      </w:r>
    </w:p>
    <w:p>
      <w:pPr>
        <w:spacing w:after="160"/>
      </w:pPr>
      <w:r>
        <w:rPr/>
      </w:r>
      <w:r>
        <w:rPr>
          <w:b/>
        </w:rPr>
        <w:t>Para quién:</w:t>
      </w:r>
      <w:r>
        <w:rPr/>
        <w:t xml:space="preserve"> cualquier vecino que quiera entender de qué se trata antes de decidir si profundizar.</w:t>
      </w:r>
    </w:p>
    <w:p>
      <w:pPr>
        <w:spacing w:after="160"/>
      </w:pPr>
      <w:r>
        <w:rPr/>
        <w:t>Explica por qué la imagen del fraccionamiento tiene valor económico concreto, qué problema específico tiene el Reglamento actual, y resume en una página las cinco propuestas de cambio con su situación actual y el resultado esperado de cada una.</w:t>
      </w:r>
    </w:p>
    <w:p>
      <w:pPr>
        <w:spacing w:after="160"/>
      </w:pPr>
      <w:r>
        <w:rPr/>
      </w:r>
      <w:r>
        <w:rPr>
          <w:b/>
        </w:rPr>
        <w:t>Al terminar esta parte sabrás:</w:t>
      </w:r>
      <w:r>
        <w:rPr/>
        <w:t xml:space="preserve"> qué se propone, por qué importa y cuánto puede valer la diferencia en el valor de tu casa.</w:t>
      </w:r>
    </w:p>
    <w:p>
      <w:pPr>
        <w:spacing w:after="160"/>
      </w:pPr>
      <w:r>
        <w:rPr/>
      </w:r>
      <w:r>
        <w:rPr>
          <w:b/>
        </w:rPr>
        <w:t>Caso:</w:t>
      </w:r>
      <w:r>
        <w:rPr/>
        <w:t xml:space="preserve"> Un propietario quiere instalar un aljibe en el frente de su casa</w:t>
      </w:r>
    </w:p>
    <w:p>
      <w:pPr>
        <w:spacing w:after="160"/>
      </w:pPr>
      <w:r>
        <w:rPr/>
      </w:r>
      <w:r>
        <w:rPr>
          <w:b/>
        </w:rPr>
        <w:t>Situación →</w:t>
      </w:r>
      <w:r>
        <w:rPr/>
        <w:t xml:space="preserve"> Un propietario planea instalar un aljibe en la parte frontal de su lote para resolver el abasto de agua. No sabe si necesita permiso, si afecta la imagen del fraccionamiento, a quién consultarlo ni en qué plazo recibirá una respuesta.</w:t>
      </w:r>
    </w:p>
    <w:p>
      <w:pPr>
        <w:spacing w:after="160"/>
      </w:pPr>
      <w:r>
        <w:rPr/>
      </w:r>
      <w:r>
        <w:rPr>
          <w:b/>
        </w:rPr>
        <w:t>Acción →</w:t>
      </w:r>
      <w:r>
        <w:rPr/>
        <w:t xml:space="preserve"> Pregunta al Administrador. No hay un proceso escrito definido ni criterios claros sobre qué elementos pueden instalarse en el frente del lote. Le dicen que "habría que verlo" pero sin que nadie tenga autoridad formal para resolverlo.</w:t>
      </w:r>
    </w:p>
    <w:p>
      <w:pPr>
        <w:spacing w:after="160"/>
      </w:pPr>
      <w:r>
        <w:rPr/>
      </w:r>
      <w:r>
        <w:rPr>
          <w:b/>
        </w:rPr>
        <w:t>Resultado →</w:t>
      </w:r>
      <w:r>
        <w:rPr/>
        <w:t xml:space="preserve"> El propietario queda en una zona gris: si instala el aljibe sin autorización asume el riesgo de que más adelante alguien objete. Si espera, no sabe cuánto ni ante quién. El Reglamento vigente no le da una respuesta clara porque el proceso no está definido. Este es exactamente el vacío que la propuesta busca cerrar.</w:t>
      </w:r>
    </w:p>
    <w:sectPr w:rsidR="00FC693F" w:rsidRPr="0006063C" w:rsidSect="00034616">
      <w:headerReference w:type="default" r:id="rId9"/>
      <w:footerReference w:type="default" r:id="rId10"/>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6"/>
        <w:sz w:val="16"/>
      </w:rPr>
      <w:fldChar w:fldCharType="begin"/>
      <w:instrText xml:space="preserve"> PAGE </w:instrText>
      <w:fldChar w:fldCharType="end"/>
    </w:r>
    <w:r>
      <w:rPr>
        <w:color w:val="7A8796"/>
        <w:sz w:val="16"/>
      </w:rPr>
      <w:t xml:space="preserve"> / </w:t>
    </w:r>
    <w:r>
      <w:rPr>
        <w:color w:val="7A8796"/>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54"/>
      </w:tabs>
      <w:pBdr>
        <w:bottom w:val="single" w:sz="4" w:space="1" w:color="E2E8F0"/>
      </w:pBdr>
    </w:pPr>
    <w:r>
      <w:rPr>
        <w:color w:val="7A8796"/>
        <w:sz w:val="16"/>
      </w:rPr>
      <w:t>Daniel Chávez Flores</w:t>
    </w:r>
    <w:r>
      <w:tab/>
    </w:r>
    <w:r>
      <w:rPr>
        <w:i/>
        <w:color w:val="7A8796"/>
        <w:sz w:val="16"/>
      </w:rPr>
      <w:t>Examples Styles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