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Cladari IP Strategy, Legal Planning &amp; First-Year Budget</w:t>
      </w:r>
    </w:p>
    <w:p>
      <w:pPr>
        <w:pStyle w:val="Heading1"/>
      </w:pPr>
      <w:r>
        <w:t>1. IP Protection Prioritization: Trademarks &amp; Patents</w:t>
      </w:r>
    </w:p>
    <w:p>
      <w:pPr>
        <w:pStyle w:val="Heading2"/>
      </w:pPr>
      <w:r>
        <w:t>Trademarks — File Immediately</w:t>
      </w:r>
    </w:p>
    <w:p>
      <w:r>
        <w:t>- Cladari: Core brand name (word mark)</w:t>
        <w:br/>
        <w:t>- Numina: Sub-brand for voice AI assistant</w:t>
        <w:br/>
        <w:t>- Cladari logo: Optional design mark (can defer)</w:t>
      </w:r>
    </w:p>
    <w:p>
      <w:r>
        <w:t>Estimated Cost:</w:t>
        <w:br/>
        <w:t>- $250–$350 per USPTO filing</w:t>
        <w:br/>
        <w:t>- $800–$1,500 per mark for attorney guidance</w:t>
        <w:br/>
        <w:t>- Total Estimate: $3,000–$4,000 for immediate filings</w:t>
      </w:r>
    </w:p>
    <w:p>
      <w:pPr>
        <w:pStyle w:val="Heading2"/>
      </w:pPr>
      <w:r>
        <w:t>Patents — Consider Provisional Filing Now</w:t>
      </w:r>
    </w:p>
    <w:p>
      <w:r>
        <w:t>- DNA Lineage Mapping: File provisional patent to lock date</w:t>
        <w:br/>
        <w:t>- Provenance QR Architecture: Consider after MVP traction</w:t>
        <w:br/>
        <w:t>- Numina Interaction Memory: Defer until usage patterns validate IP</w:t>
      </w:r>
    </w:p>
    <w:p>
      <w:r>
        <w:t>Estimated Cost:</w:t>
        <w:br/>
        <w:t>- Provisional: $75–$150 filing + $1,500–$3,000 attorney</w:t>
        <w:br/>
        <w:t>- Non-provisional (later): $7,000–$15,000 per filing</w:t>
      </w:r>
    </w:p>
    <w:p>
      <w:pPr>
        <w:pStyle w:val="Heading1"/>
      </w:pPr>
      <w:r>
        <w:t>2. Confidentiality Agreement (NDA)</w:t>
      </w:r>
    </w:p>
    <w:p>
      <w:r>
        <w:t>A mutual NDA will be drafted to:</w:t>
        <w:br/>
        <w:t>- Cover product, branding, and plant genetics</w:t>
        <w:br/>
        <w:t>- Protect proprietary methods and strategy</w:t>
        <w:br/>
        <w:t>- Apply to all collaborators and contractors</w:t>
      </w:r>
    </w:p>
    <w:p>
      <w:pPr>
        <w:pStyle w:val="Heading1"/>
      </w:pPr>
      <w:r>
        <w:t>3. First-Year Budget (Realistic Range)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Estimated Range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Legal (IP, NDA, contracts)</w:t>
            </w:r>
          </w:p>
        </w:tc>
        <w:tc>
          <w:tcPr>
            <w:tcW w:type="dxa" w:w="2880"/>
          </w:tcPr>
          <w:p>
            <w:r>
              <w:t>$6,000–$10,000</w:t>
            </w:r>
          </w:p>
        </w:tc>
        <w:tc>
          <w:tcPr>
            <w:tcW w:type="dxa" w:w="2880"/>
          </w:tcPr>
          <w:p>
            <w:r>
              <w:t>Trademarks, provisional patent, entity setup</w:t>
            </w:r>
          </w:p>
        </w:tc>
      </w:tr>
      <w:tr>
        <w:tc>
          <w:tcPr>
            <w:tcW w:type="dxa" w:w="2880"/>
          </w:tcPr>
          <w:p>
            <w:r>
              <w:t>Accounting / Bookkeeping</w:t>
            </w:r>
          </w:p>
        </w:tc>
        <w:tc>
          <w:tcPr>
            <w:tcW w:type="dxa" w:w="2880"/>
          </w:tcPr>
          <w:p>
            <w:r>
              <w:t>$2,000–$4,000</w:t>
            </w:r>
          </w:p>
        </w:tc>
        <w:tc>
          <w:tcPr>
            <w:tcW w:type="dxa" w:w="2880"/>
          </w:tcPr>
          <w:p>
            <w:r>
              <w:t>Split entity management, QuickBooks</w:t>
            </w:r>
          </w:p>
        </w:tc>
      </w:tr>
      <w:tr>
        <w:tc>
          <w:tcPr>
            <w:tcW w:type="dxa" w:w="2880"/>
          </w:tcPr>
          <w:p>
            <w:r>
              <w:t>Software Dev (contract)</w:t>
            </w:r>
          </w:p>
        </w:tc>
        <w:tc>
          <w:tcPr>
            <w:tcW w:type="dxa" w:w="2880"/>
          </w:tcPr>
          <w:p>
            <w:r>
              <w:t>$10,000–$25,000</w:t>
            </w:r>
          </w:p>
        </w:tc>
        <w:tc>
          <w:tcPr>
            <w:tcW w:type="dxa" w:w="2880"/>
          </w:tcPr>
          <w:p>
            <w:r>
              <w:t>Based on MVP scope</w:t>
            </w:r>
          </w:p>
        </w:tc>
      </w:tr>
      <w:tr>
        <w:tc>
          <w:tcPr>
            <w:tcW w:type="dxa" w:w="2880"/>
          </w:tcPr>
          <w:p>
            <w:r>
              <w:t>AI Infrastructure (local)</w:t>
            </w:r>
          </w:p>
        </w:tc>
        <w:tc>
          <w:tcPr>
            <w:tcW w:type="dxa" w:w="2880"/>
          </w:tcPr>
          <w:p>
            <w:r>
              <w:t>$0</w:t>
            </w:r>
          </w:p>
        </w:tc>
        <w:tc>
          <w:tcPr>
            <w:tcW w:type="dxa" w:w="2880"/>
          </w:tcPr>
          <w:p>
            <w:r>
              <w:t>Mac Studio already equipped</w:t>
            </w:r>
          </w:p>
        </w:tc>
      </w:tr>
      <w:tr>
        <w:tc>
          <w:tcPr>
            <w:tcW w:type="dxa" w:w="2880"/>
          </w:tcPr>
          <w:p>
            <w:r>
              <w:t>Plant Ops &amp; Inventory</w:t>
            </w:r>
          </w:p>
        </w:tc>
        <w:tc>
          <w:tcPr>
            <w:tcW w:type="dxa" w:w="2880"/>
          </w:tcPr>
          <w:p>
            <w:r>
              <w:t>$5,000–$12,000</w:t>
            </w:r>
          </w:p>
        </w:tc>
        <w:tc>
          <w:tcPr>
            <w:tcW w:type="dxa" w:w="2880"/>
          </w:tcPr>
          <w:p>
            <w:r>
              <w:t>Media, care, labels, gear</w:t>
            </w:r>
          </w:p>
        </w:tc>
      </w:tr>
      <w:tr>
        <w:tc>
          <w:tcPr>
            <w:tcW w:type="dxa" w:w="2880"/>
          </w:tcPr>
          <w:p>
            <w:r>
              <w:t>Branding &amp; Marketing</w:t>
            </w:r>
          </w:p>
        </w:tc>
        <w:tc>
          <w:tcPr>
            <w:tcW w:type="dxa" w:w="2880"/>
          </w:tcPr>
          <w:p>
            <w:r>
              <w:t>$3,000–$6,000</w:t>
            </w:r>
          </w:p>
        </w:tc>
        <w:tc>
          <w:tcPr>
            <w:tcW w:type="dxa" w:w="2880"/>
          </w:tcPr>
          <w:p>
            <w:r>
              <w:t>Content, logo, social launch</w:t>
            </w:r>
          </w:p>
        </w:tc>
      </w:tr>
      <w:tr>
        <w:tc>
          <w:tcPr>
            <w:tcW w:type="dxa" w:w="2880"/>
          </w:tcPr>
          <w:p>
            <w:r>
              <w:t>Misc + Flex</w:t>
            </w:r>
          </w:p>
        </w:tc>
        <w:tc>
          <w:tcPr>
            <w:tcW w:type="dxa" w:w="2880"/>
          </w:tcPr>
          <w:p>
            <w:r>
              <w:t>$3,000</w:t>
            </w:r>
          </w:p>
        </w:tc>
        <w:tc>
          <w:tcPr>
            <w:tcW w:type="dxa" w:w="2880"/>
          </w:tcPr>
          <w:p>
            <w:r>
              <w:t>Lab costs, filings, overflow</w:t>
            </w:r>
          </w:p>
        </w:tc>
      </w:tr>
    </w:tbl>
    <w:p>
      <w:r>
        <w:t>Total Range (Lean to Growth Mode): $29,000 – $60,000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