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1e3a5f"/>
          <w:sz w:val="40"/>
          <w:szCs w:val="40"/>
        </w:rPr>
        <w:t xml:space="preserve">WAIMS Product Roadmap</w:t>
      </w:r>
    </w:p>
    <w:p>
      <w:pPr>
        <w:spacing w:before="0" w:after="240"/>
      </w:pPr>
      <w:r>
        <w:rPr>
          <w:rFonts w:ascii="Arial" w:cs="Arial" w:eastAsia="Arial" w:hAnsi="Arial"/>
          <w:color w:val="64748b"/>
          <w:sz w:val="20"/>
          <w:szCs w:val="20"/>
        </w:rPr>
        <w:t xml:space="preserve">Wellness &amp; Athlete Injury Management System  ·  v1.1  ·  March 2026</w:t>
      </w:r>
    </w:p>
    <w:p>
      <w:pPr>
        <w:pStyle w:val="Heading1"/>
        <w:spacing w:before="240" w:after="120"/>
      </w:pPr>
      <w:r>
        <w:rPr>
          <w:rFonts w:ascii="Arial" w:cs="Arial" w:eastAsia="Arial" w:hAnsi="Arial"/>
          <w:b/>
          <w:bCs/>
          <w:color w:val="1e3a5f"/>
          <w:sz w:val="28"/>
          <w:szCs w:val="28"/>
        </w:rPr>
        <w:t xml:space="preserve">Overview</w:t>
      </w:r>
    </w:p>
    <w:p>
      <w:pPr>
        <w:spacing w:before="60" w:after="60"/>
      </w:pPr>
      <w:r>
        <w:rPr>
          <w:rFonts w:ascii="Arial" w:cs="Arial" w:eastAsia="Arial" w:hAnsi="Arial"/>
          <w:b w:val="false"/>
          <w:bCs w:val="false"/>
          <w:color w:val="000000"/>
          <w:sz w:val="20"/>
          <w:szCs w:val="20"/>
        </w:rPr>
        <w:t xml:space="preserve">WAIMS is a Python + Streamlit athlete monitoring dashboard modelled on a WNBA-style roster (Dallas Wings inspired). It serves as a portfolio demonstration of sport science and software development capability, designed for two distinct audiences: coaches who need simple actionable readiness summaries, and sport scientists who need deeper analytical and evidence review tools.</w:t>
      </w:r>
    </w:p>
    <w:p>
      <w:pPr>
        <w:spacing w:before="60" w:after="60"/>
      </w:pPr>
      <w:r>
        <w:rPr>
          <w:rFonts w:ascii="Arial" w:cs="Arial" w:eastAsia="Arial" w:hAnsi="Arial"/>
          <w:b w:val="false"/>
          <w:bCs w:val="false"/>
          <w:color w:val="000000"/>
          <w:sz w:val="20"/>
          <w:szCs w:val="20"/>
        </w:rPr>
        <w:t xml:space="preserve">The system integrates wellness questionnaire data, force plate testing (CMJ, RSI-Modified), GPS/training load, injury tracking, and a Random Forest readiness forecasting model. Evidence thresholds are grounded in peer-reviewed systematic reviews and meta-analyses, following a formal evidence policy modelled on the Orlando Magic framework.</w:t>
      </w:r>
    </w:p>
    <w:p>
      <w:pPr>
        <w:pStyle w:val="Heading1"/>
        <w:spacing w:before="240" w:after="120"/>
      </w:pPr>
      <w:r>
        <w:rPr>
          <w:rFonts w:ascii="Arial" w:cs="Arial" w:eastAsia="Arial" w:hAnsi="Arial"/>
          <w:b/>
          <w:bCs/>
          <w:color w:val="1e3a5f"/>
          <w:sz w:val="28"/>
          <w:szCs w:val="28"/>
        </w:rPr>
        <w:t xml:space="preserve">Research Philosophy &amp; Contextual Adjustment</w:t>
      </w:r>
    </w:p>
    <w:p>
      <w:pPr>
        <w:spacing w:before="60" w:after="60"/>
      </w:pPr>
      <w:r>
        <w:rPr>
          <w:rFonts w:ascii="Arial" w:cs="Arial" w:eastAsia="Arial" w:hAnsi="Arial"/>
          <w:b/>
          <w:bCs/>
          <w:color w:val="000000"/>
          <w:sz w:val="20"/>
          <w:szCs w:val="20"/>
        </w:rPr>
        <w:t xml:space="preserve">Thresholds are set by research. Thresholds are adjusted by context.</w:t>
      </w:r>
    </w:p>
    <w:p>
      <w:pPr>
        <w:spacing w:before="60" w:after="60"/>
      </w:pPr>
      <w:r>
        <w:rPr>
          <w:rFonts w:ascii="Arial" w:cs="Arial" w:eastAsia="Arial" w:hAnsi="Arial"/>
          <w:b w:val="false"/>
          <w:bCs w:val="false"/>
          <w:color w:val="000000"/>
          <w:sz w:val="20"/>
          <w:szCs w:val="20"/>
        </w:rPr>
        <w:t xml:space="preserve">Published thresholds derive from heterogeneous populations. WAIMS accounts for basketball-specific demands: multi-directional deceleration load, WNBA schedule density (back-to-backs), positional load differentiation, and female-specific physiology. In a real high-performance department, thresholds are calibrated through collaboration between sport science, coaching, and medical staff — without silos. Evidence sets the starting point, practitioners adjust to their specific context.</w:t>
      </w:r>
    </w:p>
    <w:p>
      <w:pPr>
        <w:pStyle w:val="Heading1"/>
        <w:spacing w:before="240" w:after="120"/>
      </w:pPr>
      <w:r>
        <w:rPr>
          <w:rFonts w:ascii="Arial" w:cs="Arial" w:eastAsia="Arial" w:hAnsi="Arial"/>
          <w:b/>
          <w:bCs/>
          <w:color w:val="1e3a5f"/>
          <w:sz w:val="28"/>
          <w:szCs w:val="28"/>
        </w:rPr>
        <w:t xml:space="preserve">Evidence Policy</w:t>
      </w:r>
    </w:p>
    <w:p>
      <w:pPr>
        <w:spacing w:before="60" w:after="60"/>
      </w:pPr>
      <w:r>
        <w:rPr>
          <w:rFonts w:ascii="Arial" w:cs="Arial" w:eastAsia="Arial" w:hAnsi="Arial"/>
          <w:b w:val="false"/>
          <w:bCs w:val="false"/>
          <w:color w:val="000000"/>
          <w:sz w:val="20"/>
          <w:szCs w:val="20"/>
        </w:rPr>
        <w:t xml:space="preserve">No threshold change without a supporting meta-analysis or systematic review (Orlando Magic framework). New research enters via automated PubMed monitoring (GitHub Actions, weekly) and Sports Science AI (sportscienceai.com) for real-team deployment. Decision ladder: PENDING -&gt; Watchlist -&gt; Integrated | Rejected.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200"/>
        <w:gridCol w:w="2960"/>
      </w:tblGrid>
      <w:tr>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Gate</w:t>
            </w:r>
          </w:p>
        </w:tc>
        <w:tc>
          <w:tcPr>
            <w:tcW w:type="dxa" w:w="2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Criteria</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Action</w:t>
            </w:r>
          </w:p>
        </w:tc>
        <w:tc>
          <w:tcPr>
            <w:tcW w:type="dxa" w:w="29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Threshold Change?</w:t>
            </w:r>
          </w:p>
        </w:tc>
      </w:tr>
      <w:tr>
        <w:tc>
          <w:tcPr>
            <w:tcBorders>
              <w:top w:val="single" w:color="CCCCCC" w:sz="1"/>
              <w:left w:val="single" w:color="CCCCCC" w:sz="1"/>
              <w:bottom w:val="single" w:color="CCCCCC" w:sz="1"/>
              <w:right w:val="single" w:color="CCCCCC" w:sz="1"/>
            </w:tcBorders>
            <w:shd w:fill="dcfce7" w:val="clear"/>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CANDIDATE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Meta-analysis or SR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Formal staff review</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Eligible if relevant</w:t>
            </w:r>
          </w:p>
        </w:tc>
      </w:tr>
      <w:tr>
        <w:tc>
          <w:tcPr>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REVIEW</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Basketball-specific single study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Read full paper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 — watchlist only</w:t>
            </w:r>
          </w:p>
        </w:tc>
      </w:tr>
      <w:tr>
        <w:tc>
          <w:tcPr>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WATCHLIST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Prospective/cohort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Monitor for replication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BACKGROUND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Narrative/other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Awareness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r>
    </w:tbl>
    <w:p>
      <w:pPr>
        <w:pStyle w:val="Heading1"/>
        <w:spacing w:before="240" w:after="120"/>
      </w:pPr>
      <w:r>
        <w:rPr>
          <w:rFonts w:ascii="Arial" w:cs="Arial" w:eastAsia="Arial" w:hAnsi="Arial"/>
          <w:b/>
          <w:bCs/>
          <w:color w:val="1e3a5f"/>
          <w:sz w:val="28"/>
          <w:szCs w:val="28"/>
        </w:rPr>
        <w:t xml:space="preserve">Current State — V1 (Demo)</w:t>
      </w:r>
    </w:p>
    <w:p>
      <w:pPr>
        <w:pStyle w:val="Heading2"/>
        <w:spacing w:before="200" w:after="80"/>
      </w:pPr>
      <w:r>
        <w:rPr>
          <w:rFonts w:ascii="Arial" w:cs="Arial" w:eastAsia="Arial" w:hAnsi="Arial"/>
          <w:b/>
          <w:bCs/>
          <w:color w:val="1e3a5f"/>
          <w:sz w:val="22"/>
          <w:szCs w:val="22"/>
        </w:rPr>
        <w:t xml:space="preserve">Tab Structure (8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Tab</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Audience</w:t>
            </w:r>
          </w:p>
        </w:tc>
        <w:tc>
          <w:tcPr>
            <w:tcW w:type="dxa" w:w="5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Key Features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Command Center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Coach / GM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Morning brief, traffic lights, positional group strip, minutes cap labels, hidden fatigue flag, load projection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Today's Readiness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Sport Scientist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Battery view + z-score personal baseline comparison for all players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Athlete Profiles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Sport Scientist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Per-player deep-dive: speedometer gauges, pill meters, 7-day trends, basketball risk context, baseline comparison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Trends &amp; Load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Both</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Merged GPS + wellness rolling averages, training load charts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Jump Testing</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Sport Scientist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CMJ/RSI vs personal baseline, force plate trend charts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Availability &amp; Injuries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GM / Medical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Injury log, pre-injury wellness, days missed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Forecast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Both</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7-day risk watchlist, load projection, RF model details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Insights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Sport Scientist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Ask the Watchlist (natural language), model validation, evidence review inbox, correlations</w:t>
            </w:r>
          </w:p>
        </w:tc>
      </w:tr>
    </w:tbl>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e3a5f"/>
          <w:sz w:val="22"/>
          <w:szCs w:val="22"/>
        </w:rPr>
        <w:t xml:space="preserve">Readiness Formula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2000"/>
        <w:gridCol w:w="4260"/>
      </w:tblGrid>
      <w:t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Signal</w:t>
            </w:r>
          </w:p>
        </w:tc>
        <w:tc>
          <w:tcPr>
            <w:tcW w:type="dxa" w:w="9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Threshold</w:t>
            </w:r>
          </w:p>
        </w:tc>
        <w:tc>
          <w:tcPr>
            <w:tcW w:type="dxa" w:w="42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Evidence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CMJ z-score (30-day baseline)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35 pts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z &lt; -1.0 flag; z &lt; -1.5 high</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Gathercole 2015; Janetzki 2023 SR/meta (CMJ height validated for acceleration, r=0.69)</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RSI-Modified z-score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25 pts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z &lt; -1.0 flag</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Gathercole 2015 (elite female rugby 7s). Measures reactive strength / fatigue sensitivity — different signal to CMJ height. NBA/WNBA standard.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Sleep hours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20 pts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&lt; 7h flag; &lt; 6h hard floor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Walsh 2021 BJSM; Mah 2011; OR=1.34 injury risk meta 2025</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Soreness (0-10)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10 pts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&gt; 7 requires action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Hulin et al. 2016</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Mood + Stress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10 pts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Combined signal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Saw et al. 2016 SR (56 studies)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ACWR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0 pts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Contextual flag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Impellizzeri 2020 BJSM; 2025 meta</w:t>
            </w:r>
          </w:p>
        </w:tc>
      </w:tr>
    </w:tbl>
    <w:p>
      <w:pPr>
        <w:spacing w:before="60" w:after="60"/>
      </w:pPr>
      <w:r>
        <w:rPr>
          <w:rFonts w:ascii="Arial" w:cs="Arial" w:eastAsia="Arial" w:hAnsi="Arial"/>
          <w:i/>
          <w:iCs/>
          <w:color w:val="64748b"/>
          <w:sz w:val="18"/>
          <w:szCs w:val="18"/>
        </w:rPr>
        <w:t xml:space="preserve">CMJ height and RSI-Modified measure different qualities: CMJ predicts sprint/acceleration (Janetzki 2023); RSI-Mod is more sensitive to accumulated fatigue (Gathercole 2015). Both are used by NBA/WNBA teams. HRV excluded from V1 — standardisation challenges limit practical validity in team sport settings (Janetzki 2023 non-significant).</w:t>
      </w:r>
    </w:p>
    <w:p>
      <w:pPr>
        <w:spacing w:before="60" w:after="60"/>
      </w:pPr>
      <w:r>
        <w:rPr>
          <w:rFonts w:ascii="Arial" w:cs="Arial" w:eastAsia="Arial" w:hAnsi="Arial"/>
          <w:b w:val="false"/>
          <w:bCs w:val="false"/>
          <w:color w:val="000000"/>
          <w:sz w:val="20"/>
          <w:szCs w:val="20"/>
        </w:rPr>
        <w:t xml:space="preserve"/>
      </w:r>
    </w:p>
    <w:p>
      <w:pPr>
        <w:pStyle w:val="Heading1"/>
        <w:spacing w:before="240" w:after="120"/>
      </w:pPr>
      <w:r>
        <w:rPr>
          <w:rFonts w:ascii="Arial" w:cs="Arial" w:eastAsia="Arial" w:hAnsi="Arial"/>
          <w:b/>
          <w:bCs/>
          <w:color w:val="1e3a5f"/>
          <w:sz w:val="28"/>
          <w:szCs w:val="28"/>
        </w:rPr>
        <w:t xml:space="preserve">Data Governance (Real-Team Deployment Priority)</w:t>
      </w:r>
    </w:p>
    <w:p>
      <w:pPr>
        <w:spacing w:before="60" w:after="60"/>
      </w:pPr>
      <w:r>
        <w:rPr>
          <w:rFonts w:ascii="Arial" w:cs="Arial" w:eastAsia="Arial" w:hAnsi="Arial"/>
          <w:b/>
          <w:bCs/>
          <w:color w:val="000000"/>
          <w:sz w:val="20"/>
          <w:szCs w:val="20"/>
        </w:rPr>
        <w:t xml:space="preserve">Data governance is the #1 priority before any real athlete data enters WAIMS. If athletes believe wellness data affects selection or contract negotiations, they will misreport — and the system stops working. Trust is the foundation.</w:t>
      </w:r>
    </w:p>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e3a5f"/>
          <w:sz w:val="22"/>
          <w:szCs w:val="22"/>
        </w:rPr>
        <w:t xml:space="preserve">Who Sees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700"/>
        <w:gridCol w:w="2260"/>
      </w:tblGrid>
      <w:t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Data Type</w:t>
            </w:r>
          </w:p>
        </w:tc>
        <w:tc>
          <w:tcPr>
            <w:tcW w:type="dxa" w:w="1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Coach</w:t>
            </w:r>
          </w:p>
        </w:tc>
        <w:tc>
          <w:tcPr>
            <w:tcW w:type="dxa" w:w="1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GM / Front Office</w:t>
            </w:r>
          </w:p>
        </w:tc>
        <w:tc>
          <w:tcPr>
            <w:tcW w:type="dxa" w:w="17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Medical / AT</w:t>
            </w:r>
          </w:p>
        </w:tc>
        <w:tc>
          <w:tcPr>
            <w:tcW w:type="dxa" w:w="22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Sport Scientist</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Traffic light (Ready/Monitor/Protect)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Summary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Readiness score (number)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Sleep / Soreness / Stress / Mood (raw)</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Yes — health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Yes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CMJ / RSI force plate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Flag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Full data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Full data</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GPS / Kinexon load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Injury log</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Availability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Full detail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Full detail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Menstrual cycle data (V2)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With consent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With consent only</w:t>
            </w:r>
          </w:p>
        </w:tc>
      </w:tr>
    </w:tbl>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e3a5f"/>
          <w:sz w:val="22"/>
          <w:szCs w:val="22"/>
        </w:rPr>
        <w:t xml:space="preserve">V2 Requirements Before Real Athlete Data</w:t>
      </w:r>
    </w:p>
    <w:p>
      <w:pPr>
        <w:pStyle w:val="ListParagraph"/>
        <w:numPr>
          <w:ilvl w:val="0"/>
          <w:numId w:val="2"/>
        </w:numPr>
        <w:spacing w:before="40" w:after="40"/>
      </w:pPr>
      <w:r>
        <w:rPr>
          <w:rFonts w:ascii="Arial" w:cs="Arial" w:eastAsia="Arial" w:hAnsi="Arial"/>
          <w:sz w:val="20"/>
          <w:szCs w:val="20"/>
        </w:rPr>
        <w:t xml:space="preserve">Role-based access control (RBAC) — separate login tiers per role above</w:t>
      </w:r>
    </w:p>
    <w:p>
      <w:pPr>
        <w:pStyle w:val="ListParagraph"/>
        <w:numPr>
          <w:ilvl w:val="0"/>
          <w:numId w:val="2"/>
        </w:numPr>
        <w:spacing w:before="40" w:after="40"/>
      </w:pPr>
      <w:r>
        <w:rPr>
          <w:rFonts w:ascii="Arial" w:cs="Arial" w:eastAsia="Arial" w:hAnsi="Arial"/>
          <w:sz w:val="20"/>
          <w:szCs w:val="20"/>
        </w:rPr>
        <w:t xml:space="preserve">Data encrypted at rest and in transit (AES-256 minimum)</w:t>
      </w:r>
    </w:p>
    <w:p>
      <w:pPr>
        <w:pStyle w:val="ListParagraph"/>
        <w:numPr>
          <w:ilvl w:val="0"/>
          <w:numId w:val="2"/>
        </w:numPr>
        <w:spacing w:before="40" w:after="40"/>
      </w:pPr>
      <w:r>
        <w:rPr>
          <w:rFonts w:ascii="Arial" w:cs="Arial" w:eastAsia="Arial" w:hAnsi="Arial"/>
          <w:sz w:val="20"/>
          <w:szCs w:val="20"/>
        </w:rPr>
        <w:t xml:space="preserve">Audit log — who accessed what data and when</w:t>
      </w:r>
    </w:p>
    <w:p>
      <w:pPr>
        <w:pStyle w:val="ListParagraph"/>
        <w:numPr>
          <w:ilvl w:val="0"/>
          <w:numId w:val="2"/>
        </w:numPr>
        <w:spacing w:before="40" w:after="40"/>
      </w:pPr>
      <w:r>
        <w:rPr>
          <w:rFonts w:ascii="Arial" w:cs="Arial" w:eastAsia="Arial" w:hAnsi="Arial"/>
          <w:sz w:val="20"/>
          <w:szCs w:val="20"/>
        </w:rPr>
        <w:t xml:space="preserve">Data retention policy — how long is data kept, when is it deleted</w:t>
      </w:r>
    </w:p>
    <w:p>
      <w:pPr>
        <w:pStyle w:val="ListParagraph"/>
        <w:numPr>
          <w:ilvl w:val="0"/>
          <w:numId w:val="2"/>
        </w:numPr>
        <w:spacing w:before="40" w:after="40"/>
      </w:pPr>
      <w:r>
        <w:rPr>
          <w:rFonts w:ascii="Arial" w:cs="Arial" w:eastAsia="Arial" w:hAnsi="Arial"/>
          <w:sz w:val="20"/>
          <w:szCs w:val="20"/>
        </w:rPr>
        <w:t xml:space="preserve">Athlete consent protocol — written, specific to each data type collected</w:t>
      </w:r>
    </w:p>
    <w:p>
      <w:pPr>
        <w:pStyle w:val="ListParagraph"/>
        <w:numPr>
          <w:ilvl w:val="0"/>
          <w:numId w:val="2"/>
        </w:numPr>
        <w:spacing w:before="40" w:after="40"/>
      </w:pPr>
      <w:r>
        <w:rPr>
          <w:rFonts w:ascii="Arial" w:cs="Arial" w:eastAsia="Arial" w:hAnsi="Arial"/>
          <w:sz w:val="20"/>
          <w:szCs w:val="20"/>
        </w:rPr>
        <w:t xml:space="preserve">Business Associate Agreement (BAA) with any cloud hosting vendor (HIPAA)</w:t>
      </w:r>
    </w:p>
    <w:p>
      <w:pPr>
        <w:pStyle w:val="ListParagraph"/>
        <w:numPr>
          <w:ilvl w:val="0"/>
          <w:numId w:val="2"/>
        </w:numPr>
        <w:spacing w:before="40" w:after="40"/>
      </w:pPr>
      <w:r>
        <w:rPr>
          <w:rFonts w:ascii="Arial" w:cs="Arial" w:eastAsia="Arial" w:hAnsi="Arial"/>
          <w:sz w:val="20"/>
          <w:szCs w:val="20"/>
        </w:rPr>
        <w:t xml:space="preserve">Legal review of WNBA CBA biometric data provisions before deployment</w:t>
      </w:r>
    </w:p>
    <w:p>
      <w:pPr>
        <w:pStyle w:val="ListParagraph"/>
        <w:numPr>
          <w:ilvl w:val="0"/>
          <w:numId w:val="2"/>
        </w:numPr>
        <w:spacing w:before="40" w:after="40"/>
      </w:pPr>
      <w:r>
        <w:rPr>
          <w:rFonts w:ascii="Arial" w:cs="Arial" w:eastAsia="Arial" w:hAnsi="Arial"/>
          <w:sz w:val="20"/>
          <w:szCs w:val="20"/>
        </w:rPr>
        <w:t xml:space="preserve">Athlete-facing view — simplified readiness trend, no injury risk score shown to athletes</w:t>
      </w:r>
    </w:p>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e3a5f"/>
          <w:sz w:val="22"/>
          <w:szCs w:val="22"/>
        </w:rPr>
        <w:t xml:space="preserve">Legal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Regulation</w:t>
            </w:r>
          </w:p>
        </w:tc>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Applies When</w:t>
            </w:r>
          </w:p>
        </w:tc>
        <w:tc>
          <w:tcPr>
            <w:tcW w:type="dxa" w:w="50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Implication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HIPAA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Medical staff handle health data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Injury log, force plate, clinically-collected data requires HIPAA-compliant storage (encrypted, access logs, BAA with cloud vendor)</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GDPR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Any EU-national athletes on roster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Right to erasure, data portability, explicit consent for biometric collection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WNBA CBA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All WNBA athletes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Biometric data provisions — legal review required before any real deployment</w:t>
            </w:r>
          </w:p>
        </w:tc>
      </w:tr>
    </w:tbl>
    <w:p>
      <w:pPr>
        <w:spacing w:before="60" w:after="60"/>
      </w:pPr>
      <w:r>
        <w:rPr>
          <w:rFonts w:ascii="Arial" w:cs="Arial" w:eastAsia="Arial" w:hAnsi="Arial"/>
          <w:b w:val="false"/>
          <w:bCs w:val="false"/>
          <w:color w:val="000000"/>
          <w:sz w:val="20"/>
          <w:szCs w:val="20"/>
        </w:rPr>
        <w:t xml:space="preserve"/>
      </w:r>
    </w:p>
    <w:p>
      <w:pPr>
        <w:pStyle w:val="Heading1"/>
        <w:spacing w:before="240" w:after="120"/>
      </w:pPr>
      <w:r>
        <w:rPr>
          <w:rFonts w:ascii="Arial" w:cs="Arial" w:eastAsia="Arial" w:hAnsi="Arial"/>
          <w:b/>
          <w:bCs/>
          <w:color w:val="1e3a5f"/>
          <w:sz w:val="28"/>
          <w:szCs w:val="28"/>
        </w:rPr>
        <w:t xml:space="preserve">Version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960"/>
        <w:gridCol w:w="3000"/>
      </w:tblGrid>
      <w:t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Area</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V1 (Demo)</w:t>
            </w:r>
          </w:p>
        </w:tc>
        <w:tc>
          <w:tcPr>
            <w:tcW w:type="dxa" w:w="29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V2 (Production)</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V3 (Future)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Data input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SQLite / CSV</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Live APIs: Kinexon, ForceDecks, wellness app</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MCP server architecture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Game load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Practice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Second Spectrum optical (WNBA 2024)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Travel direction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B2B flag only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Eastward/westward circadian penalty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Drill-level GPS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Not built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Not in scope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PlayerMaker/Kinexon timestamp-gated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Hormonal cycle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Not modelled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Menstrual phase CMJ/RSI adjustment (WHSP / Bruinvels 2017)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WHSP auto-monitored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Data governance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Synthetic — N/A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RBAC, encryption, audit logs, consent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Athlete-facing app</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ML validation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Coach intuition (Spearman)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Walk-forward splits, PR-AUC, Precision@K top 3/day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Full injury event validation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Research tools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PubMed monitor (automated)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 Sports Science AI (sportscienceai.com)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Availability UI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OUT/GTD combined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OUT vs GTD distinction + Projected Impact squad toggle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r>
    </w:tbl>
    <w:p>
      <w:pPr>
        <w:spacing w:before="60" w:after="60"/>
      </w:pPr>
      <w:r>
        <w:rPr>
          <w:rFonts w:ascii="Arial" w:cs="Arial" w:eastAsia="Arial" w:hAnsi="Arial"/>
          <w:b w:val="false"/>
          <w:bCs w:val="false"/>
          <w:color w:val="000000"/>
          <w:sz w:val="20"/>
          <w:szCs w:val="20"/>
        </w:rPr>
        <w:t xml:space="preserve"/>
      </w:r>
    </w:p>
    <w:p>
      <w:pPr>
        <w:pStyle w:val="Heading1"/>
        <w:spacing w:before="240" w:after="120"/>
      </w:pPr>
      <w:r>
        <w:rPr>
          <w:rFonts w:ascii="Arial" w:cs="Arial" w:eastAsia="Arial" w:hAnsi="Arial"/>
          <w:b/>
          <w:bCs/>
          <w:color w:val="1e3a5f"/>
          <w:sz w:val="28"/>
          <w:szCs w:val="28"/>
        </w:rPr>
        <w:t xml:space="preserve">Automation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Workflow</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Schedule</w:t>
            </w:r>
          </w:p>
        </w:tc>
        <w:tc>
          <w:tcPr>
            <w:tcW w:type="dxa" w:w="5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research_monitor.yml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Monday 8am UTC</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PubMed + RSS search across 9 sport science topics. Commits to research_log.json. Filters clinical noise automatically.</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retrain_models.yml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Sunday 6am UTC</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Retrains Random Forest model and readiness scorer. Commits updated .pkl files to repo.</w:t>
            </w:r>
          </w:p>
        </w:tc>
      </w:tr>
    </w:tbl>
    <w:p>
      <w:pPr>
        <w:spacing w:before="60" w:after="60"/>
      </w:pPr>
      <w:r>
        <w:rPr>
          <w:rFonts w:ascii="Arial" w:cs="Arial" w:eastAsia="Arial" w:hAnsi="Arial"/>
          <w:b w:val="false"/>
          <w:bCs w:val="false"/>
          <w:color w:val="000000"/>
          <w:sz w:val="20"/>
          <w:szCs w:val="20"/>
        </w:rPr>
        <w:t xml:space="preserve"/>
      </w:r>
    </w:p>
    <w:p>
      <w:pPr>
        <w:pStyle w:val="Heading1"/>
        <w:spacing w:before="240" w:after="120"/>
      </w:pPr>
      <w:r>
        <w:rPr>
          <w:rFonts w:ascii="Arial" w:cs="Arial" w:eastAsia="Arial" w:hAnsi="Arial"/>
          <w:b/>
          <w:bCs/>
          <w:color w:val="1e3a5f"/>
          <w:sz w:val="28"/>
          <w:szCs w:val="28"/>
        </w:rPr>
        <w:t xml:space="preserve">MCP Integration (Future Architecture)</w:t>
      </w:r>
    </w:p>
    <w:p>
      <w:pPr>
        <w:spacing w:before="60" w:after="60"/>
      </w:pPr>
      <w:r>
        <w:rPr>
          <w:rFonts w:ascii="Arial" w:cs="Arial" w:eastAsia="Arial" w:hAnsi="Arial"/>
          <w:b w:val="false"/>
          <w:bCs w:val="false"/>
          <w:color w:val="000000"/>
          <w:sz w:val="20"/>
          <w:szCs w:val="20"/>
        </w:rPr>
        <w:t xml:space="preserve">WAIMS is architecturally ready for Model Context Protocol. Future use case: build MCP servers for Kinexon, ForceDecks, Slack, and potentially Second Spectrum rather than custom adapters. This enables Claude (and other LLM tools) to query live athlete data via standardised tool calls — replacing the current SQLite demo database with real-time data from hardware platforms.</w:t>
      </w:r>
    </w:p>
    <w:p>
      <w:pPr>
        <w:pStyle w:val="Heading1"/>
        <w:spacing w:before="240" w:after="120"/>
      </w:pPr>
      <w:r>
        <w:rPr>
          <w:rFonts w:ascii="Arial" w:cs="Arial" w:eastAsia="Arial" w:hAnsi="Arial"/>
          <w:b/>
          <w:bCs/>
          <w:color w:val="1e3a5f"/>
          <w:sz w:val="28"/>
          <w:szCs w:val="28"/>
        </w:rPr>
        <w:t xml:space="preserve">Key Research Foundation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60"/>
      </w:tblGrid>
      <w:t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Citation</w:t>
            </w:r>
          </w:p>
        </w:tc>
        <w:tc>
          <w:tcPr>
            <w:tcW w:type="dxa" w:w="9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Grade</w:t>
            </w:r>
          </w:p>
        </w:tc>
        <w:tc>
          <w:tcPr>
            <w:tcW w:type="dxa" w:w="60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WAIMS Application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Janetzki et al. 2023 (165-study SR/meta)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CMJ height validated for sprint/acceleration (r=0.69, p=.00). Only statistically significant marker. Primary evidence for CMJ as top-weighted readiness signal.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Gathercole et al. 2015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RSI-Modified validated as more sensitive than CMJ height alone for detecting overreach. Evidence base for RSI-Mod in WAIMS (25pts).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Walsh et al. 2021 (BJSM)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Sleep consensus statement. Basis for 7h minimum, 9h target, sleep as highest-weighted wellness signal.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Saw et al. 2016 (56-study SR)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Subjective wellness questionnaires outperform objective measures for training status. Validates mood/stress/soreness signals.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Boskovic et al. 2024 (GPS 3.0)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GPS measures locomotor load only. Deceleration count is the most basketball-relevant GPS metric.</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Pimenta et al. 2026 (SR/meta, WNBA)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Sleep extension 1.5h improves WNBA performance 12-18%. Sleep is highest-ROI intervention.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Impellizzeri et al. 2020 (BJSM)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rFonts w:ascii="Arial" w:cs="Arial" w:eastAsia="Arial" w:hAnsi="Arial"/>
                <w:b w:val="false"/>
                <w:bCs w:val="false"/>
                <w:color w:val="000000"/>
                <w:sz w:val="18"/>
                <w:szCs w:val="18"/>
              </w:rPr>
              <w:t xml:space="preserve">ACWR limitations — used as contextual flag only, not direct readiness signal.</w:t>
            </w:r>
          </w:p>
        </w:tc>
      </w:tr>
    </w:tbl>
    <w:p>
      <w:pPr>
        <w:spacing w:before="60" w:after="60"/>
      </w:pPr>
      <w:r>
        <w:rPr>
          <w:rFonts w:ascii="Arial" w:cs="Arial" w:eastAsia="Arial" w:hAnsi="Arial"/>
          <w:b w:val="false"/>
          <w:bCs w:val="false"/>
          <w:color w:val="000000"/>
          <w:sz w:val="20"/>
          <w:szCs w:val="20"/>
        </w:rPr>
        <w:t xml:space="preserve"/>
      </w:r>
    </w:p>
    <w:p>
      <w:pPr>
        <w:spacing w:before="60" w:after="60"/>
      </w:pPr>
      <w:r>
        <w:rPr>
          <w:rFonts w:ascii="Arial" w:cs="Arial" w:eastAsia="Arial" w:hAnsi="Arial"/>
          <w:i/>
          <w:iCs/>
          <w:color w:val="64748b"/>
          <w:sz w:val="18"/>
          <w:szCs w:val="18"/>
        </w:rPr>
        <w:t xml:space="preserve">Research philosophy: published thresholds set the starting point. Basketball context (pace, schedule density, positional load, female physiology), and collaborative calibration with coaching and medical staff without silos, determines final operational thresholds.</w:t>
      </w:r>
    </w:p>
    <w:p>
      <w:pPr>
        <w:spacing w:before="60" w:after="60"/>
      </w:pPr>
      <w:r>
        <w:rPr>
          <w:rFonts w:ascii="Arial" w:cs="Arial" w:eastAsia="Arial" w:hAnsi="Arial"/>
          <w:b w:val="false"/>
          <w:bCs w:val="false"/>
          <w:color w:val="000000"/>
          <w:sz w:val="20"/>
          <w:szCs w:val="20"/>
        </w:rPr>
        <w:t xml:space="preserve"/>
      </w:r>
    </w:p>
    <w:p>
      <w:pPr>
        <w:pStyle w:val="Heading1"/>
        <w:spacing w:before="240" w:after="120"/>
      </w:pPr>
      <w:r>
        <w:rPr>
          <w:rFonts w:ascii="Arial" w:cs="Arial" w:eastAsia="Arial" w:hAnsi="Arial"/>
          <w:b/>
          <w:bCs/>
          <w:color w:val="1e3a5f"/>
          <w:sz w:val="28"/>
          <w:szCs w:val="28"/>
        </w:rPr>
        <w:t xml:space="preserve">Technical Stack</w:t>
      </w:r>
    </w:p>
    <w:p>
      <w:pPr>
        <w:pStyle w:val="ListParagraph"/>
        <w:numPr>
          <w:ilvl w:val="0"/>
          <w:numId w:val="2"/>
        </w:numPr>
        <w:spacing w:before="40" w:after="40"/>
      </w:pPr>
      <w:r>
        <w:rPr>
          <w:rFonts w:ascii="Arial" w:cs="Arial" w:eastAsia="Arial" w:hAnsi="Arial"/>
          <w:sz w:val="20"/>
          <w:szCs w:val="20"/>
        </w:rPr>
        <w:t xml:space="preserve">Core: Python, Streamlit, pandas, SQLite (demo) / PostgreSQL (production)</w:t>
      </w:r>
    </w:p>
    <w:p>
      <w:pPr>
        <w:pStyle w:val="ListParagraph"/>
        <w:numPr>
          <w:ilvl w:val="0"/>
          <w:numId w:val="2"/>
        </w:numPr>
        <w:spacing w:before="40" w:after="40"/>
      </w:pPr>
      <w:r>
        <w:rPr>
          <w:rFonts w:ascii="Arial" w:cs="Arial" w:eastAsia="Arial" w:hAnsi="Arial"/>
          <w:sz w:val="20"/>
          <w:szCs w:val="20"/>
        </w:rPr>
        <w:t xml:space="preserve">ML: scikit-learn Random Forest, weekly retrain via GitHub Actions</w:t>
      </w:r>
    </w:p>
    <w:p>
      <w:pPr>
        <w:pStyle w:val="ListParagraph"/>
        <w:numPr>
          <w:ilvl w:val="0"/>
          <w:numId w:val="2"/>
        </w:numPr>
        <w:spacing w:before="40" w:after="40"/>
      </w:pPr>
      <w:r>
        <w:rPr>
          <w:rFonts w:ascii="Arial" w:cs="Arial" w:eastAsia="Arial" w:hAnsi="Arial"/>
          <w:sz w:val="20"/>
          <w:szCs w:val="20"/>
        </w:rPr>
        <w:t xml:space="preserve">Research: PubMed automated monitor + Sports Science AI (sportscienceai.com, V2)</w:t>
      </w:r>
    </w:p>
    <w:p>
      <w:pPr>
        <w:pStyle w:val="ListParagraph"/>
        <w:numPr>
          <w:ilvl w:val="0"/>
          <w:numId w:val="2"/>
        </w:numPr>
        <w:spacing w:before="40" w:after="40"/>
      </w:pPr>
      <w:r>
        <w:rPr>
          <w:rFonts w:ascii="Arial" w:cs="Arial" w:eastAsia="Arial" w:hAnsi="Arial"/>
          <w:sz w:val="20"/>
          <w:szCs w:val="20"/>
        </w:rPr>
        <w:t xml:space="preserve">Data sources: Kinexon (GPS), ForceDecks (force plate), Sportsmith (manual weekly review, $13/month)</w:t>
      </w:r>
    </w:p>
    <w:p>
      <w:pPr>
        <w:pStyle w:val="ListParagraph"/>
        <w:numPr>
          <w:ilvl w:val="0"/>
          <w:numId w:val="2"/>
        </w:numPr>
        <w:spacing w:before="40" w:after="40"/>
      </w:pPr>
      <w:r>
        <w:rPr>
          <w:rFonts w:ascii="Arial" w:cs="Arial" w:eastAsia="Arial" w:hAnsi="Arial"/>
          <w:sz w:val="20"/>
          <w:szCs w:val="20"/>
        </w:rPr>
        <w:t xml:space="preserve">Future MCP targets: Kinexon, ForceDecks, Slack, Second Spectrum / Hawk-Eye</w:t>
      </w:r>
    </w:p>
    <w:p>
      <w:pPr>
        <w:pStyle w:val="ListParagraph"/>
        <w:numPr>
          <w:ilvl w:val="0"/>
          <w:numId w:val="2"/>
        </w:numPr>
        <w:spacing w:before="40" w:after="40"/>
      </w:pPr>
      <w:r>
        <w:rPr>
          <w:rFonts w:ascii="Arial" w:cs="Arial" w:eastAsia="Arial" w:hAnsi="Arial"/>
          <w:sz w:val="20"/>
          <w:szCs w:val="20"/>
        </w:rPr>
        <w:t xml:space="preserve">Docs: README.md, RESEARCH_FOUNDATION.md, WAIMS_GLOBAL_CONTEXT.md, audience PDFs</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WAIMS Product Roadmap v1.1  ·  March 2026  ·  Chris Cothern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e3a5f"/>
      <w:sz w:val="28"/>
      <w:szCs w:val="28"/>
    </w:rPr>
  </w:style>
  <w:style w:type="paragraph" w:styleId="Heading2">
    <w:name w:val="Heading 2"/>
    <w:basedOn w:val="Normal"/>
    <w:next w:val="Normal"/>
    <w:qFormat/>
    <w:pPr>
      <w:spacing w:before="200" w:after="80"/>
      <w:outlineLvl w:val="1"/>
    </w:pPr>
    <w:rPr>
      <w:rFonts w:ascii="Arial" w:cs="Arial" w:eastAsia="Arial" w:hAnsi="Arial"/>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2026-03-09T11:18:05.062Z</dcterms:created>
  <dcterms:modified xsi:type="dcterms:W3CDTF">2026-03-09T11:18:05.064Z</dcterms:modified>
</cp:coreProperties>
</file>

<file path=docProps/custom.xml><?xml version="1.0" encoding="utf-8"?>
<Properties xmlns="http://schemas.openxmlformats.org/officeDocument/2006/custom-properties" xmlns:vt="http://schemas.openxmlformats.org/officeDocument/2006/docPropsVTypes"/>
</file>