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WAIMS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E7490"/>
          <w:sz w:val="30"/>
          <w:szCs w:val="30"/>
        </w:rPr>
        <w:t xml:space="preserve">Wellness &amp; Athlete Injury Management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Product Roadmap &amp; Team Deployment Guide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Demo  |  March 2026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Inspired by Dallas Wings  |  Python + Streamlit  |  Evidence-based sports science  |  Portfolio demonstration tool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Current State — What WAIMS Does Now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WAIMS v1.0 is a fully functional athlete monitoring dashboard built for a 12-player WNBA-style roster. All features below are implemented and running.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1.1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+ Streamlit web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SQLite database with ~10,000+ demo data points across 90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9 tabs: Command Center, Today's Readiness, Athlete Profile, GPS &amp; Load, Availability &amp; Injuries, Team Trends, Correlations &amp; Insights, Forecast, Training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Deployed on Streamlit Cloud via GitHub (dchriscothern/waims-python)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Anonymised 12-player demo roster modelled on WNBA position distribution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1.2 Data Sources (Demo)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Wellness (subjective)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Sleep hours, soreness, stress, mood, fatigue — daily self-report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Force Plate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CMJ height, RSI-modified, jump asymmetry — session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GPS / Kinexon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Player load, accel count, decel count, distance, HSR, sprint — session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ACWR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Acute:chronic workload ratio — contextual flag only (not scored)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Practice/game availability, injury log, estimated return 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1.3 Readiness Scoring Formula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Hybrid approach: hard safety floors + z-score personal baseline deviations. Consistent across all tabs and the ML model.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CMJ height (z-score vs 30-day baseline)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 — neuromuscular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35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RSI-modified (z-score vs 30-day baseline)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 — reactive strength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Sleep hours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Walsh 2021 thresholds: &lt;7h flag, &lt;6h hard floor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Soreness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Hulin 2016: &gt;7/10 requires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Mood + Stress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Weighted together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 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ACWR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Contextual flag only — NOT scored (Impellizzeri 2020)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 pts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1.4 Key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Z-scores vs personal 30-day baseline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Accounts for individual variation — important for small WNBA rosters (12 players)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Avoids between-athlete comparison bias from absolute thresholds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Aligned with Pimenta et al. 2026 individualised threshold recommendation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GPS = external locomotor load indicator only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GPS metrics are weak proxies for internal neuromuscular load (Boskovic et al. 2024 GPS 3.0)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CMJ/RSI is the correct neuromuscular response signal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Decel count treated as most contextually relevant GPS metric for basketball, not primary injury signal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Decel drops cross-referenced with CMJ/RSI before clinical action (Clubb 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Coach layer vs analyst layer: </w:t>
      </w:r>
      <w:r>
        <w:rPr>
          <w:rFonts w:ascii="Arial" w:cs="Arial" w:eastAsia="Arial" w:hAnsi="Arial"/>
          <w:sz w:val="22"/>
          <w:szCs w:val="22"/>
        </w:rPr>
        <w:t xml:space="preserve">Audience separation: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Command Center = coach decisions only (readiness %, cumulative minutes, one reason line)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Athlete Profile = analyst layer (z-scores, GPS detail, load projection, research 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 projection: </w:t>
      </w:r>
      <w:r>
        <w:rPr>
          <w:rFonts w:ascii="Arial" w:cs="Arial" w:eastAsia="Arial" w:hAnsi="Arial"/>
          <w:sz w:val="22"/>
          <w:szCs w:val="22"/>
        </w:rPr>
        <w:t xml:space="preserve">Prescriptive output over projected scores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Outputs specific minutes cap + drill modifications, not just a projected percentage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Based on Orlando Magic sport science framework (NBA practitioner 2024)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Changes Made — Build History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Chronological summary of major development decisions from initial build to current state.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2.1 Architecture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7 tabs expanded to 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Added GPS &amp; Load tab, Availability &amp; Injuries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Absolute thresholds replaced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Z-score personal baseline comparisons throughout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CMJ/RSI elevated to primary signals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Force plate weighted above subjective wellness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ACWR demoted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Contextual flag only — Impellizzeri 2020 statistical 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Readiness formula standardised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Consistent across Command Center, Athlete Profile, train_models.py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70-100pt rescaling 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Formula now correctly outputs 0-100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Demo data rebuilt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WNBA-appropriate CMJ/RSI by position, oscillating fatigue model, 12 archetypes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2.2 Coach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Command Center redesigned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Coach-only layer: readiness %, overnight delta, cumulative minutes (4-day/8-day), one reason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Morning Brief added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fixed structured bullets: who needs conversation, what changed overnight, what to do differently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Cumulative minutes added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Orlando Magic framework: coaches think in minutes not 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Risk badge simplified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Only elevated flags shown — absence of badge = low risk. Removed Low Risk noise.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Prescriptive load output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Minutes cap + drill modifications instead of projected score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Quick Actions moved to top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Accessible before scrolling through player cards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2.3 Analyst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Load Projection moved 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Second section in Athlete Profile, after Key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7-Day Risk in col1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Compact risk score under Age — uses blank space, no duplication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Radar chart rebuilt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Decel Load axis added, z-score context, hover values, personal avg reference 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GPS 3.0 framing added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 banner: GPS = external load only. Cites Boskovic 2024, Clubb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Basketball Risk Context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Always visible (removed HAVE_ENHANCED_MODULES gate), fallback flags added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Decel language corrected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Removed overclaiming 'PRIMARY signal / protective avoidance' — now accurately described as exposure indicator requiring CMJ/RSI cross-reference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Research references updated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Decel monitoring limitations separated from decel biomechanics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2.4 Evidence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in WAIMS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Walsh 2021 BJSM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Sleep consensus — &lt;7h threshold implemented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Gathercole 2015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CMJ/RSI as neuromuscular fatigue 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Gabbett 2016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ACWR context (used as flag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Impellizzeri 2020 + 2025 meta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ACWR statistical critique — basis for demotion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Pernigoni 2024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44-study basketball SR — female-specific CMJ recovery rates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Goulart 2022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Female basketball meta-analysis — load projection adjustments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Charest 2021 JCSM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NBA B2B sleep/travel — back-to-back scenario penalties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Boskovic et al. 2024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GPS 3.0 — external locomotor load framing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Clubb 2025 (Sportsmith)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Decel monitoring limitations — thresholds, dwell time, interpretation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Pimenta et al. 2026 SCJ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Individualised decel thresholds — supports z-score approach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Harper et al. 2019 IJSPP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Decel biomechanics — GRF rationale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Science of Multi-directional Sport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GRF during decel ~2.7x acceleration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Orlando Magic framework 2024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Minutes as most digestible coach 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Kitman Labs design principles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Coaches act on alerts not confirmations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Known Limitations of Current Version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Honest assessment of what the demo version does not do and why. Important context for any real-team deployment conversation.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3.1 Data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Demo data is synthetic. Generated with realistic distributions but not from real athletes. Patterns are modelled, not observed.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Sleep data is self-reported hours only. No sleep quality, sleep staging, or wearable validation (Whoop, Oura etc.).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GPS decel count uses absolute threshold-based counting — same limitations described by Clubb 2025. No individualised maximum decel capacity established.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hormonal cycle data. Female athlete recovery variation tied to menstrual phase (Bruinvels et al. 2017) is acknowledged but not modelled.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ACWR is calculated but not scored. Some teams still use it — its demotion here reflects the 2020-2025 literature critique, which is correct but not universal in practice.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3.2 Model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Random Forest model trained on synthetic data. In production, would need 60-90+ days of real data before predictions become meaningful.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Injury risk score (0-100) is a flag density count multiplied by 15. Not a calibrated probability. Should not be communicated to athletes as a percentage injury chance.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game minutes integration. Cumulative load uses practice_minutes only. Second Spectrum / optical tracking game data not connected (see Roadmap Section 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longitudinal season context. The 90-day window treats all periods equally — pre-season, mid-season, and playoff load profiles should differ.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3.3 Interface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research_context.py module (injury_mechanism_insight_box) not deployed in current outputs. Basketball-Specific Risk Context runs on fallback flags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real-time data input. All data is manually loaded via SQLite/CSV. No API connections to Kinexon, Catapult, Whoop, or other devices.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athlete-facing view. All outputs are staff-facing. Athletes cannot see their own data or trends.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notification system. Flags surface in the dashboard but do not push to phones, Slack, or other staff communication tools.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Roadmap — Next Version Priorities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Prioritised in the order a real WNBA or professional basketball team would need them. Earlier items are higher value or lower complexity.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Phase 1 — Data Integration (Months 1-3 with a real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PHASE 1 OBJECTIVE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Goal: Replace synthetic demo data with real live data feeds. Nothing else matters until this is done.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P1.1  Kinexon API Integration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CSV import with direct Kinexon API connection. Gives real-time GPS data after every session without manual export.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Kinexon offers REST API with OAuth2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Map Kinexon session fields to WAIMS schema (player_load, accel_count, decel_count, distance, HSR)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MCP server (Model Context Protocol) for standardised tool connection — build once, reuse if switching to Catapult or STATSports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Session-level data: auto-import on session close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P1.2  Force Plate Integration (Vald ForceDecks or similar)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manual CMJ/RSI entry with automatic post-session upload from ForceDecks or similar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ForceDecks has CSV export and API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Critical: this is the highest-signal data in the system — manual entry creates compliance risk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P1.3  Wellness App or Integration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SQLite wellness entries with athlete-facing daily check-in.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Options: Smartabase, Teamworks Pulse, or lightweight custom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Must be completed before 8am on game/practice day to be useful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Consider: fewer questions = higher compliance. 4 questions (sleep, soreness, stress, mood) is the right balance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Phase 2 — Second Spectrum / Optical Game Data (Months 3-6)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STRATEGIC PRIORITY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Second Spectrum optical tracking is now leaguewide in the WNBA (2024). This is the most important data gap to close for game-load management.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Current limitation: WAIMS cumulative minutes tracking uses practice_minutes only. A player can have a light practice week but play 36 heavy minutes in Thursday's game — and the dashboard shows low load.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Why optical tracking changes the picture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Second Spectrum provides per-player positional data for every WNBA game at 25 fps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Gives actual game decel count, distance, speed zone exposure — separate from Kinexon practice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Hawk-Eye (replacing Second Spectrum in NBA) adds pose tracking and 3D body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Note: optical tracking derives acceleration from position signal (differentiated twice) — different methodology to Kinexon inertial sensor. Both are exposure indicators with different error profiles.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What adding Second Spectrum data enables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True week-total load picture: practice Kinexon + game Second Spectrum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Game vs practice intensity comparison: were decels in last night's game above her practice baseline?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Orlando Magic minutes framework (4-day/8-day totals) becomes truly accurate instead of practice-only approximation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Implementation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 Second Spectrum data access through WNBA team data agreement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Map positional decel events to WAIMS schema with appropriate caveats (exposure indicator, not tissue stress)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Separate game_load and practice_load in training_load table — currently combined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cumulative minutes display to show game_minutes + practice_minutes separately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Phase 3 — Model &amp; Scoring Improvements (Months 4-8)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P3.1  Retrain Random Forest on Real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90+ days of real data needed before model predictions become meaningful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 injury outcomes (even small N) dramatically improve signal quality vs synthetic training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menstrual cycle phase as a feature when data available (Bruinvels et al. 2017)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P3.2  Individualised Decel Thresholds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Aligned with Pimenta et al. 2026 recommendation. Currently using absolute thresholds — shift to percentage of each player's established maximum decel capacity.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Requires 3-4 weeks of baseline data per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Reduces between-athlete comparison bias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Thresholds still arbitrary at the band level — acknowledge this in interface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P3.3  Seasonal Load Profiling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Pre-season: higher tolerance for load accumulation, longer recovery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In-season: game density drives the load budget, not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Playoffs: compressed schedule, travel, psychological load — adjust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Off-season: baseline rebuild, different CMJ/RSI norms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P3.4  Hormonal Cycle Integration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Female-specific factor currently absent from WAIMS. Evidence is clear: injury risk, neuromuscular performance, and recovery vary across the menstrual cycle.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Bruinvels et al. 2017: ACL injury risk higher in pre-ovulatory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Requires athlete-reported or app-tracked cycle data (Clue, Natural Cycles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Could adjust CMJ/RSI thresholds and load recommendations by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Sensitive data — requires clear data governance and athlete consent protocol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Phase 4 — Communication &amp; Integration (Months 6-12)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P4.1  Push Notifications /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Slack integration: morning brief auto-posted to staff channel before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SMS alerts for PROTECT-status players (opt-in, medical staff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using MCP server architecture — build Slack MCP server, reusable across tools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P4.2  Athlete-Facing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Simplified personal readiness score and trend (no injury risk numbers)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Sleep and recovery tips based on personal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Requires separate authentication and data governance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NBA teams (Miami Heat, Toronto Raptors) have moved toward athlete data transparency — trend worth following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P4.3  Medical Staff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Injury log currently separate from readiness scoring — connect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Return-to-play protocol tracking with load milestones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Medical clearance workflow: team physician signs off before AT-RISK player returns to full training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P4.4  Video Integration (Aspirational)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Hawk-Eye pose data + WAIMS fatigue flags: tag game film at moments when player decel mechanics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Sport scientist flags fatigue, video coordinator cuts the clip — staff meeting efficiency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Long-term: computer vision on practice video to detect movement quality decline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Real-Team Deployment — What You Would Actually Need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Honest breakdown of what changes when this moves from portfolio demo to live team use.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5.1 Data Governance (Non-Negotiable First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CRITICAL — DO THIS FIRST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Before any real athlete data enters the system, data governance must be established. This is not optional and is increasingly scrutinised in professional sports.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ownership agreement: who owns the data — team, athlete, or both?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Athlete consent: GDPR (EU) or relevant local equivalent. Athletes must know what is collected, how it is used, and who sees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 controls: coach sees readiness/availability only. Athlete profile with full metrics visible to performance staff and medical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Injury risk scores: must not be shared with athletes directly. Legal and psychological risk.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retention policy: how long is data kept after a player leaves the team?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Security: production deployment requires proper authentication, encrypted storage, not SQLite on a shared server.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5.2 Technical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SQLite (demo) -&gt; PostgreSQL (production). Add proper indexing, backup, and failover.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 (demo) -&gt; Role-based access (coach / performance staff / medical / athlete)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Hosting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Streamlit Cloud (demo) -&gt; AWS/GCP/Azure with proper uptime 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API connections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Manual CSV (demo) -&gt; Kinexon API, ForceDecks, wellness app, Second Spectrum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 (demo) -&gt; Uptime monitoring, error alerting, data quality checks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5.3 Staffing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Performance staff champion: someone on the team who owns the system, trains compliance, interprets outputs to medical and coaches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manager: responsible for data quality, session tagging, manual corrections when sensors fail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Medical sign-off: team physician must be looped into any decision made on injury risk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Coach buy-in: the Command Center only has value if the coach actually uses the morning brief before practice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5.4 Compliance &amp; Athlete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Wellness check-in compliance is the single biggest failure mode for these systems in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 questions maximum, completed before 8am, on a phone, takes 60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Daily check-in rate below 80% makes the data unreliable for z-score baselines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Consider small incentives or team culture framing ('this helps us manage your load, not judge you')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5.5 Validation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First 30 days: data collection only. Do not make load decisions from the system. Establish baselines.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Days 30-60: flag review. Compare system flags to what staff already knew. Calibrate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 60+: begin using prescriptive outputs. Still always defer to medical staff judgment.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model retraining after first injury: real outcome data is invaluable for improving predictions.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Evidence Note — Sleep &amp; Injury Risk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sleep-injury relationship in WAIMS is sometimes cited as resting on a single study (Walsh et al. 2021). This note clarifies the actual evidence base.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Bottom line: sleep-injury association is supported by multiple independent meta-analyses and mechanistic evidence. It is one of the better-supported relationships in athlete monitoring. The &lt;7h threshold is a reasonable working cut-off, not an arbitrary one.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6.1 What the Evidence Actually Shows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Walsh et al. 2021 BJSM is a consensus statement — not a single study, but a synthesis of expert review across multiple research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2025 meta-analysis (9 observational studies, 1,078 athletes): shorter sleep significantly associated with higher injury risk (OR = 1.34, 95% CI 1.08-1.66, p = 0.007). High heterogeneity noted (I squared = 85.6%) — this is honest and typical in this literature.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Milewski et al. 2014 (adolescent athletes): chronic sleep &lt;8h associated with 1.7x higher injury rate — one of the most-cited studies in this area.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Mechanistic evidence is strong: sleep deprivation impairs neuromuscular coordination, reaction time, decision-making, and tissue repair — all relevant to injury risk (Kong et al. 2025, Frontiers in Physiology).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Charest &amp; Grandner 2020: NBA-specific review. Travel, schedule density, and circadian disruption compound sleep deficits in professional basketball.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6.2 Honest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Most studies are observational. Establishing causation (poor sleep causes injuries, not injured players sleep poorly) is genuinely difficult.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OR of 1.34 is a modest effect size. Sleep is a contributing factor, not a determining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7h threshold is a consensus working cut-off, not a biologically precise injury switch. Some athletes function well on 6.5h; others need 8.5h.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Female athlete-specific sleep research remains limited. Hormonal variation affects sleep quality, but this is not well-quantified in the injury-risk literature.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6.3 How WAIMS Uses Sleep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Sleep hours are one of five signals in the readiness score (20/100 points). Not dominant.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&lt;7h flags a concern. &lt;6h is a hard floor — triggers PROTECT status regardless of other signals. This is deliberately conservative.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morning brief includes sleep drops as a context signal, not an alarm.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Sleep is not used in isolation. The system requires CMJ/RSI to be depressed before generating a high injury risk score.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6.4 How This Differs from Load Projection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Basketball-Specific Risk Context section and Load Projection serve different purposes: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Basketball Risk Context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Projection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 this player showing injury risk signals right now?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If she plays tonight, where does readiness land tomorrow?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 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Output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Clinical flags + mechanism context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Projected readiness % + specific staff 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Audience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Performance staff + medical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Performance staff + coach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Modify this session or refer to medical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 tonight's minutes cap + modify practice intensity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Evidence 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Signal thresholds from literature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Evidence-based recovery adjustments (Pernigoni 2024, Goulart 2022, Charest 2021)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Technical Note — MCP (Model Context Protocol)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Context on why MCP is relevant to WAIMS and how it fits the roadmap.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7.1 What MCP 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MCP is a standardised JSON schema for connecting AI tools to external data sources and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Anthropic proposed it as a universal standard — now widely adopted (Claude, GPT, and others)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Before MCP: every integration between an AI tool and a data source required custom code. M tools x N data sources = M*N custom adapters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MCP: build one MCP server for your data source, it works with any MCP-compatible AI tool. M + N instead of M*N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7.2 Where MCP Fits in WAIMS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WAIMS does not currently use MCP. Current version uses direct file imports. MCP becomes valuable when connecting to live systems.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Kinexon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Build one Kinexon MCP server -&gt; works with WAIMS, any future AI assistant, and any other MCP-compatible tool. If team switches to Catapult, build Catapult MCP server instead — WAIMS code unchanged.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Slack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Morning brief auto-posted to staff channel. MCP server for Slack already exists (Anthropic publishes it). Plug 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Second Spectrum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Game data feed -&gt; WAIMS. If Second Spectrum builds an MCP server (likely as adoption grows), integration becomes trivial.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ForceDecks (Vald)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Force plate data auto-import post session.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7.3 Current Status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WAIMS is MCP-ready by design — the data schema and processing pipeline are cleanly separated, which is exactly the architecture MCP requires. Adding MCP connections is Phase 1-2 work, not a rebuild.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Quick Reference — Key Thresholds &amp; Decisions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8.1 Readiness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80-100%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training and game minutes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60-79%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Standard minutes but watch warmup quality; reduce if soreness &gt;=7/10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0-59%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PROTECT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Modified session only; cap at 20-26 minutes; check in before session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8.2 Sleep Thresholds (Walsh 2021)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&gt;=7.0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Within normal range for athlete recovery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6.0-6.9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 — readiness score penalised, include in morning brief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&lt;6.0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HARD FLOOR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PROTECT triggered regardless of other signals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8.3 CMJ Baselines by Position (WNBA)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Guard (G)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38 cm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Highest baseline — most explosive position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Forward (F)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34 cm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Mid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Centre (C)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 cm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Lowest baseline — size-adjusted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749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8.4 GPS Signal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CMJ / RSI (force plate)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True neuromuscular response signal. Act on this alone.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Decel count (GPS)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SECONDARY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Exposure indicator. Cross-reference with CMJ/RSI before acting.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Accel count / Player load (GPS)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Volume context. Do not use as fatigue signal in isolation.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HSR / Sprint distance (GPS)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CONTEXT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Volume only. Misses ~70% of multidirectional load (Boskovic 2024).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top w:val="single" w:color="0E7490" w:sz="4" w:space="4"/>
        </w:pBdr>
        <w:spacing w:before="240" w:after="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WAIMS v1.0  |  Portfolio demonstration tool  |  Chris Cothern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E74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2026-03-06T17:38:12.089Z</dcterms:created>
  <dcterms:modified xsi:type="dcterms:W3CDTF">2026-03-06T17:38:12.090Z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