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0D4D3" w14:textId="77777777" w:rsidR="00A205E6" w:rsidRDefault="00A205E6" w:rsidP="00A205E6">
      <w:pPr>
        <w:spacing w:line="240" w:lineRule="auto"/>
        <w:jc w:val="center"/>
        <w:rPr>
          <w:sz w:val="32"/>
          <w:szCs w:val="32"/>
        </w:rPr>
      </w:pPr>
      <w:bookmarkStart w:id="0" w:name="_GoBack"/>
      <w:bookmarkEnd w:id="0"/>
    </w:p>
    <w:p w14:paraId="56792A4F" w14:textId="49F4213D" w:rsidR="00A205E6" w:rsidRDefault="00A205E6" w:rsidP="00A205E6">
      <w:pPr>
        <w:spacing w:line="240" w:lineRule="auto"/>
        <w:jc w:val="center"/>
        <w:rPr>
          <w:sz w:val="32"/>
          <w:szCs w:val="32"/>
        </w:rPr>
      </w:pPr>
    </w:p>
    <w:p w14:paraId="4F8AE534" w14:textId="77777777" w:rsidR="00A205E6" w:rsidRDefault="00A205E6" w:rsidP="00A205E6">
      <w:pPr>
        <w:spacing w:line="240" w:lineRule="auto"/>
        <w:jc w:val="center"/>
        <w:rPr>
          <w:sz w:val="32"/>
          <w:szCs w:val="32"/>
        </w:rPr>
      </w:pPr>
    </w:p>
    <w:p w14:paraId="43BF168F" w14:textId="77777777" w:rsidR="00A205E6" w:rsidRDefault="00A205E6" w:rsidP="00A205E6">
      <w:pPr>
        <w:spacing w:line="240" w:lineRule="auto"/>
        <w:jc w:val="center"/>
        <w:rPr>
          <w:sz w:val="32"/>
          <w:szCs w:val="32"/>
        </w:rPr>
      </w:pPr>
    </w:p>
    <w:p w14:paraId="70801223" w14:textId="14D13276" w:rsidR="00A205E6" w:rsidRPr="00FC671B" w:rsidRDefault="00A205E6" w:rsidP="00A205E6">
      <w:pPr>
        <w:spacing w:line="240" w:lineRule="auto"/>
        <w:jc w:val="center"/>
        <w:rPr>
          <w:sz w:val="32"/>
          <w:szCs w:val="32"/>
        </w:rPr>
      </w:pPr>
      <w:r w:rsidRPr="00FC671B">
        <w:rPr>
          <w:sz w:val="32"/>
          <w:szCs w:val="32"/>
        </w:rPr>
        <w:t>The University of Chicago</w:t>
      </w:r>
    </w:p>
    <w:p w14:paraId="7C44BAFA" w14:textId="77777777" w:rsidR="00A205E6" w:rsidRPr="00FC671B" w:rsidRDefault="00A205E6" w:rsidP="00A205E6">
      <w:pPr>
        <w:spacing w:line="240" w:lineRule="auto"/>
        <w:jc w:val="center"/>
        <w:rPr>
          <w:sz w:val="32"/>
          <w:szCs w:val="32"/>
        </w:rPr>
      </w:pPr>
    </w:p>
    <w:p w14:paraId="73C6092B" w14:textId="77777777" w:rsidR="00A205E6" w:rsidRPr="00FC671B" w:rsidRDefault="00A205E6" w:rsidP="00A205E6">
      <w:pPr>
        <w:spacing w:line="240" w:lineRule="auto"/>
        <w:jc w:val="center"/>
        <w:rPr>
          <w:sz w:val="32"/>
          <w:szCs w:val="32"/>
        </w:rPr>
      </w:pPr>
    </w:p>
    <w:p w14:paraId="0F5ABCAC" w14:textId="77777777" w:rsidR="00A205E6" w:rsidRPr="00FC671B" w:rsidRDefault="00A205E6" w:rsidP="00A205E6">
      <w:pPr>
        <w:spacing w:line="240" w:lineRule="auto"/>
        <w:jc w:val="center"/>
        <w:rPr>
          <w:b/>
          <w:bCs/>
          <w:sz w:val="32"/>
          <w:szCs w:val="32"/>
        </w:rPr>
      </w:pPr>
      <w:r w:rsidRPr="00FC671B">
        <w:rPr>
          <w:b/>
          <w:bCs/>
          <w:sz w:val="32"/>
          <w:szCs w:val="32"/>
        </w:rPr>
        <w:t xml:space="preserve">Gospel Data: </w:t>
      </w:r>
    </w:p>
    <w:p w14:paraId="2704C450" w14:textId="66B7D702" w:rsidR="00A205E6" w:rsidRDefault="001B02A7" w:rsidP="00E27FC6">
      <w:pPr>
        <w:spacing w:line="240" w:lineRule="auto"/>
        <w:jc w:val="center"/>
        <w:rPr>
          <w:b/>
          <w:bCs/>
          <w:sz w:val="32"/>
          <w:szCs w:val="32"/>
        </w:rPr>
      </w:pPr>
      <w:r>
        <w:rPr>
          <w:b/>
          <w:bCs/>
          <w:sz w:val="32"/>
          <w:szCs w:val="32"/>
        </w:rPr>
        <w:t xml:space="preserve">The Utility of </w:t>
      </w:r>
      <w:r w:rsidR="00C31DB6">
        <w:rPr>
          <w:b/>
          <w:bCs/>
          <w:sz w:val="32"/>
          <w:szCs w:val="32"/>
        </w:rPr>
        <w:t xml:space="preserve">Empirical Analyses of the Synoptic Gospels seen through </w:t>
      </w:r>
      <w:r w:rsidR="00067E48">
        <w:rPr>
          <w:b/>
          <w:bCs/>
          <w:sz w:val="32"/>
          <w:szCs w:val="32"/>
        </w:rPr>
        <w:t xml:space="preserve">an </w:t>
      </w:r>
      <w:r w:rsidR="00B62CFE">
        <w:rPr>
          <w:b/>
          <w:bCs/>
          <w:sz w:val="32"/>
          <w:szCs w:val="32"/>
        </w:rPr>
        <w:t>Exegesis of the Healing of the Paralytic</w:t>
      </w:r>
      <w:r w:rsidR="00067E48">
        <w:rPr>
          <w:b/>
          <w:bCs/>
          <w:sz w:val="32"/>
          <w:szCs w:val="32"/>
        </w:rPr>
        <w:t xml:space="preserve"> </w:t>
      </w:r>
    </w:p>
    <w:p w14:paraId="7CEC02E1" w14:textId="77777777" w:rsidR="00A205E6" w:rsidRPr="00FC671B" w:rsidRDefault="00A205E6" w:rsidP="00A205E6">
      <w:pPr>
        <w:spacing w:line="240" w:lineRule="auto"/>
        <w:jc w:val="center"/>
        <w:rPr>
          <w:b/>
          <w:bCs/>
          <w:sz w:val="32"/>
          <w:szCs w:val="32"/>
        </w:rPr>
      </w:pPr>
    </w:p>
    <w:p w14:paraId="05377F6E" w14:textId="77777777" w:rsidR="00A205E6" w:rsidRPr="001A3FDB" w:rsidRDefault="00A205E6" w:rsidP="00A205E6">
      <w:pPr>
        <w:spacing w:line="240" w:lineRule="auto"/>
        <w:jc w:val="center"/>
        <w:rPr>
          <w:sz w:val="32"/>
          <w:szCs w:val="32"/>
        </w:rPr>
      </w:pPr>
      <w:r w:rsidRPr="001A3FDB">
        <w:rPr>
          <w:sz w:val="32"/>
          <w:szCs w:val="32"/>
        </w:rPr>
        <w:t>By</w:t>
      </w:r>
    </w:p>
    <w:p w14:paraId="3D206505" w14:textId="77777777" w:rsidR="00A205E6" w:rsidRPr="00FC671B" w:rsidRDefault="00A205E6" w:rsidP="00A205E6">
      <w:pPr>
        <w:spacing w:line="240" w:lineRule="auto"/>
        <w:jc w:val="center"/>
        <w:rPr>
          <w:b/>
          <w:bCs/>
          <w:sz w:val="32"/>
          <w:szCs w:val="32"/>
        </w:rPr>
      </w:pPr>
    </w:p>
    <w:p w14:paraId="1ED0444A" w14:textId="77777777" w:rsidR="00A205E6" w:rsidRPr="00FC671B" w:rsidRDefault="00A205E6" w:rsidP="00A205E6">
      <w:pPr>
        <w:spacing w:line="240" w:lineRule="auto"/>
        <w:jc w:val="center"/>
        <w:rPr>
          <w:b/>
          <w:bCs/>
          <w:sz w:val="32"/>
          <w:szCs w:val="32"/>
        </w:rPr>
      </w:pPr>
      <w:r w:rsidRPr="00FC671B">
        <w:rPr>
          <w:b/>
          <w:bCs/>
          <w:sz w:val="32"/>
          <w:szCs w:val="32"/>
        </w:rPr>
        <w:t>Daniel Kaae Christensen</w:t>
      </w:r>
    </w:p>
    <w:p w14:paraId="36D88BB2" w14:textId="77777777" w:rsidR="00A205E6" w:rsidRPr="00FC671B" w:rsidRDefault="00A205E6" w:rsidP="00A205E6">
      <w:pPr>
        <w:spacing w:line="240" w:lineRule="auto"/>
        <w:jc w:val="center"/>
        <w:rPr>
          <w:b/>
          <w:bCs/>
          <w:sz w:val="32"/>
          <w:szCs w:val="32"/>
        </w:rPr>
      </w:pPr>
    </w:p>
    <w:p w14:paraId="2C740A13" w14:textId="77777777" w:rsidR="00A205E6" w:rsidRPr="00E4637D" w:rsidRDefault="00A205E6" w:rsidP="00A205E6">
      <w:pPr>
        <w:spacing w:line="240" w:lineRule="auto"/>
        <w:jc w:val="center"/>
        <w:rPr>
          <w:sz w:val="32"/>
          <w:szCs w:val="32"/>
        </w:rPr>
      </w:pPr>
      <w:r w:rsidRPr="00E4637D">
        <w:rPr>
          <w:sz w:val="32"/>
          <w:szCs w:val="32"/>
        </w:rPr>
        <w:t>June 2019</w:t>
      </w:r>
    </w:p>
    <w:p w14:paraId="7AB34FA5" w14:textId="77777777" w:rsidR="00A205E6" w:rsidRPr="00FC671B" w:rsidRDefault="00A205E6" w:rsidP="00A205E6">
      <w:pPr>
        <w:spacing w:line="240" w:lineRule="auto"/>
        <w:jc w:val="center"/>
        <w:rPr>
          <w:b/>
          <w:bCs/>
          <w:sz w:val="32"/>
          <w:szCs w:val="32"/>
        </w:rPr>
      </w:pPr>
    </w:p>
    <w:p w14:paraId="4C03577D" w14:textId="77777777" w:rsidR="00A205E6" w:rsidRPr="00FC671B" w:rsidRDefault="00A205E6" w:rsidP="00A205E6">
      <w:pPr>
        <w:spacing w:line="240" w:lineRule="auto"/>
        <w:jc w:val="center"/>
        <w:rPr>
          <w:b/>
          <w:bCs/>
          <w:sz w:val="32"/>
          <w:szCs w:val="32"/>
        </w:rPr>
      </w:pPr>
    </w:p>
    <w:p w14:paraId="37403BA4" w14:textId="77777777" w:rsidR="00A205E6" w:rsidRDefault="00A205E6" w:rsidP="00A205E6">
      <w:pPr>
        <w:spacing w:line="240" w:lineRule="auto"/>
        <w:jc w:val="center"/>
        <w:rPr>
          <w:sz w:val="32"/>
          <w:szCs w:val="32"/>
        </w:rPr>
      </w:pPr>
      <w:r w:rsidRPr="00FC671B">
        <w:rPr>
          <w:sz w:val="32"/>
          <w:szCs w:val="32"/>
        </w:rPr>
        <w:t xml:space="preserve">A paper submitted in partial fulfillment of the requirements for the Master of Arts degree in the </w:t>
      </w:r>
    </w:p>
    <w:p w14:paraId="363CC544" w14:textId="77777777" w:rsidR="00A205E6" w:rsidRPr="00FC671B" w:rsidRDefault="00A205E6" w:rsidP="00A205E6">
      <w:pPr>
        <w:spacing w:line="240" w:lineRule="auto"/>
        <w:jc w:val="center"/>
        <w:rPr>
          <w:sz w:val="32"/>
          <w:szCs w:val="32"/>
        </w:rPr>
      </w:pPr>
      <w:r w:rsidRPr="00FC671B">
        <w:rPr>
          <w:sz w:val="32"/>
          <w:szCs w:val="32"/>
        </w:rPr>
        <w:t>Master of Arts Program in the Social Sciences</w:t>
      </w:r>
    </w:p>
    <w:p w14:paraId="54688E81" w14:textId="77777777" w:rsidR="00A205E6" w:rsidRPr="00FC671B" w:rsidRDefault="00A205E6" w:rsidP="00A205E6">
      <w:pPr>
        <w:spacing w:line="240" w:lineRule="auto"/>
        <w:jc w:val="center"/>
        <w:rPr>
          <w:sz w:val="32"/>
          <w:szCs w:val="32"/>
        </w:rPr>
      </w:pPr>
    </w:p>
    <w:p w14:paraId="4A2FCBAC" w14:textId="77777777" w:rsidR="00A205E6" w:rsidRPr="00FC671B" w:rsidRDefault="00A205E6" w:rsidP="00A205E6">
      <w:pPr>
        <w:spacing w:line="240" w:lineRule="auto"/>
        <w:jc w:val="center"/>
        <w:rPr>
          <w:sz w:val="32"/>
          <w:szCs w:val="32"/>
        </w:rPr>
      </w:pPr>
    </w:p>
    <w:p w14:paraId="26A55309" w14:textId="77777777" w:rsidR="00A205E6" w:rsidRPr="00FC671B" w:rsidRDefault="00A205E6" w:rsidP="00A205E6">
      <w:pPr>
        <w:spacing w:line="240" w:lineRule="auto"/>
        <w:jc w:val="center"/>
        <w:rPr>
          <w:sz w:val="32"/>
          <w:szCs w:val="32"/>
        </w:rPr>
      </w:pPr>
    </w:p>
    <w:p w14:paraId="2F6F5A09" w14:textId="7A9AD65A" w:rsidR="00A205E6" w:rsidRPr="00FC671B" w:rsidRDefault="00A205E6" w:rsidP="00A205E6">
      <w:pPr>
        <w:spacing w:line="240" w:lineRule="auto"/>
        <w:jc w:val="center"/>
        <w:rPr>
          <w:sz w:val="32"/>
          <w:szCs w:val="32"/>
        </w:rPr>
      </w:pPr>
      <w:r w:rsidRPr="00FC671B">
        <w:rPr>
          <w:sz w:val="32"/>
          <w:szCs w:val="32"/>
        </w:rPr>
        <w:t xml:space="preserve">Faculty </w:t>
      </w:r>
      <w:r w:rsidR="00E4637D">
        <w:rPr>
          <w:sz w:val="32"/>
          <w:szCs w:val="32"/>
        </w:rPr>
        <w:t>Advisor</w:t>
      </w:r>
      <w:r w:rsidRPr="00FC671B">
        <w:rPr>
          <w:sz w:val="32"/>
          <w:szCs w:val="32"/>
        </w:rPr>
        <w:t>: Jeff Jay</w:t>
      </w:r>
    </w:p>
    <w:p w14:paraId="5DDDD5F9" w14:textId="77777777" w:rsidR="00A205E6" w:rsidRPr="00FC671B" w:rsidRDefault="00A205E6" w:rsidP="00A205E6">
      <w:pPr>
        <w:spacing w:line="240" w:lineRule="auto"/>
        <w:jc w:val="center"/>
        <w:rPr>
          <w:sz w:val="32"/>
          <w:szCs w:val="32"/>
        </w:rPr>
      </w:pPr>
      <w:r w:rsidRPr="00FC671B">
        <w:rPr>
          <w:sz w:val="32"/>
          <w:szCs w:val="32"/>
        </w:rPr>
        <w:t>Preceptor: John Cropper</w:t>
      </w:r>
    </w:p>
    <w:p w14:paraId="22668EF8" w14:textId="77777777" w:rsidR="00A205E6" w:rsidRPr="00FC671B" w:rsidRDefault="00A205E6" w:rsidP="00A205E6">
      <w:pPr>
        <w:spacing w:line="240" w:lineRule="auto"/>
        <w:jc w:val="center"/>
        <w:rPr>
          <w:sz w:val="32"/>
          <w:szCs w:val="32"/>
        </w:rPr>
      </w:pPr>
    </w:p>
    <w:p w14:paraId="2109BFB8" w14:textId="77777777" w:rsidR="00EA23A9" w:rsidRDefault="00EA23A9" w:rsidP="009B0DC5">
      <w:pPr>
        <w:rPr>
          <w:b/>
          <w:bCs/>
          <w:u w:val="single"/>
        </w:rPr>
        <w:sectPr w:rsidR="00EA23A9" w:rsidSect="00D45146">
          <w:headerReference w:type="default" r:id="rId8"/>
          <w:pgSz w:w="12240" w:h="15840"/>
          <w:pgMar w:top="1440" w:right="1440" w:bottom="1440" w:left="1440" w:header="720" w:footer="720" w:gutter="0"/>
          <w:cols w:space="720"/>
          <w:titlePg/>
          <w:docGrid w:linePitch="360"/>
        </w:sectPr>
      </w:pPr>
    </w:p>
    <w:p w14:paraId="61D3799A" w14:textId="4400CEBB" w:rsidR="00D45146" w:rsidRPr="00501D21" w:rsidRDefault="005D7244" w:rsidP="009B0DC5">
      <w:pPr>
        <w:rPr>
          <w:b/>
          <w:bCs/>
          <w:u w:val="single"/>
        </w:rPr>
      </w:pPr>
      <w:r w:rsidRPr="00501D21">
        <w:rPr>
          <w:b/>
          <w:bCs/>
          <w:u w:val="single"/>
        </w:rPr>
        <w:lastRenderedPageBreak/>
        <w:t>Abstract</w:t>
      </w:r>
    </w:p>
    <w:p w14:paraId="4E5D4CC4" w14:textId="12AD82EE" w:rsidR="00456121" w:rsidRPr="00456121" w:rsidRDefault="00456121" w:rsidP="009B0DC5">
      <w:r>
        <w:rPr>
          <w:b/>
          <w:bCs/>
        </w:rPr>
        <w:tab/>
      </w:r>
      <w:r>
        <w:t xml:space="preserve">The use of </w:t>
      </w:r>
      <w:r w:rsidR="00B576A1">
        <w:t>statistics and the empirical analysis of data in the Synoptic Gospels has largely revolved around positing a solution to the Synoptic Problem</w:t>
      </w:r>
      <w:r w:rsidR="00B941E5">
        <w:t xml:space="preserve">. As a result, </w:t>
      </w:r>
      <w:r w:rsidR="00227316">
        <w:t>synoptic scholars have often dismissed the use of data interpretation</w:t>
      </w:r>
      <w:r w:rsidR="00A25E1A">
        <w:t xml:space="preserve"> in the study of the gospels</w:t>
      </w:r>
      <w:r w:rsidR="004A000F">
        <w:t xml:space="preserve"> as being overly committed to a positivistic </w:t>
      </w:r>
      <w:r w:rsidR="004D7B5C">
        <w:t xml:space="preserve">reading for the texts’ literary origins. In this paper I argue that </w:t>
      </w:r>
      <w:r w:rsidR="00F12D8E">
        <w:t xml:space="preserve">empirical data and statistical analyses should not be disregarded from synoptic studies nor </w:t>
      </w:r>
      <w:r w:rsidR="00FA455B">
        <w:t xml:space="preserve">need they be committed to wholistic explanations of particular source theories. </w:t>
      </w:r>
      <w:r w:rsidR="00106144">
        <w:t>Rather, statistical tools can be used by New Testament scholars to aid in the interpretation of texts</w:t>
      </w:r>
      <w:r w:rsidR="00D5128B">
        <w:t>, and thus should be considered part of the repository of exegetical tools alongside</w:t>
      </w:r>
      <w:r w:rsidR="00D30D7F">
        <w:t xml:space="preserve"> more traditional avenues of interpretation such as</w:t>
      </w:r>
      <w:r w:rsidR="00D5128B">
        <w:t xml:space="preserve"> textual, source, and redaction </w:t>
      </w:r>
      <w:r w:rsidR="00D30D7F">
        <w:t>criticism</w:t>
      </w:r>
      <w:r w:rsidR="00D5128B">
        <w:t xml:space="preserve">. </w:t>
      </w:r>
      <w:r w:rsidR="002A1748">
        <w:t>I demonstrate that a contingency table can be used to postulate an association between two gospel texts</w:t>
      </w:r>
      <w:r w:rsidR="000504A1">
        <w:t>, which can then guide exegetical interpretation</w:t>
      </w:r>
      <w:r w:rsidR="00947AA5">
        <w:t>, and is also a useful source of information for designing a digital visualization of the gospel texts</w:t>
      </w:r>
      <w:r w:rsidR="000504A1">
        <w:t xml:space="preserve">. In particular, I </w:t>
      </w:r>
      <w:r w:rsidR="003F5707">
        <w:t>find</w:t>
      </w:r>
      <w:r w:rsidR="000504A1">
        <w:t xml:space="preserve"> that </w:t>
      </w:r>
      <w:r w:rsidR="00975881">
        <w:t>a contingency table posits a positive association between Matthew and Luke based on their common redaction of Mark</w:t>
      </w:r>
      <w:r w:rsidR="007B703E">
        <w:t xml:space="preserve"> in the pericope of the Healing of the Paralytic (Mt 9:1–8; Mk 2:1–12; Lk 5:17–26).</w:t>
      </w:r>
      <w:r w:rsidR="001F54C7">
        <w:t xml:space="preserve"> </w:t>
      </w:r>
      <w:r w:rsidR="008575DA">
        <w:t xml:space="preserve">Based on this contingency table and a digital visualization of the texts, I argue that Matthew’s and Luke’s common redaction of Mark in this pericope </w:t>
      </w:r>
      <w:r w:rsidR="00EE1782">
        <w:t>is in keeping with their large</w:t>
      </w:r>
      <w:r w:rsidR="0013321C">
        <w:t>r</w:t>
      </w:r>
      <w:r w:rsidR="00EE1782">
        <w:t xml:space="preserve"> programmatic goals </w:t>
      </w:r>
      <w:r w:rsidR="00AF5AAF">
        <w:t>set up in their introductory material to their gospel accounts</w:t>
      </w:r>
      <w:r w:rsidR="003A3435">
        <w:t xml:space="preserve"> (Mt 1:21–23; Lk 4:18</w:t>
      </w:r>
      <w:r w:rsidR="00F641B8">
        <w:t>–</w:t>
      </w:r>
      <w:r w:rsidR="003A3435">
        <w:t>21</w:t>
      </w:r>
      <w:r w:rsidR="00F641B8">
        <w:t>)</w:t>
      </w:r>
      <w:r w:rsidR="00AF5AAF">
        <w:t>, which</w:t>
      </w:r>
      <w:r w:rsidR="00EE1782">
        <w:t xml:space="preserve"> </w:t>
      </w:r>
      <w:r w:rsidR="00AF5AAF">
        <w:t>designate</w:t>
      </w:r>
      <w:r w:rsidR="00EE1782">
        <w:t xml:space="preserve"> Jesus as God’s Messiah who forgives sins</w:t>
      </w:r>
      <w:r w:rsidR="00A37FE3">
        <w:t>, releases captives, and dwells with human beings as Emmanuel.</w:t>
      </w:r>
    </w:p>
    <w:p w14:paraId="04CD534A" w14:textId="77777777" w:rsidR="00D45146" w:rsidRPr="00D9574C" w:rsidRDefault="00D45146" w:rsidP="009B0DC5">
      <w:pPr>
        <w:rPr>
          <w:b/>
          <w:bCs/>
        </w:rPr>
      </w:pPr>
    </w:p>
    <w:p w14:paraId="6FA895B3" w14:textId="05ACE86D" w:rsidR="00CD15E3" w:rsidRDefault="00D45146" w:rsidP="009B0DC5">
      <w:pPr>
        <w:rPr>
          <w:b/>
          <w:bCs/>
          <w:u w:val="single"/>
        </w:rPr>
      </w:pPr>
      <w:r w:rsidRPr="00D9574C">
        <w:rPr>
          <w:b/>
          <w:bCs/>
        </w:rPr>
        <w:t>Key Words:</w:t>
      </w:r>
      <w:r w:rsidR="00D9574C">
        <w:rPr>
          <w:b/>
          <w:bCs/>
        </w:rPr>
        <w:t xml:space="preserve"> </w:t>
      </w:r>
      <w:r w:rsidR="008C2DFC">
        <w:t xml:space="preserve">Healing of the Paralytic, </w:t>
      </w:r>
      <w:r w:rsidR="00457A2D">
        <w:t xml:space="preserve">the </w:t>
      </w:r>
      <w:r w:rsidR="008C2DFC">
        <w:t>Synoptic Problem, Statistics</w:t>
      </w:r>
      <w:r w:rsidR="00457A2D">
        <w:t>, Digital Humanities, Gospel Interpretation</w:t>
      </w:r>
      <w:r w:rsidR="00CD15E3">
        <w:rPr>
          <w:b/>
          <w:bCs/>
          <w:u w:val="single"/>
        </w:rPr>
        <w:br w:type="page"/>
      </w:r>
    </w:p>
    <w:p w14:paraId="652E14D8" w14:textId="3183E9F7" w:rsidR="009B0DC5" w:rsidRPr="00CF0432" w:rsidRDefault="009B0DC5" w:rsidP="009B0DC5">
      <w:pPr>
        <w:rPr>
          <w:b/>
          <w:bCs/>
          <w:u w:val="single"/>
        </w:rPr>
      </w:pPr>
      <w:r w:rsidRPr="00CF0432">
        <w:rPr>
          <w:b/>
          <w:bCs/>
          <w:u w:val="single"/>
        </w:rPr>
        <w:lastRenderedPageBreak/>
        <w:t>Introduction</w:t>
      </w:r>
      <w:r w:rsidR="008A11D4" w:rsidRPr="00BF2425">
        <w:rPr>
          <w:rStyle w:val="FootnoteReference"/>
        </w:rPr>
        <w:footnoteReference w:id="1"/>
      </w:r>
    </w:p>
    <w:p w14:paraId="16232DB5" w14:textId="611CB894" w:rsidR="009B0DC5" w:rsidRDefault="009B0DC5" w:rsidP="009B0DC5">
      <w:pPr>
        <w:rPr>
          <w:strike/>
        </w:rPr>
      </w:pPr>
      <w:r>
        <w:rPr>
          <w:b/>
          <w:bCs/>
        </w:rPr>
        <w:tab/>
      </w:r>
      <w:r>
        <w:t>Readers of the New Testament, both ancient and modern, have long puzzled over the literary relationship between the first three gospels accounts, the Gospels according to Matthew, Mark, and Luke, respectively.</w:t>
      </w:r>
      <w:r>
        <w:rPr>
          <w:rStyle w:val="FootnoteReference"/>
        </w:rPr>
        <w:footnoteReference w:id="2"/>
      </w:r>
      <w:r>
        <w:t xml:space="preserve"> Traditionally, the Synoptic Problem,</w:t>
      </w:r>
      <w:r>
        <w:rPr>
          <w:rStyle w:val="FootnoteReference"/>
        </w:rPr>
        <w:footnoteReference w:id="3"/>
      </w:r>
      <w:r>
        <w:t xml:space="preserve"> as it is often called, has been approached through </w:t>
      </w:r>
      <w:r w:rsidR="007E6669">
        <w:t>established</w:t>
      </w:r>
      <w:r>
        <w:t xml:space="preserve"> avenues of Biblical exegesis.</w:t>
      </w:r>
      <w:r>
        <w:rPr>
          <w:rStyle w:val="FootnoteReference"/>
        </w:rPr>
        <w:footnoteReference w:id="4"/>
      </w:r>
      <w:r>
        <w:t xml:space="preserve"> Methods like textual criticism</w:t>
      </w:r>
      <w:r>
        <w:rPr>
          <w:rStyle w:val="FootnoteReference"/>
        </w:rPr>
        <w:footnoteReference w:id="5"/>
      </w:r>
      <w:r>
        <w:t xml:space="preserve"> as well as source and redaction criticism</w:t>
      </w:r>
      <w:r>
        <w:rPr>
          <w:rStyle w:val="FootnoteReference"/>
        </w:rPr>
        <w:footnoteReference w:id="6"/>
      </w:r>
      <w:r>
        <w:t xml:space="preserve"> have yielded insight into the Synoptic Gospels’ history of composition, which has coalesced into a number of theories offering explanations for the texts’ origins. Modern scholarship has divided itself into several camps that claim to have a superior explanation of the Synoptic Gospels’ literary relationship and historical origins. While the number of these camps seems to proliferate with increasingly complicated </w:t>
      </w:r>
      <w:r>
        <w:lastRenderedPageBreak/>
        <w:t>theories, four camps serve as pillars for synoptic studies,</w:t>
      </w:r>
      <w:r>
        <w:rPr>
          <w:rStyle w:val="FootnoteReference"/>
        </w:rPr>
        <w:footnoteReference w:id="7"/>
      </w:r>
      <w:r>
        <w:t xml:space="preserve"> these are: The Two-Source Theory,</w:t>
      </w:r>
      <w:r>
        <w:rPr>
          <w:rStyle w:val="FootnoteReference"/>
        </w:rPr>
        <w:footnoteReference w:id="8"/>
      </w:r>
      <w:r>
        <w:t xml:space="preserve"> the Farrer Theory,</w:t>
      </w:r>
      <w:r>
        <w:rPr>
          <w:rStyle w:val="FootnoteReference"/>
        </w:rPr>
        <w:footnoteReference w:id="9"/>
      </w:r>
      <w:r>
        <w:t xml:space="preserve"> the Augustinian Hypothesis,</w:t>
      </w:r>
      <w:r>
        <w:rPr>
          <w:rStyle w:val="FootnoteReference"/>
        </w:rPr>
        <w:footnoteReference w:id="10"/>
      </w:r>
      <w:r>
        <w:t xml:space="preserve"> and the Griesbach Hypothesis.</w:t>
      </w:r>
      <w:r>
        <w:rPr>
          <w:rStyle w:val="FootnoteReference"/>
        </w:rPr>
        <w:footnoteReference w:id="11"/>
      </w:r>
      <w:r>
        <w:t xml:space="preserve"> A large portion of scholarly debate in </w:t>
      </w:r>
      <w:r w:rsidR="00941309">
        <w:t>s</w:t>
      </w:r>
      <w:r>
        <w:t>ynoptic studies centers on the merits of the Two-Source Theory, which supposes Markan priority and a hypothetical document “Q” to account for Matthean and Lukan independence,</w:t>
      </w:r>
      <w:r w:rsidR="00ED30CE">
        <w:rPr>
          <w:rStyle w:val="FootnoteReference"/>
        </w:rPr>
        <w:footnoteReference w:id="12"/>
      </w:r>
      <w:r w:rsidR="00FF676C">
        <w:t xml:space="preserve"> </w:t>
      </w:r>
      <w:r>
        <w:t>and the Farrer Theory, which supposes Markan priority without “Q” on the basis that Matthew and Luke knew each other.</w:t>
      </w:r>
      <w:r>
        <w:rPr>
          <w:rStyle w:val="FootnoteReference"/>
        </w:rPr>
        <w:footnoteReference w:id="13"/>
      </w:r>
      <w:r>
        <w:t xml:space="preserve"> The Q non-Q debate has stimulated the use </w:t>
      </w:r>
      <w:r>
        <w:lastRenderedPageBreak/>
        <w:t>of other methods, such as narrative criticism</w:t>
      </w:r>
      <w:r>
        <w:rPr>
          <w:rStyle w:val="FootnoteReference"/>
        </w:rPr>
        <w:footnoteReference w:id="14"/>
      </w:r>
      <w:r>
        <w:t xml:space="preserve"> and rhetorical criticism,</w:t>
      </w:r>
      <w:r>
        <w:rPr>
          <w:rStyle w:val="FootnoteReference"/>
        </w:rPr>
        <w:footnoteReference w:id="15"/>
      </w:r>
      <w:r>
        <w:t xml:space="preserve"> to examine the nuanced compositional arguments made by the gospel authors.</w:t>
      </w:r>
      <w:r>
        <w:rPr>
          <w:rStyle w:val="FootnoteReference"/>
        </w:rPr>
        <w:footnoteReference w:id="16"/>
      </w:r>
      <w:r>
        <w:t xml:space="preserve"> In addition to the various forms of analysis just mentioned there have also been attempts to employ statistical models and other quantitative analyses to determine Matthean and Lukan independence or dependence.</w:t>
      </w:r>
      <w:r>
        <w:rPr>
          <w:rStyle w:val="FootnoteReference"/>
        </w:rPr>
        <w:footnoteReference w:id="17"/>
      </w:r>
      <w:r>
        <w:t xml:space="preserve"> </w:t>
      </w:r>
    </w:p>
    <w:p w14:paraId="5E9D2735" w14:textId="052D95A5" w:rsidR="009B0DC5" w:rsidRDefault="009B0DC5" w:rsidP="00DD3B20">
      <w:r>
        <w:tab/>
        <w:t xml:space="preserve">However, New Testament scholars have been ambivalent as to how empirical data and statistical analyses of the Synoptic Gospels are </w:t>
      </w:r>
      <w:r w:rsidR="002462EE">
        <w:t>meant</w:t>
      </w:r>
      <w:r>
        <w:t xml:space="preserve"> to </w:t>
      </w:r>
      <w:r w:rsidRPr="00A26419">
        <w:t>function</w:t>
      </w:r>
      <w:r>
        <w:t xml:space="preserve"> within synoptic studies</w:t>
      </w:r>
      <w:r w:rsidRPr="00A26419">
        <w:t>.</w:t>
      </w:r>
      <w:r w:rsidR="006C34FD">
        <w:rPr>
          <w:rStyle w:val="FootnoteReference"/>
        </w:rPr>
        <w:footnoteReference w:id="18"/>
      </w:r>
      <w:r w:rsidRPr="00A26419">
        <w:t xml:space="preserve"> </w:t>
      </w:r>
      <w:r w:rsidR="00E3606D">
        <w:t>There is no</w:t>
      </w:r>
      <w:r w:rsidR="00446FCB">
        <w:t xml:space="preserve"> </w:t>
      </w:r>
      <w:r w:rsidR="00E3606D">
        <w:t xml:space="preserve">clear </w:t>
      </w:r>
      <w:r w:rsidR="00EA1525">
        <w:t>consensus</w:t>
      </w:r>
      <w:r w:rsidR="00E3606D">
        <w:t xml:space="preserve"> on</w:t>
      </w:r>
      <w:r w:rsidR="00723A64">
        <w:t xml:space="preserve"> how data can be used to study the gospel texts and what empirical data </w:t>
      </w:r>
      <w:r w:rsidR="00DF6A82">
        <w:t>can say</w:t>
      </w:r>
      <w:r w:rsidR="00723A64">
        <w:t xml:space="preserve"> about them. </w:t>
      </w:r>
      <w:r w:rsidRPr="00A26419">
        <w:t>On the</w:t>
      </w:r>
      <w:r>
        <w:t xml:space="preserve"> one hand, </w:t>
      </w:r>
      <w:r w:rsidR="00E3606D">
        <w:t xml:space="preserve">many </w:t>
      </w:r>
      <w:r>
        <w:t>New Testament scholars are hesitant to use quantitative data and empirical analyses within synoptic studies.</w:t>
      </w:r>
      <w:r w:rsidR="00436ABF">
        <w:t xml:space="preserve"> Such scholar</w:t>
      </w:r>
      <w:r w:rsidR="00E90898">
        <w:t>s</w:t>
      </w:r>
      <w:r w:rsidR="00436ABF">
        <w:t xml:space="preserve"> </w:t>
      </w:r>
      <w:r w:rsidR="00D811B6">
        <w:t xml:space="preserve">are often </w:t>
      </w:r>
      <w:r w:rsidR="00D811B6">
        <w:lastRenderedPageBreak/>
        <w:t xml:space="preserve">skeptical of the ability for a quantitative method to </w:t>
      </w:r>
      <w:r w:rsidR="00EE0F09">
        <w:t>aid the qualitative methods of traditional exegesis.</w:t>
      </w:r>
      <w:r w:rsidR="00B6311D" w:rsidRPr="00A26419">
        <w:rPr>
          <w:rStyle w:val="FootnoteReference"/>
        </w:rPr>
        <w:footnoteReference w:id="19"/>
      </w:r>
      <w:r w:rsidR="001E7890">
        <w:t xml:space="preserve"> </w:t>
      </w:r>
      <w:r>
        <w:t>On the other hand, some synoptic scholars have been overly positivistic about what data and statistics can do when studying the gospel texts.</w:t>
      </w:r>
      <w:r w:rsidR="00FB167B">
        <w:t xml:space="preserve"> Such scholars sometimes see quantitative approaches as being able to provide definitive solutions to the Synoptic Problem</w:t>
      </w:r>
      <w:r w:rsidR="008B6427">
        <w:t xml:space="preserve"> while others see it as a means to supplement </w:t>
      </w:r>
      <w:r w:rsidR="00960DDA">
        <w:t xml:space="preserve">the veracity </w:t>
      </w:r>
      <w:r w:rsidR="003264BD">
        <w:t xml:space="preserve">of </w:t>
      </w:r>
      <w:r w:rsidR="00035FE7">
        <w:t>gospel source theories already in existence.</w:t>
      </w:r>
      <w:r w:rsidR="00960DDA">
        <w:rPr>
          <w:rStyle w:val="FootnoteReference"/>
        </w:rPr>
        <w:footnoteReference w:id="20"/>
      </w:r>
    </w:p>
    <w:p w14:paraId="0ECB058D" w14:textId="2D4C80F0" w:rsidR="005411D2" w:rsidRDefault="007A30E8" w:rsidP="00DD3B20">
      <w:r>
        <w:tab/>
        <w:t xml:space="preserve">However, </w:t>
      </w:r>
      <w:r w:rsidR="003D1982">
        <w:t xml:space="preserve">these two extremes are misplaced. It is my intention to show that </w:t>
      </w:r>
      <w:r w:rsidR="00296903">
        <w:t xml:space="preserve">empirical data collected from the Synoptic Gospels </w:t>
      </w:r>
      <w:r w:rsidR="00A50B26">
        <w:t xml:space="preserve">and the responsible analysis of this data can </w:t>
      </w:r>
      <w:r w:rsidR="002143DD">
        <w:t>aid</w:t>
      </w:r>
      <w:r w:rsidR="00A50B26">
        <w:t xml:space="preserve"> </w:t>
      </w:r>
      <w:r w:rsidR="002143DD">
        <w:t xml:space="preserve">exegetes in </w:t>
      </w:r>
      <w:r w:rsidR="00C21F25">
        <w:t>examining</w:t>
      </w:r>
      <w:r w:rsidR="002143DD">
        <w:t xml:space="preserve"> the texts </w:t>
      </w:r>
      <w:r w:rsidR="00D63040">
        <w:t>and open up new avenues of interpretation.</w:t>
      </w:r>
      <w:r w:rsidR="00042DE7">
        <w:t xml:space="preserve"> </w:t>
      </w:r>
      <w:r w:rsidR="00926E40">
        <w:t>I argue that empirical analys</w:t>
      </w:r>
      <w:r w:rsidR="00B9016A">
        <w:t>is of the synoptic texts can be used on a micro-scale</w:t>
      </w:r>
      <w:r w:rsidR="004906B5">
        <w:t xml:space="preserve">, that is, </w:t>
      </w:r>
      <w:r w:rsidR="00176982">
        <w:t xml:space="preserve">empirical data </w:t>
      </w:r>
      <w:r w:rsidR="00526052">
        <w:t xml:space="preserve">can aid in the direct interpretation of individual </w:t>
      </w:r>
      <w:r w:rsidR="004906B5">
        <w:t>pericop</w:t>
      </w:r>
      <w:r w:rsidR="00526052">
        <w:t>ae</w:t>
      </w:r>
      <w:r w:rsidR="007F3302">
        <w:t>.</w:t>
      </w:r>
      <w:r w:rsidR="00F055B3">
        <w:t xml:space="preserve"> In this regard I hope to move the utility of </w:t>
      </w:r>
      <w:r w:rsidR="003378A7">
        <w:t>data from the Gospels beyond</w:t>
      </w:r>
      <w:r w:rsidR="00290FC4">
        <w:t xml:space="preserve"> the confines of</w:t>
      </w:r>
      <w:r w:rsidR="003378A7">
        <w:t xml:space="preserve"> its current </w:t>
      </w:r>
      <w:r w:rsidR="005B38F4">
        <w:t>position in synoptic studies, viz.,</w:t>
      </w:r>
      <w:r w:rsidR="00290FC4">
        <w:t xml:space="preserve"> its application to the Synoptic Problem.</w:t>
      </w:r>
      <w:r w:rsidR="0070507A">
        <w:t xml:space="preserve"> </w:t>
      </w:r>
      <w:r w:rsidR="00C45C1A">
        <w:t xml:space="preserve">To do this I </w:t>
      </w:r>
      <w:r w:rsidR="000D3839">
        <w:t xml:space="preserve">highlight two functions data </w:t>
      </w:r>
      <w:r w:rsidR="00A6164E">
        <w:t xml:space="preserve">has </w:t>
      </w:r>
      <w:r w:rsidR="00DD3D6E">
        <w:t>regarding</w:t>
      </w:r>
      <w:r w:rsidR="00940193">
        <w:t xml:space="preserve"> the interpretation of texts. </w:t>
      </w:r>
    </w:p>
    <w:p w14:paraId="36B11952" w14:textId="3D1ED65C" w:rsidR="005411D2" w:rsidRDefault="00940193" w:rsidP="005411D2">
      <w:pPr>
        <w:ind w:firstLine="720"/>
      </w:pPr>
      <w:r w:rsidRPr="00E553DC">
        <w:t>(1)</w:t>
      </w:r>
      <w:r>
        <w:t xml:space="preserve"> </w:t>
      </w:r>
      <w:r w:rsidR="00E95C11">
        <w:t xml:space="preserve">Data </w:t>
      </w:r>
      <w:r w:rsidR="00F9216D">
        <w:t>collected</w:t>
      </w:r>
      <w:r w:rsidR="00E95C11">
        <w:t xml:space="preserve"> from empirical analysis of the </w:t>
      </w:r>
      <w:r w:rsidR="003920C7">
        <w:t>Synoptic Gospels</w:t>
      </w:r>
      <w:r w:rsidR="00E95C11">
        <w:t xml:space="preserve"> can be used to visualize the texts</w:t>
      </w:r>
      <w:r w:rsidR="00A7635C">
        <w:t>.</w:t>
      </w:r>
      <w:r w:rsidR="007E7CA6">
        <w:t xml:space="preserve"> This is a point that is often overlooked by scholars who </w:t>
      </w:r>
      <w:r w:rsidR="00E1602C">
        <w:t xml:space="preserve">both </w:t>
      </w:r>
      <w:r w:rsidR="007E7CA6">
        <w:t xml:space="preserve">do and do not employ statistics in their </w:t>
      </w:r>
      <w:r w:rsidR="005411D2">
        <w:t xml:space="preserve">works. </w:t>
      </w:r>
      <w:r w:rsidR="00F64A1D">
        <w:t>While some studies, such as</w:t>
      </w:r>
      <w:r w:rsidR="007E5020">
        <w:t xml:space="preserve"> those of</w:t>
      </w:r>
      <w:r w:rsidR="00F64A1D">
        <w:t xml:space="preserve"> Morgenthale</w:t>
      </w:r>
      <w:r w:rsidR="007E5020">
        <w:t>r</w:t>
      </w:r>
      <w:r w:rsidR="00B67B26">
        <w:t xml:space="preserve"> and Abakuks</w:t>
      </w:r>
      <w:r w:rsidR="007E5020">
        <w:t>,</w:t>
      </w:r>
      <w:r w:rsidR="00B67B26">
        <w:t xml:space="preserve"> visually represent </w:t>
      </w:r>
      <w:r w:rsidR="00686AB0">
        <w:t xml:space="preserve">levels of agreement among the texts they do so </w:t>
      </w:r>
      <w:r w:rsidR="0094453D">
        <w:t xml:space="preserve">in order to display </w:t>
      </w:r>
      <w:r w:rsidR="00094731">
        <w:t>overall trends throughout entire gospels.</w:t>
      </w:r>
      <w:r w:rsidR="00296ACA">
        <w:rPr>
          <w:rStyle w:val="FootnoteReference"/>
        </w:rPr>
        <w:footnoteReference w:id="21"/>
      </w:r>
      <w:r w:rsidR="00094731">
        <w:t xml:space="preserve"> </w:t>
      </w:r>
      <w:r w:rsidR="00E9521F">
        <w:t xml:space="preserve">However, </w:t>
      </w:r>
      <w:r w:rsidR="001C6A59">
        <w:t xml:space="preserve">in order to </w:t>
      </w:r>
      <w:r w:rsidR="00006AF8">
        <w:t xml:space="preserve">benefit the exegesis of individual </w:t>
      </w:r>
      <w:r w:rsidR="00006AF8">
        <w:lastRenderedPageBreak/>
        <w:t>pericopae</w:t>
      </w:r>
      <w:r w:rsidR="00593F9C">
        <w:t xml:space="preserve"> </w:t>
      </w:r>
      <w:r w:rsidR="006F24B0">
        <w:t xml:space="preserve">the most </w:t>
      </w:r>
      <w:r w:rsidR="00593F9C">
        <w:t xml:space="preserve">the data needs to be displayed in a way </w:t>
      </w:r>
      <w:r w:rsidR="00296ACA">
        <w:t>that highlights the details of the texts themselves, not just overall trends.</w:t>
      </w:r>
      <w:r w:rsidR="00A8684B">
        <w:t xml:space="preserve"> Here data and the digital </w:t>
      </w:r>
      <w:r w:rsidR="00D122BB">
        <w:t>humanities</w:t>
      </w:r>
      <w:r w:rsidR="00A8684B">
        <w:t xml:space="preserve"> come </w:t>
      </w:r>
      <w:r w:rsidR="002811FC">
        <w:t>into conversation with one another.</w:t>
      </w:r>
      <w:r w:rsidR="00360F46">
        <w:t xml:space="preserve"> A digital representation of the Synoptic Gospels </w:t>
      </w:r>
      <w:r w:rsidR="00B90699">
        <w:t>amalgamates</w:t>
      </w:r>
      <w:r w:rsidR="001E6385">
        <w:t xml:space="preserve"> </w:t>
      </w:r>
      <w:r w:rsidR="00FE4D99">
        <w:t xml:space="preserve">a textual interface of the Gospels </w:t>
      </w:r>
      <w:r w:rsidR="000A5E7B">
        <w:t>with</w:t>
      </w:r>
      <w:r w:rsidR="00FE4D99">
        <w:t xml:space="preserve"> </w:t>
      </w:r>
      <w:r w:rsidR="007A010E">
        <w:t>the quantified data behind each point of the text</w:t>
      </w:r>
      <w:r w:rsidR="000A5E7B">
        <w:t xml:space="preserve">. In </w:t>
      </w:r>
      <w:r w:rsidR="00DA636A">
        <w:t>other</w:t>
      </w:r>
      <w:r w:rsidR="000A5E7B">
        <w:t xml:space="preserve"> words</w:t>
      </w:r>
      <w:r w:rsidR="00157C91">
        <w:t>, a digital synopsis allows scholars to read the texts in the conventional sense</w:t>
      </w:r>
      <w:r w:rsidR="00DF0CA9">
        <w:t>, that is word by word,</w:t>
      </w:r>
      <w:r w:rsidR="00157C91">
        <w:t xml:space="preserve"> </w:t>
      </w:r>
      <w:r w:rsidR="0046662A">
        <w:t xml:space="preserve">while at the same time being cognizant of </w:t>
      </w:r>
      <w:r w:rsidR="007468CC">
        <w:t xml:space="preserve">broader </w:t>
      </w:r>
      <w:r w:rsidR="0046662A">
        <w:t>trends</w:t>
      </w:r>
      <w:r w:rsidR="0065360F">
        <w:t xml:space="preserve"> </w:t>
      </w:r>
      <w:r w:rsidR="007468CC">
        <w:t>behind</w:t>
      </w:r>
      <w:r w:rsidR="0065360F">
        <w:t xml:space="preserve"> the texts</w:t>
      </w:r>
      <w:r w:rsidR="00806170">
        <w:t xml:space="preserve"> </w:t>
      </w:r>
      <w:r w:rsidR="00BF7884">
        <w:t>regarding quantifiable data</w:t>
      </w:r>
      <w:r w:rsidR="006E228D">
        <w:t>.</w:t>
      </w:r>
      <w:r w:rsidR="001721F1">
        <w:rPr>
          <w:rStyle w:val="FootnoteReference"/>
        </w:rPr>
        <w:footnoteReference w:id="22"/>
      </w:r>
      <w:r w:rsidR="00FD349F">
        <w:t xml:space="preserve"> </w:t>
      </w:r>
      <w:r w:rsidR="00253706">
        <w:t xml:space="preserve">I thus argue that </w:t>
      </w:r>
      <w:r w:rsidR="00A91E57">
        <w:t xml:space="preserve">collecting and analyzing data from the Synoptic Gospels </w:t>
      </w:r>
      <w:r w:rsidR="00DF6416">
        <w:t xml:space="preserve">need not be </w:t>
      </w:r>
      <w:r w:rsidR="0008688B">
        <w:t xml:space="preserve">confined to proposing a solution to the Synoptic </w:t>
      </w:r>
      <w:r w:rsidR="00E45762">
        <w:t>Problem but</w:t>
      </w:r>
      <w:r w:rsidR="0008688B">
        <w:t xml:space="preserve"> is in fact </w:t>
      </w:r>
      <w:r w:rsidR="00C8570B">
        <w:t xml:space="preserve">a step in the process of operationalizing exegesis </w:t>
      </w:r>
      <w:r w:rsidR="00E45762">
        <w:t>through the digital humanities.</w:t>
      </w:r>
      <w:r w:rsidR="00E45762">
        <w:rPr>
          <w:rStyle w:val="FootnoteReference"/>
        </w:rPr>
        <w:footnoteReference w:id="23"/>
      </w:r>
    </w:p>
    <w:p w14:paraId="34668B26" w14:textId="6400A868" w:rsidR="007A30E8" w:rsidRDefault="00A7635C" w:rsidP="00A0712B">
      <w:pPr>
        <w:ind w:firstLine="720"/>
      </w:pPr>
      <w:r>
        <w:t xml:space="preserve"> </w:t>
      </w:r>
      <w:r w:rsidR="00F9216D" w:rsidRPr="007C47D1">
        <w:t xml:space="preserve">(2) Data </w:t>
      </w:r>
      <w:r w:rsidR="003233D2" w:rsidRPr="007C47D1">
        <w:t>can be used to aid the interpretation of texts.</w:t>
      </w:r>
      <w:r w:rsidR="00206C0E" w:rsidRPr="007C47D1">
        <w:t xml:space="preserve"> Here </w:t>
      </w:r>
      <w:r w:rsidR="000F6E58" w:rsidRPr="007C47D1">
        <w:t xml:space="preserve">I argue for an interpretation of a pericope </w:t>
      </w:r>
      <w:r w:rsidR="005E327E" w:rsidRPr="007C47D1">
        <w:t xml:space="preserve">based on a feature of the text uncovered by my empirical analysis and </w:t>
      </w:r>
      <w:r w:rsidR="0056065A" w:rsidRPr="007C47D1">
        <w:t xml:space="preserve">digital synopsis. Specifically, I argue that </w:t>
      </w:r>
      <w:r w:rsidR="003C4107" w:rsidRPr="007C47D1">
        <w:t xml:space="preserve">Matthew and Luke </w:t>
      </w:r>
      <w:r w:rsidR="003F72EF" w:rsidRPr="007C47D1">
        <w:t>preserve a saying attributed to</w:t>
      </w:r>
      <w:r w:rsidR="004C608E" w:rsidRPr="007C47D1">
        <w:t xml:space="preserve"> Jesus </w:t>
      </w:r>
      <w:r w:rsidR="00350629">
        <w:t xml:space="preserve">found in their common source Mark </w:t>
      </w:r>
      <w:r w:rsidR="004C608E" w:rsidRPr="007C47D1">
        <w:t xml:space="preserve">about </w:t>
      </w:r>
      <w:r w:rsidR="0090524C" w:rsidRPr="007C47D1">
        <w:t>the authority of the Son of Man to forgive sins in the Healing of the Paralytic</w:t>
      </w:r>
      <w:r w:rsidR="00C37C60" w:rsidRPr="007C47D1">
        <w:t xml:space="preserve"> and </w:t>
      </w:r>
      <w:r w:rsidR="009D6951" w:rsidRPr="007C47D1">
        <w:t>both</w:t>
      </w:r>
      <w:r w:rsidR="00C37C60" w:rsidRPr="007C47D1">
        <w:t xml:space="preserve"> alter slightly </w:t>
      </w:r>
      <w:r w:rsidR="00E70426" w:rsidRPr="007C47D1">
        <w:t xml:space="preserve">the grammatical </w:t>
      </w:r>
      <w:r w:rsidR="00624F5D" w:rsidRPr="007C47D1">
        <w:t>presentation of forgiveness elsewhere in the pericope</w:t>
      </w:r>
      <w:r w:rsidR="0090524C" w:rsidRPr="007C47D1">
        <w:t xml:space="preserve"> </w:t>
      </w:r>
      <w:r w:rsidR="00423D6A" w:rsidRPr="007C47D1">
        <w:t xml:space="preserve">as a means to fulfill </w:t>
      </w:r>
      <w:r w:rsidR="005C2E0A" w:rsidRPr="007C47D1">
        <w:t xml:space="preserve">the expectations of Jesus’ messianic identify as set up in each of their respective introductions. </w:t>
      </w:r>
      <w:r w:rsidR="00FE6739" w:rsidRPr="007C47D1">
        <w:t>One the one hand, Matthew’s emphasis rest</w:t>
      </w:r>
      <w:r w:rsidR="006100CD" w:rsidRPr="007C47D1">
        <w:t>s</w:t>
      </w:r>
      <w:r w:rsidR="00FE6739" w:rsidRPr="007C47D1">
        <w:t xml:space="preserve"> on Jesus’ </w:t>
      </w:r>
      <w:r w:rsidR="006100CD" w:rsidRPr="007C47D1">
        <w:t>present forgiveness</w:t>
      </w:r>
      <w:r w:rsidR="00FE6739" w:rsidRPr="007C47D1">
        <w:t xml:space="preserve"> among human beings as a fulfillment of his </w:t>
      </w:r>
      <w:r w:rsidR="006100CD" w:rsidRPr="007C47D1">
        <w:t>messianic title</w:t>
      </w:r>
      <w:r w:rsidR="00AE5E88">
        <w:t xml:space="preserve">, </w:t>
      </w:r>
      <w:r w:rsidR="006100CD" w:rsidRPr="007C47D1">
        <w:t>Emmanuel</w:t>
      </w:r>
      <w:r w:rsidR="003B6A42" w:rsidRPr="007C47D1">
        <w:t xml:space="preserve">; Luke, on the other hand, situates </w:t>
      </w:r>
      <w:r w:rsidR="0078504C" w:rsidRPr="007C47D1">
        <w:t xml:space="preserve">forgiveness as a past </w:t>
      </w:r>
      <w:r w:rsidR="00D503FF" w:rsidRPr="007C47D1">
        <w:t>promise</w:t>
      </w:r>
      <w:r w:rsidR="0078504C" w:rsidRPr="007C47D1">
        <w:t xml:space="preserve"> that is </w:t>
      </w:r>
      <w:r w:rsidR="004E11C4" w:rsidRPr="007C47D1">
        <w:t>subsequently</w:t>
      </w:r>
      <w:r w:rsidR="0078504C" w:rsidRPr="007C47D1">
        <w:t xml:space="preserve"> fulfilled in the pr</w:t>
      </w:r>
      <w:r w:rsidR="00D503FF" w:rsidRPr="007C47D1">
        <w:t xml:space="preserve">esence of Jesus’ </w:t>
      </w:r>
      <w:r w:rsidR="004E11C4" w:rsidRPr="007C47D1">
        <w:t>ministry of forgiveness and release.</w:t>
      </w:r>
    </w:p>
    <w:p w14:paraId="1C4725F7" w14:textId="77777777" w:rsidR="00C244BE" w:rsidRDefault="00C244BE" w:rsidP="00A0712B">
      <w:pPr>
        <w:ind w:firstLine="720"/>
      </w:pPr>
    </w:p>
    <w:p w14:paraId="63E0FC41" w14:textId="6AFFF46F" w:rsidR="00321DCD" w:rsidRPr="00AE2213" w:rsidRDefault="00321DCD" w:rsidP="00321DCD">
      <w:pPr>
        <w:rPr>
          <w:b/>
          <w:bCs/>
          <w:u w:val="single"/>
        </w:rPr>
      </w:pPr>
      <w:r w:rsidRPr="00AE2213">
        <w:rPr>
          <w:b/>
          <w:bCs/>
          <w:u w:val="single"/>
        </w:rPr>
        <w:lastRenderedPageBreak/>
        <w:t>Synoptic Scholarship and the Empirical Approach</w:t>
      </w:r>
    </w:p>
    <w:p w14:paraId="4DF60DC5" w14:textId="77777777" w:rsidR="009B0DC5" w:rsidRPr="008B05F8" w:rsidRDefault="009B0DC5" w:rsidP="009B0DC5">
      <w:pPr>
        <w:rPr>
          <w:i/>
          <w:iCs/>
        </w:rPr>
      </w:pPr>
      <w:r>
        <w:rPr>
          <w:i/>
          <w:iCs/>
        </w:rPr>
        <w:t>Data as a Solution to the Synoptic Problem</w:t>
      </w:r>
    </w:p>
    <w:p w14:paraId="0AB6C99E" w14:textId="4863F2C3" w:rsidR="008A7EF7" w:rsidRDefault="009B0DC5" w:rsidP="008A7EF7">
      <w:pPr>
        <w:ind w:firstLine="720"/>
      </w:pPr>
      <w:r>
        <w:t>In order to support either the Two-Source Theory or the Farrer Theory some scholars have turned to modeling the Synoptic Gospels</w:t>
      </w:r>
      <w:r w:rsidRPr="005375FF">
        <w:t xml:space="preserve"> </w:t>
      </w:r>
      <w:r>
        <w:t>using statistics.</w:t>
      </w:r>
      <w:r>
        <w:rPr>
          <w:rStyle w:val="FootnoteReference"/>
        </w:rPr>
        <w:footnoteReference w:id="24"/>
      </w:r>
      <w:r>
        <w:t xml:space="preserve"> </w:t>
      </w:r>
      <w:r w:rsidR="00A23982">
        <w:t>While these scholars have taken many differing approaches in their work</w:t>
      </w:r>
      <w:r w:rsidR="00A27565">
        <w:t>s</w:t>
      </w:r>
      <w:r w:rsidR="00597826">
        <w:t xml:space="preserve"> </w:t>
      </w:r>
      <w:r w:rsidR="00673532">
        <w:t>there remains one commonality</w:t>
      </w:r>
      <w:r w:rsidR="00597826">
        <w:t xml:space="preserve"> between them</w:t>
      </w:r>
      <w:r w:rsidR="00F6127C">
        <w:t xml:space="preserve"> namely,</w:t>
      </w:r>
      <w:r w:rsidR="00A27565">
        <w:t xml:space="preserve"> they all address a solution to the Synoptic Problem</w:t>
      </w:r>
      <w:r w:rsidR="00852F62">
        <w:t xml:space="preserve"> as a whole</w:t>
      </w:r>
      <w:r w:rsidR="00345446">
        <w:t>.</w:t>
      </w:r>
      <w:r w:rsidR="008A7EF7">
        <w:t xml:space="preserve"> Most often, </w:t>
      </w:r>
      <w:r w:rsidR="00BC3033">
        <w:t>empirical</w:t>
      </w:r>
      <w:r w:rsidR="008A7EF7">
        <w:t xml:space="preserve"> data</w:t>
      </w:r>
      <w:r w:rsidR="00BC3033">
        <w:t xml:space="preserve"> from the Gospels</w:t>
      </w:r>
      <w:r w:rsidR="008A7EF7">
        <w:t xml:space="preserve"> is used to posit a literary relationship, or lack thereof, between two or more synoptic texts. In this way the data is used to provide a wholistic solution to the Synoptic Problem. In doing so these studies have taken an overarching approach that marginalizes the qualitative assessment of Biblical exegesis in favor of a positivistic commitment to data. The goals, as stated by some of these studies, is indicative of this commitment. </w:t>
      </w:r>
      <w:r w:rsidR="008A7EF7" w:rsidRPr="00592108">
        <w:t>For example,</w:t>
      </w:r>
      <w:r w:rsidR="008A7EF7">
        <w:t xml:space="preserve"> A. M. Honoré uses a statistical approach to study </w:t>
      </w:r>
      <w:r w:rsidR="007C18A7">
        <w:t>the</w:t>
      </w:r>
      <w:r w:rsidR="008A7EF7">
        <w:t xml:space="preserve"> validity of Markan priority. In his assessment, the basis for postulating Markan priority needs a better foundation that is less susceptible to the whims of scholarly intuition. He writes: </w:t>
      </w:r>
    </w:p>
    <w:p w14:paraId="21617A7B" w14:textId="749F8789" w:rsidR="008A7EF7" w:rsidRDefault="008A7EF7" w:rsidP="008A7EF7">
      <w:pPr>
        <w:spacing w:line="240" w:lineRule="auto"/>
        <w:ind w:left="720" w:right="720"/>
      </w:pPr>
      <w:r>
        <w:t>Surely the modern critical opinion should either be put on a firm statistical foundation or abandoned? It was with this in mind that I undertook the present study. I hope that, quite apart from the results, the methods may be of some interest. Since they are statistical, they can at best lead to results which can claim a high degree of probability. On the other hand they are or should be more firmly based than mere intuition.</w:t>
      </w:r>
      <w:r>
        <w:rPr>
          <w:rStyle w:val="FootnoteReference"/>
        </w:rPr>
        <w:footnoteReference w:id="25"/>
      </w:r>
    </w:p>
    <w:p w14:paraId="33A4907C" w14:textId="77777777" w:rsidR="008A7EF7" w:rsidRDefault="008A7EF7" w:rsidP="008A7EF7">
      <w:pPr>
        <w:spacing w:line="240" w:lineRule="auto"/>
        <w:ind w:left="720" w:right="720"/>
      </w:pPr>
    </w:p>
    <w:p w14:paraId="4B47A9AE" w14:textId="73FBB38E" w:rsidR="008A7EF7" w:rsidRDefault="008A7EF7" w:rsidP="008A7EF7">
      <w:r>
        <w:t xml:space="preserve">While this statement should not be taken to mean that Honoré believes statistics are superior to the work of Biblical scholars, he does see his approach as being able to provide a more reliable assessment of the relationship between the synoptics when it comes to Markan priority. </w:t>
      </w:r>
      <w:r w:rsidR="00581AFF">
        <w:t>Honoré</w:t>
      </w:r>
      <w:r w:rsidR="00884229">
        <w:t xml:space="preserve"> </w:t>
      </w:r>
      <w:r w:rsidR="00884229">
        <w:lastRenderedPageBreak/>
        <w:t xml:space="preserve">ends his study </w:t>
      </w:r>
      <w:r w:rsidR="008C1DF8">
        <w:t xml:space="preserve">with </w:t>
      </w:r>
      <w:r w:rsidR="00884229">
        <w:t xml:space="preserve">definitive statements on </w:t>
      </w:r>
      <w:r w:rsidR="00511326">
        <w:t xml:space="preserve">the </w:t>
      </w:r>
      <w:r w:rsidR="00C96F4E">
        <w:t xml:space="preserve">validity </w:t>
      </w:r>
      <w:r w:rsidR="000F4276">
        <w:t xml:space="preserve">of </w:t>
      </w:r>
      <w:r w:rsidR="00884229">
        <w:t>Markan priority</w:t>
      </w:r>
      <w:r w:rsidR="000C2CA6">
        <w:t>,</w:t>
      </w:r>
      <w:r w:rsidR="00C96F4E">
        <w:t xml:space="preserve"> </w:t>
      </w:r>
      <w:r w:rsidR="003A45F0">
        <w:t xml:space="preserve">Matthew’s and Luke’s use of Mark as a source, </w:t>
      </w:r>
      <w:r w:rsidR="00C96F4E">
        <w:t xml:space="preserve">and </w:t>
      </w:r>
      <w:r w:rsidR="00F006FD">
        <w:t xml:space="preserve">Matthean and Lukan </w:t>
      </w:r>
      <w:r w:rsidR="008C1DF8">
        <w:t>independence</w:t>
      </w:r>
      <w:r w:rsidR="00F006FD">
        <w:t xml:space="preserve"> </w:t>
      </w:r>
      <w:r w:rsidR="00E745C6">
        <w:t>of one another through</w:t>
      </w:r>
      <w:r w:rsidR="00F006FD">
        <w:t xml:space="preserve"> the existence of</w:t>
      </w:r>
      <w:r w:rsidR="003A45F0">
        <w:t xml:space="preserve"> other</w:t>
      </w:r>
      <w:r w:rsidR="00F006FD">
        <w:t xml:space="preserve"> </w:t>
      </w:r>
      <w:r w:rsidR="00955349">
        <w:t>sources</w:t>
      </w:r>
      <w:r w:rsidR="0011789C">
        <w:t xml:space="preserve">, though he does not postulate </w:t>
      </w:r>
      <w:r w:rsidR="00955349">
        <w:t>the</w:t>
      </w:r>
      <w:r w:rsidR="0011789C">
        <w:t xml:space="preserve"> exact</w:t>
      </w:r>
      <w:r w:rsidR="00511326">
        <w:t xml:space="preserve"> </w:t>
      </w:r>
      <w:r w:rsidR="008C1DF8">
        <w:t>fea</w:t>
      </w:r>
      <w:r w:rsidR="00955349">
        <w:t>tures of these sources</w:t>
      </w:r>
      <w:r w:rsidR="008C1DF8">
        <w:t>.</w:t>
      </w:r>
      <w:r w:rsidR="00955349">
        <w:rPr>
          <w:rStyle w:val="FootnoteReference"/>
        </w:rPr>
        <w:footnoteReference w:id="26"/>
      </w:r>
      <w:r w:rsidR="008C1DF8">
        <w:t xml:space="preserve"> </w:t>
      </w:r>
      <w:r w:rsidR="00585AC7">
        <w:t xml:space="preserve">In this regard, </w:t>
      </w:r>
      <w:r w:rsidR="00681AF1">
        <w:t xml:space="preserve">Honoré </w:t>
      </w:r>
      <w:r w:rsidR="002B7999">
        <w:t>focuses on how the synoptic text</w:t>
      </w:r>
      <w:r w:rsidR="00F53EE7">
        <w:t>s</w:t>
      </w:r>
      <w:r w:rsidR="002B7999">
        <w:t xml:space="preserve"> relate with one another and </w:t>
      </w:r>
      <w:r w:rsidR="00CC6CAB">
        <w:t xml:space="preserve">gears his conversation towards a solution </w:t>
      </w:r>
      <w:r w:rsidR="00A578A2">
        <w:t>to the Synoptic Problem</w:t>
      </w:r>
      <w:r w:rsidR="002B66CA">
        <w:t xml:space="preserve"> premised on a positivistic commitment to empirical data</w:t>
      </w:r>
      <w:r w:rsidR="00A578A2">
        <w:t>.</w:t>
      </w:r>
      <w:r w:rsidR="001F5335">
        <w:t xml:space="preserve"> </w:t>
      </w:r>
    </w:p>
    <w:p w14:paraId="3A010801" w14:textId="3D5E5341" w:rsidR="0017789B" w:rsidRDefault="00197354" w:rsidP="005C245E">
      <w:r>
        <w:tab/>
        <w:t xml:space="preserve">The preoccupation with a solution to the Synoptic </w:t>
      </w:r>
      <w:r w:rsidR="00195FD2">
        <w:t>P</w:t>
      </w:r>
      <w:r>
        <w:t xml:space="preserve">roblem is present in other </w:t>
      </w:r>
      <w:r w:rsidR="005C245E">
        <w:t xml:space="preserve">scholarly works that seek to quantify the synoptics. </w:t>
      </w:r>
      <w:r w:rsidR="009B0DC5">
        <w:t>Some of the more extensive collections of statistical data on the synoptic texts are found in the works of Robert Morgenthaler</w:t>
      </w:r>
      <w:r w:rsidR="00627DA1">
        <w:t>,</w:t>
      </w:r>
      <w:r w:rsidR="009B0DC5">
        <w:t xml:space="preserve"> and Joseph Tyson and Thomas Longstaff.</w:t>
      </w:r>
      <w:r w:rsidR="002E040B" w:rsidRPr="002E040B">
        <w:rPr>
          <w:rStyle w:val="FootnoteReference"/>
        </w:rPr>
        <w:t xml:space="preserve"> </w:t>
      </w:r>
      <w:r w:rsidR="002E040B">
        <w:rPr>
          <w:rStyle w:val="FootnoteReference"/>
        </w:rPr>
        <w:footnoteReference w:id="27"/>
      </w:r>
      <w:r w:rsidR="002E040B">
        <w:t xml:space="preserve"> </w:t>
      </w:r>
      <w:r w:rsidR="0017789B">
        <w:t xml:space="preserve">The goal of Tyson and Longstaff </w:t>
      </w:r>
      <w:r w:rsidR="005B1573">
        <w:t xml:space="preserve">is to create a tool that can benefit scholars in arguing for or against various solutions to the Synoptic Problem. </w:t>
      </w:r>
      <w:r w:rsidR="00313779">
        <w:t xml:space="preserve">While they do not align themselves with a particular </w:t>
      </w:r>
      <w:r w:rsidR="00904F32">
        <w:t xml:space="preserve">source theory, they remain committed to examining overarching solutions to the Synoptic Problem </w:t>
      </w:r>
      <w:r w:rsidR="00773173">
        <w:t xml:space="preserve">through the use of empirical analysis. </w:t>
      </w:r>
      <w:r w:rsidR="006A5175">
        <w:t>They write in their preface:</w:t>
      </w:r>
    </w:p>
    <w:p w14:paraId="01F91AB7" w14:textId="4CD5EFDC" w:rsidR="00773173" w:rsidRDefault="00E16C86" w:rsidP="008E2964">
      <w:pPr>
        <w:spacing w:line="240" w:lineRule="auto"/>
        <w:ind w:left="720" w:right="720"/>
      </w:pPr>
      <w:r w:rsidRPr="00E16C86">
        <w:t xml:space="preserve">The </w:t>
      </w:r>
      <w:r w:rsidR="00045B37">
        <w:t>p</w:t>
      </w:r>
      <w:r w:rsidRPr="00E16C86">
        <w:t xml:space="preserve">urpose of the </w:t>
      </w:r>
      <w:r w:rsidRPr="00E16C86">
        <w:rPr>
          <w:i/>
          <w:iCs/>
        </w:rPr>
        <w:t>Synoptic Abstract</w:t>
      </w:r>
      <w:r w:rsidRPr="00E16C86">
        <w:t xml:space="preserve"> is to present an analysis of the verbal agreements among the Synoptic Gospels and to do so without a presupposition about the correct solution to the Synoptic problem. We have operated under the conviction that scholars now need a neutral tool which can be used in the comparison of one gospel with another, a tool which treats verbal agreements as important phenomena which can be studied without dependence on a solution to the source problem.</w:t>
      </w:r>
      <w:r w:rsidR="0029355C">
        <w:rPr>
          <w:rStyle w:val="FootnoteReference"/>
        </w:rPr>
        <w:footnoteReference w:id="28"/>
      </w:r>
    </w:p>
    <w:p w14:paraId="4E309C7C" w14:textId="77777777" w:rsidR="008E2964" w:rsidRDefault="008E2964" w:rsidP="008E2964">
      <w:pPr>
        <w:spacing w:line="240" w:lineRule="auto"/>
        <w:ind w:left="720" w:right="720"/>
      </w:pPr>
    </w:p>
    <w:p w14:paraId="19059D18" w14:textId="218FDAD1" w:rsidR="0011212F" w:rsidRDefault="00F906A5" w:rsidP="00FF45E4">
      <w:r>
        <w:t xml:space="preserve">Here, “dependence” </w:t>
      </w:r>
      <w:r w:rsidR="002247AD">
        <w:t xml:space="preserve">to a solution for the sources means a presupposition </w:t>
      </w:r>
      <w:r w:rsidR="0082237E">
        <w:t xml:space="preserve">about the validity of a source theory for the synoptics. </w:t>
      </w:r>
      <w:r w:rsidR="00011AE9">
        <w:t xml:space="preserve">Tyson and Longstaff thus see their work </w:t>
      </w:r>
      <w:r w:rsidR="00361C74">
        <w:t>as a means to buttress solutions to the Synoptic Problem and not</w:t>
      </w:r>
      <w:r w:rsidR="0029355C">
        <w:t xml:space="preserve"> necessarily </w:t>
      </w:r>
      <w:r w:rsidR="00361C74">
        <w:t xml:space="preserve">as a means to provide </w:t>
      </w:r>
      <w:r w:rsidR="0029355C">
        <w:t xml:space="preserve">insight </w:t>
      </w:r>
      <w:r w:rsidR="00966A47">
        <w:t>to</w:t>
      </w:r>
      <w:r w:rsidR="0029355C">
        <w:t xml:space="preserve"> the </w:t>
      </w:r>
      <w:r w:rsidR="0029355C">
        <w:lastRenderedPageBreak/>
        <w:t>interpretation of the texts.</w:t>
      </w:r>
      <w:r w:rsidR="00FF45E4">
        <w:t xml:space="preserve"> </w:t>
      </w:r>
      <w:r w:rsidR="005A78EB">
        <w:t>Likewise</w:t>
      </w:r>
      <w:r w:rsidR="006C2B5B">
        <w:t>,</w:t>
      </w:r>
      <w:r w:rsidR="005A78EB">
        <w:t xml:space="preserve"> Morgenthaler positions his statistical study of the synoptic texts in relation to </w:t>
      </w:r>
      <w:r w:rsidR="009103F8">
        <w:t xml:space="preserve">solving </w:t>
      </w:r>
      <w:r w:rsidR="005A78EB">
        <w:t xml:space="preserve">the Synoptic Problem. </w:t>
      </w:r>
      <w:r w:rsidR="006C2B5B">
        <w:t xml:space="preserve">After a survey of </w:t>
      </w:r>
      <w:r w:rsidR="000B54D9">
        <w:t xml:space="preserve">scholarly literature on </w:t>
      </w:r>
      <w:r w:rsidR="00020265">
        <w:t xml:space="preserve">the use of synopses, Morgenthaler states two </w:t>
      </w:r>
      <w:r w:rsidR="00C62B1B">
        <w:t>observations about the nature of synopses</w:t>
      </w:r>
      <w:r w:rsidR="00020265">
        <w:t xml:space="preserve"> that </w:t>
      </w:r>
      <w:r w:rsidR="00A36A8B">
        <w:t xml:space="preserve">characterize his approach: (1) </w:t>
      </w:r>
      <w:r w:rsidR="008D026C">
        <w:t>“</w:t>
      </w:r>
      <w:r w:rsidR="00A36A8B">
        <w:t xml:space="preserve">The </w:t>
      </w:r>
      <w:r w:rsidR="00ED36B4">
        <w:t xml:space="preserve">Synoptic Problem is </w:t>
      </w:r>
      <w:r w:rsidR="00355B08">
        <w:t xml:space="preserve">based on </w:t>
      </w:r>
      <w:r w:rsidR="008D026C">
        <w:t>quantitative facts,” and (2) “</w:t>
      </w:r>
      <w:r w:rsidR="00AD0D63">
        <w:t xml:space="preserve">These quantitative facts can be </w:t>
      </w:r>
      <w:r w:rsidR="00D061FC">
        <w:t>graphically represented.”</w:t>
      </w:r>
      <w:r w:rsidR="00D061FC">
        <w:rPr>
          <w:rStyle w:val="FootnoteReference"/>
        </w:rPr>
        <w:footnoteReference w:id="29"/>
      </w:r>
      <w:r w:rsidR="00CA1BBB">
        <w:t xml:space="preserve"> </w:t>
      </w:r>
      <w:r w:rsidR="005C03BB">
        <w:t xml:space="preserve">He then goes on to state </w:t>
      </w:r>
      <w:r w:rsidR="00050C1D">
        <w:t xml:space="preserve">that these two </w:t>
      </w:r>
      <w:r w:rsidR="00954AC1">
        <w:t>observations</w:t>
      </w:r>
      <w:r w:rsidR="00E55787">
        <w:t xml:space="preserve"> dictate how </w:t>
      </w:r>
      <w:r w:rsidR="00C821B2">
        <w:t xml:space="preserve">any solution to the Synoptic </w:t>
      </w:r>
      <w:r w:rsidR="00E36C41">
        <w:t>P</w:t>
      </w:r>
      <w:r w:rsidR="00C821B2">
        <w:t xml:space="preserve">roblem </w:t>
      </w:r>
      <w:r w:rsidR="00D143E4">
        <w:t>is to be conceived, writing, “As a result, a solution to the Synoptic Problem</w:t>
      </w:r>
      <w:r w:rsidR="00F907E9">
        <w:t xml:space="preserve"> will only be possible </w:t>
      </w:r>
      <w:r w:rsidR="00DB3E5A">
        <w:t xml:space="preserve">on the basis of </w:t>
      </w:r>
      <w:r w:rsidR="00E55C97">
        <w:t xml:space="preserve">a description and recording </w:t>
      </w:r>
      <w:r w:rsidR="0023423D">
        <w:t xml:space="preserve">of the quantitative facts and a clear – synoptic </w:t>
      </w:r>
      <w:r w:rsidR="00A40A84">
        <w:t>– representation of the relevant results.”</w:t>
      </w:r>
      <w:r w:rsidR="005222DB">
        <w:rPr>
          <w:rStyle w:val="FootnoteReference"/>
        </w:rPr>
        <w:footnoteReference w:id="30"/>
      </w:r>
      <w:r w:rsidR="0076057A">
        <w:t xml:space="preserve"> In this sense, Morgenthaler</w:t>
      </w:r>
      <w:r w:rsidR="00E516A2">
        <w:t xml:space="preserve"> positions his work as a means to </w:t>
      </w:r>
      <w:r w:rsidR="002A1D01">
        <w:t xml:space="preserve">demonstrate a solution to the Synoptic Problem itself and not to interpret the texts individually. </w:t>
      </w:r>
      <w:r w:rsidR="00CC0082">
        <w:t xml:space="preserve">However, he does point toward </w:t>
      </w:r>
      <w:r w:rsidR="00184C78">
        <w:t>one useful feature of quantitative approaches when it comes to synoptic stud</w:t>
      </w:r>
      <w:r w:rsidR="00382292">
        <w:t>ies namely</w:t>
      </w:r>
      <w:r w:rsidR="004C1AA3">
        <w:t>,</w:t>
      </w:r>
      <w:r w:rsidR="00382292">
        <w:t xml:space="preserve"> the ability to </w:t>
      </w:r>
      <w:r w:rsidR="00713321">
        <w:t>visualize the texts in various ways.</w:t>
      </w:r>
    </w:p>
    <w:p w14:paraId="0C2D11AE" w14:textId="1561CC8F" w:rsidR="009B0DC5" w:rsidRDefault="009B0DC5" w:rsidP="004E01FA">
      <w:pPr>
        <w:ind w:firstLine="720"/>
      </w:pPr>
      <w:r>
        <w:t xml:space="preserve">Other statistical studies of the </w:t>
      </w:r>
      <w:r w:rsidR="00F67BC0">
        <w:t>S</w:t>
      </w:r>
      <w:r>
        <w:t xml:space="preserve">ynoptic </w:t>
      </w:r>
      <w:r w:rsidR="00F67BC0">
        <w:t>G</w:t>
      </w:r>
      <w:r>
        <w:t xml:space="preserve">ospels, while abandoning the supposition that statistics alone can offer an impartial solution to the </w:t>
      </w:r>
      <w:r w:rsidR="00575C6E">
        <w:t>S</w:t>
      </w:r>
      <w:r>
        <w:t xml:space="preserve">ynoptic </w:t>
      </w:r>
      <w:r w:rsidR="00575C6E">
        <w:t>P</w:t>
      </w:r>
      <w:r>
        <w:t>roblem, have maintained a commitment to using empirical data to study to overall relationship between the gospel texts.</w:t>
      </w:r>
      <w:r w:rsidR="002A6708">
        <w:t xml:space="preserve"> </w:t>
      </w:r>
      <w:r w:rsidRPr="001F1146">
        <w:t xml:space="preserve">Andris Abakuks, a professional statistician interested in the </w:t>
      </w:r>
      <w:r w:rsidR="00F236A2">
        <w:t>S</w:t>
      </w:r>
      <w:r w:rsidRPr="001F1146">
        <w:t xml:space="preserve">ynoptic </w:t>
      </w:r>
      <w:r w:rsidR="00F236A2">
        <w:t>P</w:t>
      </w:r>
      <w:r w:rsidRPr="001F1146">
        <w:t>roblem, has examined the usefulness and limitations of statistical analysis regarding the Synoptic Gospels in great detail.</w:t>
      </w:r>
      <w:r w:rsidRPr="001F1146">
        <w:rPr>
          <w:vertAlign w:val="superscript"/>
        </w:rPr>
        <w:footnoteReference w:id="31"/>
      </w:r>
      <w:r w:rsidRPr="001F1146">
        <w:t xml:space="preserve"> </w:t>
      </w:r>
      <w:r>
        <w:t xml:space="preserve">Abakuks uses a statistical model to look </w:t>
      </w:r>
      <w:r w:rsidR="002A6708">
        <w:t xml:space="preserve">for </w:t>
      </w:r>
      <w:r>
        <w:t xml:space="preserve">places in </w:t>
      </w:r>
      <w:r w:rsidR="008340C4">
        <w:t xml:space="preserve">entire </w:t>
      </w:r>
      <w:r>
        <w:t xml:space="preserve">synoptic texts where there is a possible association between Matthew and Luke. </w:t>
      </w:r>
      <w:r w:rsidR="004D20B7">
        <w:t>Yet u</w:t>
      </w:r>
      <w:r w:rsidRPr="001F1146">
        <w:t>nlike other statistical studies</w:t>
      </w:r>
      <w:r>
        <w:t>,</w:t>
      </w:r>
      <w:r w:rsidRPr="001F1146">
        <w:t xml:space="preserve"> Abakuks </w:t>
      </w:r>
      <w:r w:rsidR="006D3C6C">
        <w:lastRenderedPageBreak/>
        <w:t>moves from a macroscopic analysis of the texts</w:t>
      </w:r>
      <w:r w:rsidR="007E74C9">
        <w:t xml:space="preserve"> to an examination of</w:t>
      </w:r>
      <w:r>
        <w:t xml:space="preserve"> </w:t>
      </w:r>
      <w:r w:rsidR="00F15B38">
        <w:t>t</w:t>
      </w:r>
      <w:r w:rsidR="007E74C9">
        <w:t>hose</w:t>
      </w:r>
      <w:r>
        <w:t xml:space="preserve"> individual pericopes</w:t>
      </w:r>
      <w:r w:rsidRPr="001F1146">
        <w:t xml:space="preserve"> </w:t>
      </w:r>
      <w:r w:rsidR="00F15B38">
        <w:t xml:space="preserve">which </w:t>
      </w:r>
      <w:r w:rsidR="004D20B7">
        <w:t>his</w:t>
      </w:r>
      <w:r w:rsidR="0074506A">
        <w:t xml:space="preserve"> statistical method identified</w:t>
      </w:r>
      <w:r w:rsidR="001D0EFD">
        <w:t xml:space="preserve"> as important to Matthean and Lukan dependence of one another</w:t>
      </w:r>
      <w:r w:rsidR="00540985">
        <w:t xml:space="preserve">. Thus, </w:t>
      </w:r>
      <w:r>
        <w:t>in light of his broader statistical model</w:t>
      </w:r>
      <w:r w:rsidR="00B50967">
        <w:t>, Abakuks begins to engage in more direct exegesis of certain passages</w:t>
      </w:r>
      <w:r>
        <w:t xml:space="preserve"> </w:t>
      </w:r>
      <w:r w:rsidRPr="001F1146">
        <w:t>in order to see how</w:t>
      </w:r>
      <w:r w:rsidR="00B854F9">
        <w:t xml:space="preserve"> the conclusions put</w:t>
      </w:r>
      <w:r w:rsidR="00613564">
        <w:t xml:space="preserve"> forward by</w:t>
      </w:r>
      <w:r w:rsidRPr="001F1146">
        <w:t>, “the statistical models, with their simplifying assumptions, turn out to be when faced with the complexities of the texts themselves.”</w:t>
      </w:r>
      <w:r w:rsidRPr="001F1146">
        <w:rPr>
          <w:vertAlign w:val="superscript"/>
        </w:rPr>
        <w:footnoteReference w:id="32"/>
      </w:r>
      <w:r w:rsidRPr="001F1146">
        <w:t xml:space="preserve"> Abakuks</w:t>
      </w:r>
      <w:r>
        <w:t xml:space="preserve"> </w:t>
      </w:r>
      <w:r w:rsidRPr="001F1146">
        <w:t>is</w:t>
      </w:r>
      <w:r>
        <w:t xml:space="preserve"> thus f</w:t>
      </w:r>
      <w:r w:rsidRPr="001F1146">
        <w:t>orthcoming about what statistics and empirical analysis can achieve in synoptic studies</w:t>
      </w:r>
      <w:r>
        <w:t xml:space="preserve">, viz., they cannot be a definitive solution to the </w:t>
      </w:r>
      <w:r w:rsidR="00A966B5">
        <w:t>S</w:t>
      </w:r>
      <w:r>
        <w:t xml:space="preserve">ynoptic </w:t>
      </w:r>
      <w:r w:rsidR="00A966B5">
        <w:t>P</w:t>
      </w:r>
      <w:r>
        <w:t>roblem</w:t>
      </w:r>
      <w:r w:rsidR="00CF2F5F">
        <w:t xml:space="preserve"> but can point to </w:t>
      </w:r>
      <w:r w:rsidR="008B6E90">
        <w:t>certain patterns that may aid the scholarly study of the text</w:t>
      </w:r>
      <w:r w:rsidR="00656041">
        <w:t>s</w:t>
      </w:r>
      <w:r w:rsidRPr="001F1146">
        <w:t xml:space="preserve">. Abakuks’s approach thus acknowledges the need to pair the quantitative and qualitative methods of synoptic study in such a way as to allow them to </w:t>
      </w:r>
      <w:r w:rsidR="00B03542" w:rsidRPr="001F1146">
        <w:t>complement</w:t>
      </w:r>
      <w:r w:rsidRPr="001F1146">
        <w:t xml:space="preserve"> one another and thereby leverage new insight from the texts.</w:t>
      </w:r>
      <w:r>
        <w:t xml:space="preserve"> </w:t>
      </w:r>
      <w:r w:rsidR="0057482F">
        <w:t>In this regard, Abakuk</w:t>
      </w:r>
      <w:r w:rsidR="002D4C54">
        <w:t>s’s work is an</w:t>
      </w:r>
      <w:r w:rsidR="004E01FA">
        <w:t xml:space="preserve"> effort to use statistics in a way that moves beyond offering a solution to the </w:t>
      </w:r>
      <w:r w:rsidR="002D4C54">
        <w:t>S</w:t>
      </w:r>
      <w:r w:rsidR="004E01FA">
        <w:t xml:space="preserve">ynoptic </w:t>
      </w:r>
      <w:r w:rsidR="002D4C54">
        <w:t>P</w:t>
      </w:r>
      <w:r w:rsidR="004E01FA">
        <w:t xml:space="preserve">roblem. </w:t>
      </w:r>
      <w:r>
        <w:t>However, Abakuks’s approach still falls short in this regard because his analysis of the individual pericopae is always geared toward finding a literary relationship between the texts</w:t>
      </w:r>
      <w:r w:rsidR="007777C0">
        <w:t>. His conclusions about the individual pericopes he e</w:t>
      </w:r>
      <w:r w:rsidR="0063099C">
        <w:t>xamines</w:t>
      </w:r>
      <w:r w:rsidR="001F4990">
        <w:t xml:space="preserve"> hope t</w:t>
      </w:r>
      <w:r w:rsidRPr="001F1146">
        <w:t xml:space="preserve">o provide </w:t>
      </w:r>
      <w:r w:rsidR="00904A62">
        <w:t>insight into</w:t>
      </w:r>
      <w:r w:rsidRPr="001F1146">
        <w:t xml:space="preserve"> a possible literary relationship between the synoptics</w:t>
      </w:r>
      <w:r w:rsidR="004B302A">
        <w:t xml:space="preserve">, emphasizing the implications of the analysis for </w:t>
      </w:r>
      <w:r w:rsidR="00614948">
        <w:t>the Two-Source Theory and Farrer Hypothes</w:t>
      </w:r>
      <w:r w:rsidR="00B81E30">
        <w:t>is</w:t>
      </w:r>
      <w:r>
        <w:t>.</w:t>
      </w:r>
      <w:r w:rsidR="00B81E30">
        <w:rPr>
          <w:rStyle w:val="FootnoteReference"/>
        </w:rPr>
        <w:footnoteReference w:id="33"/>
      </w:r>
      <w:r w:rsidR="004930D9">
        <w:t xml:space="preserve"> Thus, Abaku</w:t>
      </w:r>
      <w:r w:rsidR="00EA17DA">
        <w:t>ks</w:t>
      </w:r>
      <w:r w:rsidR="00F57033">
        <w:t xml:space="preserve">’s approach </w:t>
      </w:r>
      <w:r w:rsidR="006F404C">
        <w:t>moves towards</w:t>
      </w:r>
      <w:r w:rsidR="00903F6D">
        <w:t xml:space="preserve"> a meaningful engagement between quantitative and qualitative modes of analysis, but ultimately </w:t>
      </w:r>
      <w:r w:rsidR="00D00810">
        <w:t>maintains the connection between a wholistic understanding of the Synoptic Problem and empirical analysis of the synoptic texts.</w:t>
      </w:r>
      <w:r w:rsidR="00F57033">
        <w:t xml:space="preserve"> </w:t>
      </w:r>
    </w:p>
    <w:p w14:paraId="6375AEFE" w14:textId="3A4CC032" w:rsidR="0031355F" w:rsidRDefault="001A7D98" w:rsidP="0031355F">
      <w:pPr>
        <w:ind w:firstLine="720"/>
      </w:pPr>
      <w:r>
        <w:t>In sum</w:t>
      </w:r>
      <w:r w:rsidR="0031355F">
        <w:t xml:space="preserve">, </w:t>
      </w:r>
      <w:r w:rsidR="000059B7">
        <w:t>empirical analysis</w:t>
      </w:r>
      <w:r w:rsidR="0031355F">
        <w:t xml:space="preserve"> in synoptic studies has largely been relegated to studying the Synoptic Problem</w:t>
      </w:r>
      <w:r w:rsidR="000059B7">
        <w:t xml:space="preserve"> and, in particular</w:t>
      </w:r>
      <w:r w:rsidR="000658C6">
        <w:t xml:space="preserve">, to interacting with </w:t>
      </w:r>
      <w:r w:rsidR="00C00BE4">
        <w:t>source theory solutions to the Synoptic Problem</w:t>
      </w:r>
      <w:r w:rsidR="0031355F">
        <w:t>.</w:t>
      </w:r>
    </w:p>
    <w:p w14:paraId="3B885BDE" w14:textId="66660642" w:rsidR="005322E1" w:rsidRPr="00E6712F" w:rsidRDefault="00831E20" w:rsidP="00831E20">
      <w:pPr>
        <w:rPr>
          <w:i/>
          <w:iCs/>
        </w:rPr>
      </w:pPr>
      <w:r w:rsidRPr="00E6712F">
        <w:rPr>
          <w:i/>
          <w:iCs/>
        </w:rPr>
        <w:lastRenderedPageBreak/>
        <w:t>Skepticism Towards Data</w:t>
      </w:r>
      <w:r w:rsidR="00CB08F8" w:rsidRPr="00E6712F">
        <w:rPr>
          <w:i/>
          <w:iCs/>
        </w:rPr>
        <w:t xml:space="preserve"> in Synoptic Studies</w:t>
      </w:r>
    </w:p>
    <w:p w14:paraId="255D0417" w14:textId="61C6C3C6" w:rsidR="00922991" w:rsidRDefault="00FC6B4A" w:rsidP="00922991">
      <w:pPr>
        <w:ind w:firstLine="720"/>
      </w:pPr>
      <w:r>
        <w:t xml:space="preserve">When New Testament Scholars do use quantitative methods to analyze the </w:t>
      </w:r>
      <w:r w:rsidR="004F1AF9">
        <w:t xml:space="preserve">Synoptic Gospels they are often met with criticism. </w:t>
      </w:r>
      <w:r w:rsidR="00707C1A">
        <w:t>One of the more major criticism</w:t>
      </w:r>
      <w:r w:rsidR="000724C9">
        <w:t>s</w:t>
      </w:r>
      <w:r w:rsidR="00423A37">
        <w:t xml:space="preserve">, </w:t>
      </w:r>
      <w:r w:rsidR="000724C9">
        <w:t>which</w:t>
      </w:r>
      <w:r w:rsidR="00423A37">
        <w:t xml:space="preserve"> represents a major challenge to both quantitative and qualitative</w:t>
      </w:r>
      <w:r w:rsidR="00513529">
        <w:t xml:space="preserve"> method</w:t>
      </w:r>
      <w:r w:rsidR="00A062BC">
        <w:t>s</w:t>
      </w:r>
      <w:r w:rsidR="00513529">
        <w:t xml:space="preserve"> alike,</w:t>
      </w:r>
      <w:r w:rsidR="00707C1A">
        <w:t xml:space="preserve"> has do with the ways textual agreements are counted and tabulated within such studies</w:t>
      </w:r>
      <w:r w:rsidR="00922991">
        <w:t>.</w:t>
      </w:r>
      <w:r w:rsidR="00922991">
        <w:rPr>
          <w:rStyle w:val="FootnoteReference"/>
        </w:rPr>
        <w:footnoteReference w:id="34"/>
      </w:r>
      <w:r w:rsidR="00922991">
        <w:t xml:space="preserve"> There are several types of textual agreements within synoptic studies, usually having to do with agreements between Matthew and Luke against Mark</w:t>
      </w:r>
      <w:r w:rsidR="00513529">
        <w:t>: the so-called “</w:t>
      </w:r>
      <w:r w:rsidR="00922991">
        <w:t>minor-agreements</w:t>
      </w:r>
      <w:r w:rsidR="00513529">
        <w:t>.”</w:t>
      </w:r>
      <w:r w:rsidR="00061F5A">
        <w:rPr>
          <w:rStyle w:val="FootnoteReference"/>
        </w:rPr>
        <w:footnoteReference w:id="35"/>
      </w:r>
      <w:r w:rsidR="00922991">
        <w:t xml:space="preserve"> </w:t>
      </w:r>
      <w:r w:rsidR="0055555D">
        <w:t>Frans</w:t>
      </w:r>
      <w:r w:rsidR="00C21BDE">
        <w:t xml:space="preserve"> </w:t>
      </w:r>
      <w:r w:rsidR="00922991">
        <w:t xml:space="preserve">Neirynck’s work </w:t>
      </w:r>
      <w:r w:rsidR="00C21BDE">
        <w:t xml:space="preserve">on the minor-agreements </w:t>
      </w:r>
      <w:r w:rsidR="00922991">
        <w:t xml:space="preserve">demonstrates the complex interpretive issues of defining an agreement in the synoptics and the level of variability that exists in how scholars come to identify a feature of the texts as an agreement, a level of variability that has only increased since </w:t>
      </w:r>
      <w:r w:rsidR="00C5652B">
        <w:t>his</w:t>
      </w:r>
      <w:r w:rsidR="00922991">
        <w:t xml:space="preserve"> work was published in 1974.</w:t>
      </w:r>
      <w:r w:rsidR="006605B3" w:rsidRPr="006605B3">
        <w:rPr>
          <w:rStyle w:val="FootnoteReference"/>
        </w:rPr>
        <w:t xml:space="preserve"> </w:t>
      </w:r>
      <w:r w:rsidR="006605B3">
        <w:rPr>
          <w:rStyle w:val="FootnoteReference"/>
        </w:rPr>
        <w:footnoteReference w:id="36"/>
      </w:r>
      <w:r w:rsidR="00922991">
        <w:t xml:space="preserve"> </w:t>
      </w:r>
      <w:r w:rsidR="00C62E72">
        <w:t>Thus, another goal for</w:t>
      </w:r>
      <w:r w:rsidR="00EC33AD">
        <w:t xml:space="preserve"> scholars, such as</w:t>
      </w:r>
      <w:r w:rsidR="00C62E72">
        <w:t xml:space="preserve"> Tyson and Longstaff</w:t>
      </w:r>
      <w:r w:rsidR="00EC33AD">
        <w:t>,</w:t>
      </w:r>
      <w:r w:rsidR="00C62E72">
        <w:t xml:space="preserve"> </w:t>
      </w:r>
      <w:r w:rsidR="00BF509D">
        <w:t>is</w:t>
      </w:r>
      <w:r w:rsidR="00C62E72">
        <w:t xml:space="preserve"> to supply </w:t>
      </w:r>
      <w:r w:rsidR="00BF509D">
        <w:t xml:space="preserve">a catalog of textual agreements that </w:t>
      </w:r>
      <w:r w:rsidR="00077933">
        <w:t>displays them in a neutral setting without preference for one source theory over another.</w:t>
      </w:r>
      <w:r w:rsidR="00327A19">
        <w:rPr>
          <w:rStyle w:val="FootnoteReference"/>
        </w:rPr>
        <w:footnoteReference w:id="37"/>
      </w:r>
      <w:r w:rsidR="00077933">
        <w:t xml:space="preserve"> </w:t>
      </w:r>
      <w:r w:rsidR="00327A19">
        <w:t>But in any case,</w:t>
      </w:r>
      <w:r w:rsidR="00922991">
        <w:t xml:space="preserve"> it can be said that synoptic scholars seldom agree on agreements. </w:t>
      </w:r>
    </w:p>
    <w:p w14:paraId="0721EA4A" w14:textId="13C2AF88" w:rsidR="00E6712F" w:rsidRDefault="003B6ED1" w:rsidP="003B6ED1">
      <w:pPr>
        <w:ind w:firstLine="720"/>
      </w:pPr>
      <w:r>
        <w:lastRenderedPageBreak/>
        <w:t>D</w:t>
      </w:r>
      <w:r w:rsidR="00E6712F">
        <w:t>epending on the approach of a particular statistical study</w:t>
      </w:r>
      <w:r w:rsidR="00FE47A5">
        <w:t xml:space="preserve"> and how agreements between the texts are measured</w:t>
      </w:r>
      <w:r w:rsidR="00E6712F">
        <w:t xml:space="preserve"> some scholars support the Two-Source Theory,</w:t>
      </w:r>
      <w:r w:rsidR="00E6712F">
        <w:rPr>
          <w:rStyle w:val="FootnoteReference"/>
        </w:rPr>
        <w:footnoteReference w:id="38"/>
      </w:r>
      <w:r w:rsidR="00E6712F">
        <w:t xml:space="preserve"> some support the Farrer Hypothesis,</w:t>
      </w:r>
      <w:r w:rsidR="00E6712F">
        <w:rPr>
          <w:rStyle w:val="FootnoteReference"/>
        </w:rPr>
        <w:footnoteReference w:id="39"/>
      </w:r>
      <w:r w:rsidR="00E6712F">
        <w:t xml:space="preserve"> some support a mixture of approaches.</w:t>
      </w:r>
      <w:r w:rsidR="00E6712F">
        <w:rPr>
          <w:rStyle w:val="FootnoteReference"/>
        </w:rPr>
        <w:footnoteReference w:id="40"/>
      </w:r>
      <w:r w:rsidR="00E6712F">
        <w:t xml:space="preserve"> </w:t>
      </w:r>
      <w:r w:rsidR="00381827">
        <w:t xml:space="preserve">This has led to a scholarly </w:t>
      </w:r>
      <w:r w:rsidR="00E6712F">
        <w:t xml:space="preserve">critique </w:t>
      </w:r>
      <w:r w:rsidR="00926C6E">
        <w:t>against the overall use of</w:t>
      </w:r>
      <w:r w:rsidR="00E6712F">
        <w:t xml:space="preserve"> statistical methods </w:t>
      </w:r>
      <w:r w:rsidR="00926C6E">
        <w:t xml:space="preserve">and empirical data </w:t>
      </w:r>
      <w:r w:rsidR="00E6712F">
        <w:t xml:space="preserve">when addressing the </w:t>
      </w:r>
      <w:r w:rsidR="00A62974">
        <w:t>S</w:t>
      </w:r>
      <w:r w:rsidR="00E6712F">
        <w:t xml:space="preserve">ynoptic </w:t>
      </w:r>
      <w:r w:rsidR="00A62974">
        <w:t>P</w:t>
      </w:r>
      <w:r w:rsidR="00E6712F">
        <w:t>roblem.</w:t>
      </w:r>
      <w:r w:rsidR="00E6712F">
        <w:rPr>
          <w:rStyle w:val="FootnoteReference"/>
        </w:rPr>
        <w:footnoteReference w:id="41"/>
      </w:r>
      <w:r w:rsidR="00E6712F">
        <w:t xml:space="preserve"> John Poirier, for example, writes, “Rather than lifting the study of the gospels from the mire of subjective judgment, or allowing us to get a handle on a unwieldy mass of data, statistical studies have too often amounted to coded expressions of their user’s commitments.”</w:t>
      </w:r>
      <w:r w:rsidR="00E6712F">
        <w:rPr>
          <w:rStyle w:val="FootnoteReference"/>
        </w:rPr>
        <w:footnoteReference w:id="42"/>
      </w:r>
      <w:r w:rsidR="00E6712F">
        <w:t xml:space="preserve"> In this regard, empirical studies of the synoptic texts contain the same subjective criteria and exhibit the same types of interpretive issues that are already present in existing methods of Gospel scholarship. Other scholars have been similarly despondent of the ways in which data analysis in the synoptics can aid our understanding of the </w:t>
      </w:r>
      <w:r w:rsidR="00E6712F" w:rsidRPr="00617A46">
        <w:t>texts.</w:t>
      </w:r>
      <w:r w:rsidR="00E6712F">
        <w:t xml:space="preserve"> E. P. Sanders and Margaret Davies, for example, do not see statistics as a definitive means of determining a possible relationship between Matthew and Luke due to the minor agreements, they write: “Statistics seem not quite to settle the question. One is not dealing with random probability, but with editorial choice.”</w:t>
      </w:r>
      <w:r w:rsidR="00E6712F">
        <w:rPr>
          <w:rStyle w:val="FootnoteReference"/>
        </w:rPr>
        <w:footnoteReference w:id="43"/>
      </w:r>
      <w:r w:rsidR="00E6712F">
        <w:t xml:space="preserve"> However, Sanders and Davies rightly do not dismiss the usefulness of an empirical analysis of the minor agreement outright; they see the high number of agreements between Matthew and Luke, over one-thousand in their assessment, as “too many to attribute to coincidence and </w:t>
      </w:r>
      <w:r w:rsidR="00E6712F">
        <w:lastRenderedPageBreak/>
        <w:t>editorial policy.”</w:t>
      </w:r>
      <w:r w:rsidR="00E6712F">
        <w:rPr>
          <w:rStyle w:val="FootnoteReference"/>
        </w:rPr>
        <w:footnoteReference w:id="44"/>
      </w:r>
      <w:r w:rsidR="00E6712F">
        <w:t xml:space="preserve"> Thus, they affirm that an empirical catalog of the synoptic texts can yield insight, but is not meant to be a wholistic explanation of the texts’ literary relationship.</w:t>
      </w:r>
    </w:p>
    <w:p w14:paraId="03D63D28" w14:textId="05D9C01B" w:rsidR="00C04C07" w:rsidRDefault="00E6712F" w:rsidP="00696A9A">
      <w:pPr>
        <w:ind w:firstLine="720"/>
      </w:pPr>
      <w:r>
        <w:t xml:space="preserve">The criticisms of quantitative data in synoptic analysis </w:t>
      </w:r>
      <w:r w:rsidR="00BE386D">
        <w:t>is thus linked to p</w:t>
      </w:r>
      <w:r>
        <w:t xml:space="preserve">revious studies which used Gospel data primarily </w:t>
      </w:r>
      <w:r w:rsidR="009D2958">
        <w:t>to focus</w:t>
      </w:r>
      <w:r>
        <w:t xml:space="preserve"> on offering a maximal solution to the Synoptic Problem. A wholistic skepticism of empirical methods in synoptic studies has thus arisen because it is reacting against the wholistic view that data collected through statistics and empirical analysis are able to explain entirely the nuanced nature of literary composition.</w:t>
      </w:r>
      <w:r>
        <w:rPr>
          <w:rStyle w:val="FootnoteReference"/>
        </w:rPr>
        <w:footnoteReference w:id="45"/>
      </w:r>
      <w:r>
        <w:t xml:space="preserve"> In other words, the quantitative and qualitative methods of analysis have excluded one another. There is thus a need to demonstrate how a quantitative approach to examining the Synoptic Gospels can aid the qualitive methods of traditional Biblical exegesis. </w:t>
      </w:r>
    </w:p>
    <w:p w14:paraId="197EDF14" w14:textId="708834B7" w:rsidR="003D64BF" w:rsidRDefault="00EE2415" w:rsidP="001E2012">
      <w:r>
        <w:tab/>
      </w:r>
      <w:r w:rsidRPr="00A960FD">
        <w:t xml:space="preserve">The remainder of this paper </w:t>
      </w:r>
      <w:r w:rsidR="006F2F0F" w:rsidRPr="00A960FD">
        <w:t xml:space="preserve">covers three topics </w:t>
      </w:r>
      <w:r w:rsidRPr="00A960FD">
        <w:t>that seek to illustrate the</w:t>
      </w:r>
      <w:r w:rsidR="009C482F" w:rsidRPr="00A960FD">
        <w:t xml:space="preserve"> contribution quantitative analys</w:t>
      </w:r>
      <w:r w:rsidR="000B2955" w:rsidRPr="00A960FD">
        <w:t>es</w:t>
      </w:r>
      <w:r w:rsidR="009C482F" w:rsidRPr="00A960FD">
        <w:t xml:space="preserve"> can make towards synoptic exegesis. </w:t>
      </w:r>
      <w:r w:rsidR="00632DBE" w:rsidRPr="00A960FD">
        <w:t xml:space="preserve">First, </w:t>
      </w:r>
      <w:r w:rsidR="00230A46" w:rsidRPr="00A960FD">
        <w:t xml:space="preserve">I examine the use </w:t>
      </w:r>
      <w:r w:rsidR="008349CC" w:rsidRPr="00A960FD">
        <w:t xml:space="preserve">of a particular form of empirical analysis, viz., </w:t>
      </w:r>
      <w:r w:rsidR="00230A46" w:rsidRPr="00A960FD">
        <w:t>contingency tables</w:t>
      </w:r>
      <w:r w:rsidR="008349CC" w:rsidRPr="00A960FD">
        <w:t xml:space="preserve"> </w:t>
      </w:r>
      <w:r w:rsidR="00230A46" w:rsidRPr="00A960FD">
        <w:t xml:space="preserve">as used by Abakuks, as a </w:t>
      </w:r>
      <w:r w:rsidR="006550B3" w:rsidRPr="00A960FD">
        <w:t>possible</w:t>
      </w:r>
      <w:r w:rsidR="00230A46" w:rsidRPr="00A960FD">
        <w:t xml:space="preserve"> and accessible means for exegetes </w:t>
      </w:r>
      <w:r w:rsidR="00BD4112" w:rsidRPr="00A960FD">
        <w:t xml:space="preserve">to make </w:t>
      </w:r>
      <w:r w:rsidR="00F54358" w:rsidRPr="00A960FD">
        <w:t>source critical</w:t>
      </w:r>
      <w:r w:rsidR="00972126" w:rsidRPr="00A960FD">
        <w:t xml:space="preserve"> </w:t>
      </w:r>
      <w:r w:rsidR="000C21E7" w:rsidRPr="00A960FD">
        <w:t>judgments</w:t>
      </w:r>
      <w:r w:rsidR="00972126" w:rsidRPr="00A960FD">
        <w:t xml:space="preserve"> about a pericope. </w:t>
      </w:r>
      <w:r w:rsidR="00A960FD" w:rsidRPr="00A960FD">
        <w:t>Alongside contingency tables</w:t>
      </w:r>
      <w:r w:rsidR="00325C26" w:rsidRPr="00A960FD">
        <w:t xml:space="preserve">, I </w:t>
      </w:r>
      <w:r w:rsidR="00176453" w:rsidRPr="00A960FD">
        <w:t>summarize</w:t>
      </w:r>
      <w:r w:rsidR="00760194" w:rsidRPr="00A960FD">
        <w:t xml:space="preserve"> how </w:t>
      </w:r>
      <w:r w:rsidR="000A3102" w:rsidRPr="00A960FD">
        <w:t xml:space="preserve">the quantitative features of the texts can be visualized </w:t>
      </w:r>
      <w:r w:rsidR="00A7637D" w:rsidRPr="00A960FD">
        <w:t xml:space="preserve">and catalogued </w:t>
      </w:r>
      <w:r w:rsidR="000A3102" w:rsidRPr="00A960FD">
        <w:t>through a digital medium</w:t>
      </w:r>
      <w:r w:rsidR="001C66C4" w:rsidRPr="00A960FD">
        <w:t xml:space="preserve">, which </w:t>
      </w:r>
      <w:r w:rsidR="00C8370C" w:rsidRPr="00A960FD">
        <w:t>draw</w:t>
      </w:r>
      <w:r w:rsidR="001C66C4" w:rsidRPr="00A960FD">
        <w:t>s</w:t>
      </w:r>
      <w:r w:rsidR="00C8370C" w:rsidRPr="00A960FD">
        <w:t xml:space="preserve"> attention to important features of the text</w:t>
      </w:r>
      <w:r w:rsidR="00676868" w:rsidRPr="00A960FD">
        <w:t xml:space="preserve"> for the purposes of interpretation</w:t>
      </w:r>
      <w:r w:rsidR="00C8370C" w:rsidRPr="00A960FD">
        <w:t>. Lastly,</w:t>
      </w:r>
      <w:r w:rsidR="00676868" w:rsidRPr="00A960FD">
        <w:t xml:space="preserve"> I </w:t>
      </w:r>
      <w:r w:rsidR="007B7AB1" w:rsidRPr="00A960FD">
        <w:t xml:space="preserve">proceed to interpret the pericope of the Healing of the Paralytic by using </w:t>
      </w:r>
      <w:r w:rsidR="004306FD" w:rsidRPr="00A960FD">
        <w:t>a</w:t>
      </w:r>
      <w:r w:rsidR="00083EB4" w:rsidRPr="00A960FD">
        <w:t xml:space="preserve"> contingency table </w:t>
      </w:r>
      <w:r w:rsidR="004306FD" w:rsidRPr="00A960FD">
        <w:t>generated from the</w:t>
      </w:r>
      <w:r w:rsidR="00083EB4" w:rsidRPr="00A960FD">
        <w:t xml:space="preserve"> digital visualization</w:t>
      </w:r>
      <w:r w:rsidR="00522272" w:rsidRPr="00A960FD">
        <w:t>/catalogue of the pericope</w:t>
      </w:r>
      <w:r w:rsidR="00083EB4" w:rsidRPr="00A960FD">
        <w:t xml:space="preserve"> </w:t>
      </w:r>
      <w:r w:rsidR="00FD2B79" w:rsidRPr="00A960FD">
        <w:t>as a guide to my exegesis.</w:t>
      </w:r>
      <w:r w:rsidR="00FD2B79">
        <w:t xml:space="preserve"> </w:t>
      </w:r>
    </w:p>
    <w:p w14:paraId="345B5554" w14:textId="77777777" w:rsidR="00C244BE" w:rsidRDefault="00C244BE" w:rsidP="001E2012"/>
    <w:p w14:paraId="2FB260BD" w14:textId="510F7518" w:rsidR="00560429" w:rsidRPr="00B622BB" w:rsidRDefault="00F56980" w:rsidP="001E2012">
      <w:pPr>
        <w:rPr>
          <w:b/>
          <w:bCs/>
          <w:u w:val="single"/>
        </w:rPr>
      </w:pPr>
      <w:r>
        <w:rPr>
          <w:b/>
          <w:bCs/>
          <w:u w:val="single"/>
        </w:rPr>
        <w:lastRenderedPageBreak/>
        <w:t>An Empirical Analysis</w:t>
      </w:r>
      <w:r w:rsidR="00D46ED2">
        <w:rPr>
          <w:b/>
          <w:bCs/>
          <w:u w:val="single"/>
        </w:rPr>
        <w:t xml:space="preserve"> Approach</w:t>
      </w:r>
      <w:r>
        <w:rPr>
          <w:b/>
          <w:bCs/>
          <w:u w:val="single"/>
        </w:rPr>
        <w:t>: Contingency Tables</w:t>
      </w:r>
      <w:r w:rsidR="009A2732" w:rsidRPr="001E07C0">
        <w:rPr>
          <w:rStyle w:val="FootnoteReference"/>
        </w:rPr>
        <w:footnoteReference w:id="46"/>
      </w:r>
    </w:p>
    <w:p w14:paraId="14517800" w14:textId="0D27420D" w:rsidR="007D36B6" w:rsidRDefault="00D90A83" w:rsidP="0063513C">
      <w:pPr>
        <w:ind w:firstLine="720"/>
      </w:pPr>
      <w:r>
        <w:t xml:space="preserve">In his study of the Synoptic Gospels, Abakuks </w:t>
      </w:r>
      <w:r w:rsidR="0011577D">
        <w:t>makes use of contingency tables to look for possible association</w:t>
      </w:r>
      <w:r w:rsidR="00F65E07">
        <w:t>s</w:t>
      </w:r>
      <w:r w:rsidR="0011577D">
        <w:t xml:space="preserve"> between Matthew and Luke.</w:t>
      </w:r>
      <w:r w:rsidR="004C14E0">
        <w:rPr>
          <w:rStyle w:val="FootnoteReference"/>
        </w:rPr>
        <w:footnoteReference w:id="47"/>
      </w:r>
      <w:r w:rsidR="0029201D">
        <w:t xml:space="preserve"> </w:t>
      </w:r>
      <w:r w:rsidR="00F9721C">
        <w:t xml:space="preserve">I have chosen to adopt this method of analysis </w:t>
      </w:r>
      <w:r w:rsidR="00070A80">
        <w:t xml:space="preserve">in this paper and </w:t>
      </w:r>
      <w:r w:rsidR="0029201D">
        <w:t xml:space="preserve">wish to state clearly </w:t>
      </w:r>
      <w:r w:rsidR="00E25C05">
        <w:t xml:space="preserve">here </w:t>
      </w:r>
      <w:r w:rsidR="0029201D">
        <w:t>what my intentions</w:t>
      </w:r>
      <w:r w:rsidR="00257C91">
        <w:t xml:space="preserve"> are</w:t>
      </w:r>
      <w:r w:rsidR="0029201D">
        <w:t xml:space="preserve"> </w:t>
      </w:r>
      <w:r w:rsidR="00BF30DD">
        <w:t>for doing so</w:t>
      </w:r>
      <w:r w:rsidR="0029201D">
        <w:t xml:space="preserve">. </w:t>
      </w:r>
      <w:r w:rsidR="0063513C">
        <w:t>First, a</w:t>
      </w:r>
      <w:r w:rsidR="005E12AE">
        <w:t xml:space="preserve"> contingency table is by no means </w:t>
      </w:r>
      <w:r w:rsidR="00C60ABC">
        <w:t>the</w:t>
      </w:r>
      <w:r w:rsidR="005E12AE">
        <w:t xml:space="preserve"> only or best </w:t>
      </w:r>
      <w:r w:rsidR="00C60ABC">
        <w:t xml:space="preserve">method of analysis </w:t>
      </w:r>
      <w:r w:rsidR="0063513C">
        <w:t>as regards the Synoptic Gospels</w:t>
      </w:r>
      <w:r w:rsidR="00B301B9">
        <w:t>,</w:t>
      </w:r>
      <w:r w:rsidR="0063513C">
        <w:t xml:space="preserve"> </w:t>
      </w:r>
      <w:r w:rsidR="00863607">
        <w:t>but it is perhaps the simplest metho</w:t>
      </w:r>
      <w:r w:rsidR="00A62E6F">
        <w:t xml:space="preserve">d </w:t>
      </w:r>
      <w:r w:rsidR="007D36B6">
        <w:t xml:space="preserve">that can be used by Biblical exegetes who likely do not have expertise in more advanced statistical modeling. </w:t>
      </w:r>
      <w:r w:rsidR="00B301B9">
        <w:t xml:space="preserve">The simplicity of the contingency table allows me to show how empirical analysis can aid </w:t>
      </w:r>
      <w:r w:rsidR="002C5CDF">
        <w:t>exegesis in a way that most Biblical scholars can understand without too much additional effort.</w:t>
      </w:r>
    </w:p>
    <w:p w14:paraId="485022BC" w14:textId="1983B351" w:rsidR="00F50389" w:rsidRDefault="00C85CCA" w:rsidP="00F50389">
      <w:pPr>
        <w:ind w:firstLine="720"/>
      </w:pPr>
      <w:r>
        <w:t xml:space="preserve">Second, a contingency table is not meant </w:t>
      </w:r>
      <w:r w:rsidR="009B3D97">
        <w:t xml:space="preserve">to make a definitive statement about the literary relationship of </w:t>
      </w:r>
      <w:r w:rsidR="00C77B3A">
        <w:t>one gospel author with another.</w:t>
      </w:r>
      <w:r w:rsidR="00F50389">
        <w:t xml:space="preserve"> In fact, a contingency table used in the setting of synoptic scholarship is meant to avoid the pitfall of making the statistics determinative of the texts’ relationship. Because the synoptics texts are not random samples, the data put into a contingency table from the texts cannot determine statistical significance.</w:t>
      </w:r>
      <w:r w:rsidR="00F50389">
        <w:rPr>
          <w:rStyle w:val="FootnoteReference"/>
        </w:rPr>
        <w:footnoteReference w:id="48"/>
      </w:r>
      <w:r w:rsidR="00F50389">
        <w:t xml:space="preserve"> This is to say that a contingency table can point an exegete in the direction of a possible literary connection between two texts, but it must be left to the exegete to make an argument for why such a relationship is </w:t>
      </w:r>
      <w:r w:rsidR="00F50389">
        <w:lastRenderedPageBreak/>
        <w:t xml:space="preserve">warranted. Such an approach thus allows both the quantitative and qualitative methods of analysis to work side by side. </w:t>
      </w:r>
    </w:p>
    <w:p w14:paraId="75C0DEFB" w14:textId="6952CEF4" w:rsidR="003A727C" w:rsidRDefault="003A727C" w:rsidP="008930E9">
      <w:pPr>
        <w:ind w:firstLine="720"/>
        <w:rPr>
          <w:lang w:bidi="he-IL"/>
        </w:rPr>
      </w:pPr>
      <w:r>
        <w:t xml:space="preserve">Third, a contingency table is meant to be flexible in that it can be used to test various literary relationships so long as the data is arranged accordingly. In this paper, for example, I arrange the data to look for possible associations between Matthew and Luke. Thus, my approach is working from the basis of Markan </w:t>
      </w:r>
      <w:r w:rsidRPr="002727DD">
        <w:t>priority</w:t>
      </w:r>
      <w:r>
        <w:t>. There is, of course, no complete agreement on the matter of Markan priority, but I find the evidence in favor of Mark being the earlier source from which Matthew and Luke gathered much of their material to be the most convincing.</w:t>
      </w:r>
      <w:r w:rsidR="000B123B">
        <w:rPr>
          <w:rStyle w:val="FootnoteReference"/>
        </w:rPr>
        <w:footnoteReference w:id="49"/>
      </w:r>
      <w:r>
        <w:t xml:space="preserve"> However, one does not have to accept Markan priority to see the value of a contingency table, it could easily be used to test for connections between other gospels texts and other source hypotheses. Additionally, in this paper I have chosen to focus on word agreements between the texts and not strings of agreement, i.e. where the texts agree in how words are arranged syntactically. </w:t>
      </w:r>
      <w:r>
        <w:rPr>
          <w:lang w:bidi="he-IL"/>
        </w:rPr>
        <w:t>I do this because looking at the morphology of words in synoptic pericopes gives a large</w:t>
      </w:r>
      <w:r w:rsidR="00C818D2">
        <w:rPr>
          <w:lang w:bidi="he-IL"/>
        </w:rPr>
        <w:t>r</w:t>
      </w:r>
      <w:r>
        <w:rPr>
          <w:lang w:bidi="he-IL"/>
        </w:rPr>
        <w:t xml:space="preserve"> data set than strings of words. However, one could still use a contingency table to examine relationships between strings of words based on the same principles as word counts.</w:t>
      </w:r>
    </w:p>
    <w:p w14:paraId="0F503868" w14:textId="1F6FD922" w:rsidR="007F0627" w:rsidRDefault="00F84EB8" w:rsidP="000E6814">
      <w:pPr>
        <w:ind w:firstLine="720"/>
      </w:pPr>
      <w:r>
        <w:rPr>
          <w:lang w:bidi="he-IL"/>
        </w:rPr>
        <w:t xml:space="preserve">With these principles in mind, what follows is a brief explanation of </w:t>
      </w:r>
      <w:r w:rsidR="006B50D8">
        <w:rPr>
          <w:lang w:bidi="he-IL"/>
        </w:rPr>
        <w:t xml:space="preserve">how </w:t>
      </w:r>
      <w:r w:rsidR="007F0627">
        <w:t>a contingency table works in this approach and how one is able to complete the table for a given pericope.</w:t>
      </w:r>
    </w:p>
    <w:p w14:paraId="20E9A94C" w14:textId="3F108813" w:rsidR="00225A3D" w:rsidRDefault="00225A3D" w:rsidP="000E6814">
      <w:pPr>
        <w:ind w:firstLine="720"/>
      </w:pPr>
    </w:p>
    <w:p w14:paraId="784114F8" w14:textId="77777777" w:rsidR="00225A3D" w:rsidRDefault="00225A3D" w:rsidP="000E6814">
      <w:pPr>
        <w:ind w:firstLine="720"/>
      </w:pPr>
    </w:p>
    <w:p w14:paraId="1390B7AA" w14:textId="166707AE" w:rsidR="007F0627" w:rsidRPr="00FF3195" w:rsidRDefault="007F0627" w:rsidP="007F0627">
      <w:pPr>
        <w:pStyle w:val="Caption"/>
        <w:keepNext/>
        <w:rPr>
          <w:b/>
          <w:bCs/>
          <w:i w:val="0"/>
          <w:iCs w:val="0"/>
          <w:color w:val="auto"/>
          <w:sz w:val="24"/>
          <w:szCs w:val="24"/>
        </w:rPr>
      </w:pPr>
      <w:r w:rsidRPr="00FF3195">
        <w:rPr>
          <w:b/>
          <w:bCs/>
          <w:i w:val="0"/>
          <w:iCs w:val="0"/>
          <w:color w:val="auto"/>
          <w:sz w:val="24"/>
          <w:szCs w:val="24"/>
        </w:rPr>
        <w:lastRenderedPageBreak/>
        <w:t xml:space="preserve">Table </w:t>
      </w:r>
      <w:r w:rsidRPr="00FF3195">
        <w:rPr>
          <w:b/>
          <w:bCs/>
          <w:i w:val="0"/>
          <w:iCs w:val="0"/>
          <w:color w:val="auto"/>
          <w:sz w:val="24"/>
          <w:szCs w:val="24"/>
        </w:rPr>
        <w:fldChar w:fldCharType="begin"/>
      </w:r>
      <w:r w:rsidRPr="00FF3195">
        <w:rPr>
          <w:b/>
          <w:bCs/>
          <w:i w:val="0"/>
          <w:iCs w:val="0"/>
          <w:color w:val="auto"/>
          <w:sz w:val="24"/>
          <w:szCs w:val="24"/>
        </w:rPr>
        <w:instrText xml:space="preserve"> SEQ Table \* ARABIC </w:instrText>
      </w:r>
      <w:r w:rsidRPr="00FF3195">
        <w:rPr>
          <w:b/>
          <w:bCs/>
          <w:i w:val="0"/>
          <w:iCs w:val="0"/>
          <w:color w:val="auto"/>
          <w:sz w:val="24"/>
          <w:szCs w:val="24"/>
        </w:rPr>
        <w:fldChar w:fldCharType="separate"/>
      </w:r>
      <w:r w:rsidR="00122B32">
        <w:rPr>
          <w:b/>
          <w:bCs/>
          <w:i w:val="0"/>
          <w:iCs w:val="0"/>
          <w:noProof/>
          <w:color w:val="auto"/>
          <w:sz w:val="24"/>
          <w:szCs w:val="24"/>
        </w:rPr>
        <w:t>1</w:t>
      </w:r>
      <w:r w:rsidRPr="00FF3195">
        <w:rPr>
          <w:b/>
          <w:bCs/>
          <w:i w:val="0"/>
          <w:iCs w:val="0"/>
          <w:color w:val="auto"/>
          <w:sz w:val="24"/>
          <w:szCs w:val="24"/>
        </w:rPr>
        <w:fldChar w:fldCharType="end"/>
      </w:r>
      <w:r w:rsidRPr="00FF3195">
        <w:rPr>
          <w:b/>
          <w:bCs/>
          <w:i w:val="0"/>
          <w:iCs w:val="0"/>
          <w:color w:val="auto"/>
          <w:sz w:val="24"/>
          <w:szCs w:val="24"/>
        </w:rPr>
        <w:t xml:space="preserve">: </w:t>
      </w:r>
      <w:r w:rsidRPr="0094311C">
        <w:rPr>
          <w:i w:val="0"/>
          <w:iCs w:val="0"/>
          <w:color w:val="auto"/>
          <w:sz w:val="24"/>
          <w:szCs w:val="24"/>
        </w:rPr>
        <w:t xml:space="preserve">Contingency </w:t>
      </w:r>
      <w:r>
        <w:rPr>
          <w:i w:val="0"/>
          <w:iCs w:val="0"/>
          <w:color w:val="auto"/>
          <w:sz w:val="24"/>
          <w:szCs w:val="24"/>
        </w:rPr>
        <w:t>for Synoptic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7F0627" w:rsidRPr="00B2222E" w14:paraId="1CF9DC22" w14:textId="77777777" w:rsidTr="009F0899">
        <w:tc>
          <w:tcPr>
            <w:tcW w:w="1870" w:type="dxa"/>
            <w:tcBorders>
              <w:top w:val="single" w:sz="4" w:space="0" w:color="auto"/>
            </w:tcBorders>
            <w:vAlign w:val="center"/>
          </w:tcPr>
          <w:p w14:paraId="31E2ABFB" w14:textId="77777777" w:rsidR="007F0627" w:rsidRPr="00B2222E" w:rsidRDefault="007F0627" w:rsidP="009F0899">
            <w:pPr>
              <w:jc w:val="center"/>
              <w:rPr>
                <w:lang w:bidi="he-IL"/>
              </w:rPr>
            </w:pPr>
          </w:p>
        </w:tc>
        <w:tc>
          <w:tcPr>
            <w:tcW w:w="1870" w:type="dxa"/>
            <w:tcBorders>
              <w:top w:val="single" w:sz="4" w:space="0" w:color="auto"/>
              <w:right w:val="single" w:sz="4" w:space="0" w:color="auto"/>
            </w:tcBorders>
            <w:vAlign w:val="center"/>
          </w:tcPr>
          <w:p w14:paraId="5FEC9100" w14:textId="77777777" w:rsidR="007F0627" w:rsidRPr="00B2222E" w:rsidRDefault="007F0627" w:rsidP="009F0899">
            <w:pPr>
              <w:jc w:val="center"/>
              <w:rPr>
                <w:lang w:bidi="he-IL"/>
              </w:rPr>
            </w:pPr>
          </w:p>
        </w:tc>
        <w:tc>
          <w:tcPr>
            <w:tcW w:w="3740" w:type="dxa"/>
            <w:gridSpan w:val="2"/>
            <w:tcBorders>
              <w:top w:val="single" w:sz="4" w:space="0" w:color="auto"/>
              <w:left w:val="single" w:sz="4" w:space="0" w:color="auto"/>
              <w:right w:val="single" w:sz="4" w:space="0" w:color="auto"/>
            </w:tcBorders>
            <w:vAlign w:val="center"/>
          </w:tcPr>
          <w:p w14:paraId="11839E85" w14:textId="77777777" w:rsidR="007F0627" w:rsidRPr="00B2222E" w:rsidRDefault="007F0627" w:rsidP="009F0899">
            <w:pPr>
              <w:jc w:val="center"/>
              <w:rPr>
                <w:lang w:bidi="he-IL"/>
              </w:rPr>
            </w:pPr>
            <w:r>
              <w:rPr>
                <w:lang w:bidi="he-IL"/>
              </w:rPr>
              <w:t>Gospel Y</w:t>
            </w:r>
          </w:p>
        </w:tc>
        <w:tc>
          <w:tcPr>
            <w:tcW w:w="1870" w:type="dxa"/>
            <w:tcBorders>
              <w:top w:val="single" w:sz="4" w:space="0" w:color="auto"/>
              <w:left w:val="single" w:sz="4" w:space="0" w:color="auto"/>
            </w:tcBorders>
            <w:vAlign w:val="center"/>
          </w:tcPr>
          <w:p w14:paraId="01650EEA" w14:textId="77777777" w:rsidR="007F0627" w:rsidRPr="00B2222E" w:rsidRDefault="007F0627" w:rsidP="009F0899">
            <w:pPr>
              <w:jc w:val="center"/>
              <w:rPr>
                <w:lang w:bidi="he-IL"/>
              </w:rPr>
            </w:pPr>
          </w:p>
        </w:tc>
      </w:tr>
      <w:tr w:rsidR="007F0627" w:rsidRPr="00B2222E" w14:paraId="7F96C0C6" w14:textId="77777777" w:rsidTr="009F0899">
        <w:tc>
          <w:tcPr>
            <w:tcW w:w="1870" w:type="dxa"/>
            <w:tcBorders>
              <w:bottom w:val="single" w:sz="4" w:space="0" w:color="auto"/>
            </w:tcBorders>
            <w:vAlign w:val="center"/>
          </w:tcPr>
          <w:p w14:paraId="387ED5E0" w14:textId="77777777" w:rsidR="007F0627" w:rsidRPr="00B2222E" w:rsidRDefault="007F0627" w:rsidP="009F0899">
            <w:pPr>
              <w:jc w:val="center"/>
              <w:rPr>
                <w:lang w:bidi="he-IL"/>
              </w:rPr>
            </w:pPr>
          </w:p>
        </w:tc>
        <w:tc>
          <w:tcPr>
            <w:tcW w:w="1870" w:type="dxa"/>
            <w:tcBorders>
              <w:bottom w:val="single" w:sz="4" w:space="0" w:color="auto"/>
              <w:right w:val="single" w:sz="4" w:space="0" w:color="auto"/>
            </w:tcBorders>
            <w:vAlign w:val="center"/>
          </w:tcPr>
          <w:p w14:paraId="74DFC954" w14:textId="77777777" w:rsidR="007F0627" w:rsidRPr="00B2222E" w:rsidRDefault="007F0627" w:rsidP="009F0899">
            <w:pPr>
              <w:jc w:val="center"/>
              <w:rPr>
                <w:lang w:bidi="he-IL"/>
              </w:rPr>
            </w:pPr>
          </w:p>
        </w:tc>
        <w:tc>
          <w:tcPr>
            <w:tcW w:w="1870" w:type="dxa"/>
            <w:tcBorders>
              <w:left w:val="single" w:sz="4" w:space="0" w:color="auto"/>
              <w:bottom w:val="single" w:sz="4" w:space="0" w:color="auto"/>
            </w:tcBorders>
            <w:vAlign w:val="center"/>
          </w:tcPr>
          <w:p w14:paraId="483B80AB" w14:textId="77777777" w:rsidR="007F0627" w:rsidRPr="00B2222E" w:rsidRDefault="007F0627" w:rsidP="009F0899">
            <w:pPr>
              <w:jc w:val="center"/>
              <w:rPr>
                <w:lang w:bidi="he-IL"/>
              </w:rPr>
            </w:pPr>
            <w:r w:rsidRPr="00B2222E">
              <w:rPr>
                <w:lang w:bidi="he-IL"/>
              </w:rPr>
              <w:t>0</w:t>
            </w:r>
            <w:r>
              <w:rPr>
                <w:lang w:bidi="he-IL"/>
              </w:rPr>
              <w:t xml:space="preserve"> (omit)</w:t>
            </w:r>
          </w:p>
        </w:tc>
        <w:tc>
          <w:tcPr>
            <w:tcW w:w="1870" w:type="dxa"/>
            <w:tcBorders>
              <w:bottom w:val="single" w:sz="4" w:space="0" w:color="auto"/>
              <w:right w:val="single" w:sz="4" w:space="0" w:color="auto"/>
            </w:tcBorders>
            <w:vAlign w:val="center"/>
          </w:tcPr>
          <w:p w14:paraId="2DC4025B" w14:textId="77777777" w:rsidR="007F0627" w:rsidRPr="00B2222E" w:rsidRDefault="007F0627" w:rsidP="009F0899">
            <w:pPr>
              <w:jc w:val="center"/>
              <w:rPr>
                <w:lang w:bidi="he-IL"/>
              </w:rPr>
            </w:pPr>
            <w:r w:rsidRPr="00B2222E">
              <w:rPr>
                <w:lang w:bidi="he-IL"/>
              </w:rPr>
              <w:t>1</w:t>
            </w:r>
            <w:r>
              <w:rPr>
                <w:lang w:bidi="he-IL"/>
              </w:rPr>
              <w:t xml:space="preserve"> (include)</w:t>
            </w:r>
          </w:p>
        </w:tc>
        <w:tc>
          <w:tcPr>
            <w:tcW w:w="1870" w:type="dxa"/>
            <w:tcBorders>
              <w:left w:val="single" w:sz="4" w:space="0" w:color="auto"/>
              <w:bottom w:val="single" w:sz="4" w:space="0" w:color="auto"/>
            </w:tcBorders>
            <w:vAlign w:val="center"/>
          </w:tcPr>
          <w:p w14:paraId="539B158E" w14:textId="77777777" w:rsidR="007F0627" w:rsidRPr="00B2222E" w:rsidRDefault="007F0627" w:rsidP="009F0899">
            <w:pPr>
              <w:jc w:val="center"/>
              <w:rPr>
                <w:lang w:bidi="he-IL"/>
              </w:rPr>
            </w:pPr>
            <w:r w:rsidRPr="00B2222E">
              <w:rPr>
                <w:lang w:bidi="he-IL"/>
              </w:rPr>
              <w:t>Total</w:t>
            </w:r>
          </w:p>
        </w:tc>
      </w:tr>
      <w:tr w:rsidR="007F0627" w:rsidRPr="00B2222E" w14:paraId="0EBD1D52" w14:textId="77777777" w:rsidTr="009F0899">
        <w:tc>
          <w:tcPr>
            <w:tcW w:w="1870" w:type="dxa"/>
            <w:vMerge w:val="restart"/>
            <w:tcBorders>
              <w:top w:val="single" w:sz="4" w:space="0" w:color="auto"/>
            </w:tcBorders>
            <w:vAlign w:val="center"/>
          </w:tcPr>
          <w:p w14:paraId="556E641D" w14:textId="77777777" w:rsidR="007F0627" w:rsidRPr="00B2222E" w:rsidRDefault="007F0627" w:rsidP="009F0899">
            <w:pPr>
              <w:jc w:val="center"/>
              <w:rPr>
                <w:lang w:bidi="he-IL"/>
              </w:rPr>
            </w:pPr>
            <w:r>
              <w:rPr>
                <w:lang w:bidi="he-IL"/>
              </w:rPr>
              <w:t>Gospel X</w:t>
            </w:r>
          </w:p>
        </w:tc>
        <w:tc>
          <w:tcPr>
            <w:tcW w:w="1870" w:type="dxa"/>
            <w:tcBorders>
              <w:top w:val="single" w:sz="4" w:space="0" w:color="auto"/>
              <w:right w:val="single" w:sz="4" w:space="0" w:color="auto"/>
            </w:tcBorders>
            <w:vAlign w:val="center"/>
          </w:tcPr>
          <w:p w14:paraId="070393DD" w14:textId="77777777" w:rsidR="007F0627" w:rsidRDefault="007F0627" w:rsidP="009F0899">
            <w:pPr>
              <w:jc w:val="center"/>
              <w:rPr>
                <w:lang w:bidi="he-IL"/>
              </w:rPr>
            </w:pPr>
            <w:r w:rsidRPr="00B2222E">
              <w:rPr>
                <w:lang w:bidi="he-IL"/>
              </w:rPr>
              <w:t>0</w:t>
            </w:r>
            <w:r>
              <w:rPr>
                <w:lang w:bidi="he-IL"/>
              </w:rPr>
              <w:t xml:space="preserve"> (omit)</w:t>
            </w:r>
          </w:p>
          <w:p w14:paraId="2F4C4B45" w14:textId="77777777" w:rsidR="007F0627" w:rsidRPr="00B2222E" w:rsidRDefault="007F0627" w:rsidP="009F0899">
            <w:pPr>
              <w:jc w:val="center"/>
              <w:rPr>
                <w:lang w:bidi="he-IL"/>
              </w:rPr>
            </w:pPr>
          </w:p>
        </w:tc>
        <w:tc>
          <w:tcPr>
            <w:tcW w:w="1870" w:type="dxa"/>
            <w:tcBorders>
              <w:top w:val="single" w:sz="4" w:space="0" w:color="auto"/>
              <w:left w:val="single" w:sz="4" w:space="0" w:color="auto"/>
            </w:tcBorders>
            <w:shd w:val="clear" w:color="auto" w:fill="auto"/>
            <w:vAlign w:val="center"/>
          </w:tcPr>
          <w:p w14:paraId="1CF06292" w14:textId="77777777" w:rsidR="007F0627" w:rsidRDefault="007F0627" w:rsidP="009F0899">
            <w:pPr>
              <w:jc w:val="center"/>
              <w:rPr>
                <w:color w:val="000000"/>
              </w:rPr>
            </w:pPr>
            <w:r>
              <w:rPr>
                <w:color w:val="000000"/>
              </w:rPr>
              <w:t>Unique Z</w:t>
            </w:r>
          </w:p>
          <w:p w14:paraId="4D023FF9" w14:textId="77777777" w:rsidR="007F0627" w:rsidRDefault="007F0627" w:rsidP="009F0899">
            <w:pPr>
              <w:jc w:val="center"/>
              <w:rPr>
                <w:color w:val="000000"/>
              </w:rPr>
            </w:pPr>
            <w:r>
              <w:rPr>
                <w:color w:val="000000"/>
              </w:rPr>
              <w:t>(expected Z)</w:t>
            </w:r>
          </w:p>
          <w:p w14:paraId="6A5D117D" w14:textId="77777777" w:rsidR="007F0627" w:rsidRPr="00B2222E" w:rsidRDefault="007F0627" w:rsidP="009F0899">
            <w:pPr>
              <w:jc w:val="center"/>
              <w:rPr>
                <w:lang w:bidi="he-IL"/>
              </w:rPr>
            </w:pPr>
          </w:p>
        </w:tc>
        <w:tc>
          <w:tcPr>
            <w:tcW w:w="1870" w:type="dxa"/>
            <w:tcBorders>
              <w:top w:val="single" w:sz="4" w:space="0" w:color="auto"/>
              <w:right w:val="single" w:sz="4" w:space="0" w:color="auto"/>
            </w:tcBorders>
            <w:shd w:val="clear" w:color="auto" w:fill="auto"/>
            <w:vAlign w:val="center"/>
          </w:tcPr>
          <w:p w14:paraId="0F74E70B" w14:textId="77777777" w:rsidR="007F0627" w:rsidRDefault="007F0627" w:rsidP="009F0899">
            <w:pPr>
              <w:jc w:val="center"/>
              <w:rPr>
                <w:lang w:bidi="he-IL"/>
              </w:rPr>
            </w:pPr>
            <w:r>
              <w:rPr>
                <w:lang w:bidi="he-IL"/>
              </w:rPr>
              <w:t>B</w:t>
            </w:r>
          </w:p>
          <w:p w14:paraId="12D0436D" w14:textId="77777777" w:rsidR="007F0627" w:rsidRDefault="007F0627" w:rsidP="009F0899">
            <w:pPr>
              <w:jc w:val="center"/>
              <w:rPr>
                <w:lang w:bidi="he-IL"/>
              </w:rPr>
            </w:pPr>
            <w:r>
              <w:rPr>
                <w:lang w:bidi="he-IL"/>
              </w:rPr>
              <w:t>(expected B)</w:t>
            </w:r>
          </w:p>
          <w:p w14:paraId="5AB76970" w14:textId="77777777" w:rsidR="007F0627" w:rsidRPr="00B2222E" w:rsidRDefault="007F0627" w:rsidP="009F0899">
            <w:pPr>
              <w:jc w:val="center"/>
              <w:rPr>
                <w:lang w:bidi="he-IL"/>
              </w:rPr>
            </w:pPr>
          </w:p>
        </w:tc>
        <w:tc>
          <w:tcPr>
            <w:tcW w:w="1870" w:type="dxa"/>
            <w:tcBorders>
              <w:top w:val="single" w:sz="4" w:space="0" w:color="auto"/>
              <w:left w:val="single" w:sz="4" w:space="0" w:color="auto"/>
            </w:tcBorders>
            <w:shd w:val="clear" w:color="auto" w:fill="auto"/>
            <w:vAlign w:val="center"/>
          </w:tcPr>
          <w:p w14:paraId="4954DA69" w14:textId="77777777" w:rsidR="007F0627" w:rsidRDefault="007F0627" w:rsidP="009F0899">
            <w:pPr>
              <w:jc w:val="center"/>
              <w:rPr>
                <w:color w:val="000000"/>
              </w:rPr>
            </w:pPr>
            <w:r>
              <w:rPr>
                <w:color w:val="000000"/>
              </w:rPr>
              <w:t>Z + B</w:t>
            </w:r>
          </w:p>
          <w:p w14:paraId="574BB720" w14:textId="77777777" w:rsidR="007F0627" w:rsidRPr="00B2222E" w:rsidRDefault="007F0627" w:rsidP="009F0899">
            <w:pPr>
              <w:jc w:val="center"/>
              <w:rPr>
                <w:lang w:bidi="he-IL"/>
              </w:rPr>
            </w:pPr>
          </w:p>
        </w:tc>
      </w:tr>
      <w:tr w:rsidR="007F0627" w:rsidRPr="00B2222E" w14:paraId="06C3927F" w14:textId="77777777" w:rsidTr="009F0899">
        <w:tc>
          <w:tcPr>
            <w:tcW w:w="1870" w:type="dxa"/>
            <w:vMerge/>
            <w:tcBorders>
              <w:bottom w:val="single" w:sz="4" w:space="0" w:color="auto"/>
            </w:tcBorders>
            <w:vAlign w:val="center"/>
          </w:tcPr>
          <w:p w14:paraId="081A8C56" w14:textId="77777777" w:rsidR="007F0627" w:rsidRPr="00B2222E" w:rsidRDefault="007F0627" w:rsidP="009F0899">
            <w:pPr>
              <w:jc w:val="center"/>
              <w:rPr>
                <w:lang w:bidi="he-IL"/>
              </w:rPr>
            </w:pPr>
          </w:p>
        </w:tc>
        <w:tc>
          <w:tcPr>
            <w:tcW w:w="1870" w:type="dxa"/>
            <w:tcBorders>
              <w:bottom w:val="single" w:sz="4" w:space="0" w:color="auto"/>
              <w:right w:val="single" w:sz="4" w:space="0" w:color="auto"/>
            </w:tcBorders>
            <w:vAlign w:val="center"/>
          </w:tcPr>
          <w:p w14:paraId="7D8685E5" w14:textId="77777777" w:rsidR="007F0627" w:rsidRPr="00B2222E" w:rsidRDefault="007F0627" w:rsidP="009F0899">
            <w:pPr>
              <w:jc w:val="center"/>
              <w:rPr>
                <w:lang w:bidi="he-IL"/>
              </w:rPr>
            </w:pPr>
            <w:r w:rsidRPr="00B2222E">
              <w:rPr>
                <w:lang w:bidi="he-IL"/>
              </w:rPr>
              <w:t>1</w:t>
            </w:r>
            <w:r>
              <w:rPr>
                <w:lang w:bidi="he-IL"/>
              </w:rPr>
              <w:t xml:space="preserve"> (include)</w:t>
            </w:r>
          </w:p>
        </w:tc>
        <w:tc>
          <w:tcPr>
            <w:tcW w:w="1870" w:type="dxa"/>
            <w:tcBorders>
              <w:left w:val="single" w:sz="4" w:space="0" w:color="auto"/>
              <w:bottom w:val="single" w:sz="4" w:space="0" w:color="auto"/>
            </w:tcBorders>
            <w:shd w:val="clear" w:color="auto" w:fill="auto"/>
            <w:vAlign w:val="center"/>
          </w:tcPr>
          <w:p w14:paraId="2CCBAD69" w14:textId="77777777" w:rsidR="007F0627" w:rsidRDefault="007F0627" w:rsidP="009F0899">
            <w:pPr>
              <w:jc w:val="center"/>
              <w:rPr>
                <w:color w:val="000000"/>
              </w:rPr>
            </w:pPr>
            <w:r>
              <w:rPr>
                <w:color w:val="000000"/>
              </w:rPr>
              <w:t>A</w:t>
            </w:r>
          </w:p>
          <w:p w14:paraId="1CC85B81" w14:textId="77777777" w:rsidR="007F0627" w:rsidRPr="00B2222E" w:rsidRDefault="007F0627" w:rsidP="009F0899">
            <w:pPr>
              <w:jc w:val="center"/>
              <w:rPr>
                <w:lang w:bidi="he-IL"/>
              </w:rPr>
            </w:pPr>
            <w:r>
              <w:rPr>
                <w:color w:val="000000"/>
                <w:lang w:bidi="he-IL"/>
              </w:rPr>
              <w:t>(expected A)</w:t>
            </w:r>
          </w:p>
        </w:tc>
        <w:tc>
          <w:tcPr>
            <w:tcW w:w="1870" w:type="dxa"/>
            <w:tcBorders>
              <w:bottom w:val="single" w:sz="4" w:space="0" w:color="auto"/>
              <w:right w:val="single" w:sz="4" w:space="0" w:color="auto"/>
            </w:tcBorders>
            <w:shd w:val="clear" w:color="auto" w:fill="auto"/>
            <w:vAlign w:val="center"/>
          </w:tcPr>
          <w:p w14:paraId="4D6B2CD8" w14:textId="77777777" w:rsidR="007F0627" w:rsidRDefault="007F0627" w:rsidP="009F0899">
            <w:pPr>
              <w:jc w:val="center"/>
              <w:rPr>
                <w:lang w:bidi="he-IL"/>
              </w:rPr>
            </w:pPr>
            <w:r>
              <w:rPr>
                <w:lang w:bidi="he-IL"/>
              </w:rPr>
              <w:t>T</w:t>
            </w:r>
          </w:p>
          <w:p w14:paraId="23A4312A" w14:textId="77777777" w:rsidR="007F0627" w:rsidRPr="00B2222E" w:rsidRDefault="007F0627" w:rsidP="009F0899">
            <w:pPr>
              <w:jc w:val="center"/>
              <w:rPr>
                <w:lang w:bidi="he-IL"/>
              </w:rPr>
            </w:pPr>
            <w:r>
              <w:rPr>
                <w:lang w:bidi="he-IL"/>
              </w:rPr>
              <w:t>(expected T)</w:t>
            </w:r>
          </w:p>
        </w:tc>
        <w:tc>
          <w:tcPr>
            <w:tcW w:w="1870" w:type="dxa"/>
            <w:tcBorders>
              <w:left w:val="single" w:sz="4" w:space="0" w:color="auto"/>
              <w:bottom w:val="single" w:sz="4" w:space="0" w:color="auto"/>
            </w:tcBorders>
            <w:shd w:val="clear" w:color="auto" w:fill="auto"/>
            <w:vAlign w:val="center"/>
          </w:tcPr>
          <w:p w14:paraId="6CFED1CD" w14:textId="77777777" w:rsidR="007F0627" w:rsidRPr="00B2222E" w:rsidRDefault="007F0627" w:rsidP="009F0899">
            <w:pPr>
              <w:jc w:val="center"/>
              <w:rPr>
                <w:lang w:bidi="he-IL"/>
              </w:rPr>
            </w:pPr>
            <w:r>
              <w:rPr>
                <w:color w:val="000000"/>
              </w:rPr>
              <w:t>A + T</w:t>
            </w:r>
          </w:p>
        </w:tc>
      </w:tr>
      <w:tr w:rsidR="007F0627" w:rsidRPr="00B2222E" w14:paraId="6E11E181" w14:textId="77777777" w:rsidTr="009F0899">
        <w:tc>
          <w:tcPr>
            <w:tcW w:w="1870" w:type="dxa"/>
            <w:tcBorders>
              <w:top w:val="single" w:sz="4" w:space="0" w:color="auto"/>
              <w:bottom w:val="single" w:sz="4" w:space="0" w:color="auto"/>
            </w:tcBorders>
            <w:vAlign w:val="center"/>
          </w:tcPr>
          <w:p w14:paraId="17D7D0B4" w14:textId="77777777" w:rsidR="007F0627" w:rsidRPr="00B2222E" w:rsidRDefault="007F0627" w:rsidP="009F0899">
            <w:pPr>
              <w:jc w:val="center"/>
              <w:rPr>
                <w:lang w:bidi="he-IL"/>
              </w:rPr>
            </w:pPr>
          </w:p>
        </w:tc>
        <w:tc>
          <w:tcPr>
            <w:tcW w:w="1870" w:type="dxa"/>
            <w:tcBorders>
              <w:top w:val="single" w:sz="4" w:space="0" w:color="auto"/>
              <w:bottom w:val="single" w:sz="4" w:space="0" w:color="auto"/>
              <w:right w:val="single" w:sz="4" w:space="0" w:color="auto"/>
            </w:tcBorders>
            <w:vAlign w:val="center"/>
          </w:tcPr>
          <w:p w14:paraId="4D6E5691" w14:textId="77777777" w:rsidR="007F0627" w:rsidRPr="00B2222E" w:rsidRDefault="007F0627" w:rsidP="009F0899">
            <w:pPr>
              <w:jc w:val="center"/>
              <w:rPr>
                <w:lang w:bidi="he-IL"/>
              </w:rPr>
            </w:pPr>
            <w:r w:rsidRPr="00B2222E">
              <w:rPr>
                <w:lang w:bidi="he-IL"/>
              </w:rPr>
              <w:t>Total</w:t>
            </w:r>
          </w:p>
        </w:tc>
        <w:tc>
          <w:tcPr>
            <w:tcW w:w="1870" w:type="dxa"/>
            <w:tcBorders>
              <w:top w:val="single" w:sz="4" w:space="0" w:color="auto"/>
              <w:left w:val="single" w:sz="4" w:space="0" w:color="auto"/>
              <w:bottom w:val="single" w:sz="4" w:space="0" w:color="auto"/>
            </w:tcBorders>
            <w:shd w:val="clear" w:color="auto" w:fill="auto"/>
            <w:vAlign w:val="center"/>
          </w:tcPr>
          <w:p w14:paraId="1CFBD5F7" w14:textId="77777777" w:rsidR="007F0627" w:rsidRPr="00B2222E" w:rsidRDefault="007F0627" w:rsidP="009F0899">
            <w:pPr>
              <w:jc w:val="center"/>
              <w:rPr>
                <w:lang w:bidi="he-IL"/>
              </w:rPr>
            </w:pPr>
            <w:r>
              <w:rPr>
                <w:color w:val="000000"/>
              </w:rPr>
              <w:t>Z + A</w:t>
            </w:r>
          </w:p>
        </w:tc>
        <w:tc>
          <w:tcPr>
            <w:tcW w:w="1870" w:type="dxa"/>
            <w:tcBorders>
              <w:top w:val="single" w:sz="4" w:space="0" w:color="auto"/>
              <w:bottom w:val="single" w:sz="4" w:space="0" w:color="auto"/>
              <w:right w:val="single" w:sz="4" w:space="0" w:color="auto"/>
            </w:tcBorders>
            <w:shd w:val="clear" w:color="auto" w:fill="auto"/>
            <w:vAlign w:val="center"/>
          </w:tcPr>
          <w:p w14:paraId="044C1DAE" w14:textId="77777777" w:rsidR="007F0627" w:rsidRPr="00B2222E" w:rsidRDefault="007F0627" w:rsidP="009F0899">
            <w:pPr>
              <w:jc w:val="center"/>
              <w:rPr>
                <w:lang w:bidi="he-IL"/>
              </w:rPr>
            </w:pPr>
            <w:r>
              <w:rPr>
                <w:color w:val="000000"/>
              </w:rPr>
              <w:t>B + T</w:t>
            </w:r>
          </w:p>
        </w:tc>
        <w:tc>
          <w:tcPr>
            <w:tcW w:w="1870" w:type="dxa"/>
            <w:tcBorders>
              <w:top w:val="single" w:sz="4" w:space="0" w:color="auto"/>
              <w:left w:val="single" w:sz="4" w:space="0" w:color="auto"/>
              <w:bottom w:val="single" w:sz="4" w:space="0" w:color="auto"/>
            </w:tcBorders>
            <w:shd w:val="clear" w:color="auto" w:fill="auto"/>
            <w:vAlign w:val="center"/>
          </w:tcPr>
          <w:p w14:paraId="771B517B" w14:textId="77777777" w:rsidR="007F0627" w:rsidRPr="00B2222E" w:rsidRDefault="007F0627" w:rsidP="009F0899">
            <w:pPr>
              <w:jc w:val="center"/>
              <w:rPr>
                <w:lang w:bidi="he-IL"/>
              </w:rPr>
            </w:pPr>
            <w:r>
              <w:rPr>
                <w:color w:val="000000"/>
              </w:rPr>
              <w:t>Total Words Gospel Z</w:t>
            </w:r>
          </w:p>
        </w:tc>
      </w:tr>
    </w:tbl>
    <w:p w14:paraId="3F04FB96" w14:textId="77777777" w:rsidR="007F0627" w:rsidRDefault="007F0627" w:rsidP="007F0627">
      <w:pPr>
        <w:ind w:firstLine="720"/>
      </w:pPr>
    </w:p>
    <w:p w14:paraId="3D348EB9" w14:textId="1C69F99D" w:rsidR="007F0627" w:rsidRDefault="007F0627" w:rsidP="007F0627">
      <w:r>
        <w:t xml:space="preserve">The table is arranged to test whether Gospels X and Y have a possible association with one another based on their redaction of Gospel Z. The center cell is filled in with the observed data from each gospel. The count of words unique to Gospel Z is placed in the top left corner because both Gospel X and Gospel Y omit these words from their texts. The count of words included in Gospel X and Gospel Z but omitted from Gospel Y is placed in the bottom left corner, labeled A. The count of words included in Gospel Y and Gospel Z but omitted from Gospel X is placed in the top right corner, labeled B. The count of words which appear in all three gospels is placed in the bottom right corner, labeled T. The sums of the observed data are placed in the Total row and column of the table. Finally, the total word count of Gospel Z is placed in the outside bottom right corner; this total will be the same as the sum of the Total row or Total column. </w:t>
      </w:r>
    </w:p>
    <w:p w14:paraId="245411E5" w14:textId="18D08938" w:rsidR="007F0627" w:rsidRDefault="007F0627" w:rsidP="007F0627">
      <w:r>
        <w:tab/>
        <w:t>Once the observed data has been placed in the table, the expected value of word counts can be calculated and placed in the parentheses of the table. To calculate the expected frequency, you multiply the sums of the totals rows for a given contingency, i.e. for words that are omitted or included, and divide that product by the total number of words in Gospel Z.</w:t>
      </w:r>
      <w:r w:rsidR="00747026">
        <w:rPr>
          <w:rStyle w:val="FootnoteReference"/>
        </w:rPr>
        <w:footnoteReference w:id="50"/>
      </w:r>
      <w:r>
        <w:t xml:space="preserve"> For example, the expected frequency of words found in all three gospels (T) is calculated:</w:t>
      </w:r>
    </w:p>
    <w:p w14:paraId="483F4AFE" w14:textId="77777777" w:rsidR="007F0627" w:rsidRPr="00316AF3" w:rsidRDefault="002D0D28" w:rsidP="007F0627">
      <w:pPr>
        <w:jc w:val="center"/>
      </w:pPr>
      <m:oMathPara>
        <m:oMath>
          <m:f>
            <m:fPr>
              <m:ctrlPr>
                <w:rPr>
                  <w:rFonts w:ascii="Cambria Math" w:hAnsi="Cambria Math"/>
                  <w:i/>
                </w:rPr>
              </m:ctrlPr>
            </m:fPr>
            <m:num>
              <m:d>
                <m:dPr>
                  <m:ctrlPr>
                    <w:rPr>
                      <w:rFonts w:ascii="Cambria Math" w:hAnsi="Cambria Math"/>
                      <w:i/>
                    </w:rPr>
                  </m:ctrlPr>
                </m:dPr>
                <m:e>
                  <m:r>
                    <w:rPr>
                      <w:rFonts w:ascii="Cambria Math" w:hAnsi="Cambria Math"/>
                    </w:rPr>
                    <m:t>B+T</m:t>
                  </m:r>
                </m:e>
              </m:d>
              <m:r>
                <w:rPr>
                  <w:rFonts w:ascii="Cambria Math" w:hAnsi="Cambria Math"/>
                </w:rPr>
                <m:t>∙(A+T)</m:t>
              </m:r>
            </m:num>
            <m:den>
              <m:r>
                <w:rPr>
                  <w:rFonts w:ascii="Cambria Math" w:hAnsi="Cambria Math"/>
                </w:rPr>
                <m:t>Total Z</m:t>
              </m:r>
            </m:den>
          </m:f>
          <m:r>
            <w:rPr>
              <w:rFonts w:ascii="Cambria Math" w:hAnsi="Cambria Math"/>
            </w:rPr>
            <m:t>=Expected T</m:t>
          </m:r>
        </m:oMath>
      </m:oMathPara>
    </w:p>
    <w:p w14:paraId="3F2CD315" w14:textId="55EB6A66" w:rsidR="007F0627" w:rsidRDefault="007F0627" w:rsidP="007F0627">
      <w:r>
        <w:t xml:space="preserve">To see whether there is a possible association between Gospel X and Gospel Y you compare the diagonals of the table. The first diagonal compares the upper left corner of the middle cell with </w:t>
      </w:r>
      <w:r w:rsidR="004823D5">
        <w:t>t</w:t>
      </w:r>
      <w:r>
        <w:t xml:space="preserve">he lower right corner of the middle cell: Unique Z </w:t>
      </w:r>
      <w:r w:rsidR="00063344">
        <w:t>with</w:t>
      </w:r>
      <w:r>
        <w:t xml:space="preserve"> T. The off diagonal compares the lower left corner of the middle cell with the upper right corner of the middle cell: A </w:t>
      </w:r>
      <w:r w:rsidR="00063344">
        <w:t>with</w:t>
      </w:r>
      <w:r>
        <w:t xml:space="preserve"> B. If the observed frequencies of the first diagonal are larger than the expected frequencies </w:t>
      </w:r>
      <w:r w:rsidRPr="002668F4">
        <w:rPr>
          <w:i/>
          <w:iCs/>
        </w:rPr>
        <w:t>and</w:t>
      </w:r>
      <w:r>
        <w:t xml:space="preserve"> the observed frequencies of the off diagonal are smaller than the expected frequencies, then the</w:t>
      </w:r>
      <w:r w:rsidR="006E750F">
        <w:t>re</w:t>
      </w:r>
      <w:r>
        <w:t xml:space="preserve"> is a positive association between Gospels X and Y. </w:t>
      </w:r>
      <w:r w:rsidR="00D64292">
        <w:t>To put the matter in source critical language</w:t>
      </w:r>
      <w:r w:rsidR="00450284">
        <w:t xml:space="preserve">, a positive association means that Gospels X and Y likely knew one </w:t>
      </w:r>
      <w:r w:rsidR="00061486">
        <w:t>another in their composition.</w:t>
      </w:r>
    </w:p>
    <w:p w14:paraId="435DA8F1" w14:textId="734552C6" w:rsidR="00E8482E" w:rsidRDefault="00E8482E" w:rsidP="007F0627">
      <w:r>
        <w:tab/>
      </w:r>
      <w:r w:rsidR="00251BF0">
        <w:t xml:space="preserve">Here </w:t>
      </w:r>
      <w:r w:rsidR="00FF1EDD">
        <w:t>I</w:t>
      </w:r>
      <w:r w:rsidR="00251BF0">
        <w:t xml:space="preserve"> give a brief summary of </w:t>
      </w:r>
      <w:r w:rsidR="00521C56">
        <w:t>three</w:t>
      </w:r>
      <w:r w:rsidR="00251BF0">
        <w:t xml:space="preserve"> contingency tables outlining a variety of synoptic perico</w:t>
      </w:r>
      <w:r w:rsidR="00FF1EDD">
        <w:t>pae.</w:t>
      </w:r>
      <w:r w:rsidR="00647F6D">
        <w:t xml:space="preserve"> My intention here is not to make an exhaustive survey of the Synoptic Gospels, but </w:t>
      </w:r>
      <w:r w:rsidR="00252413">
        <w:t>to demonstrate the various features and questions a contingency table can uncover fo</w:t>
      </w:r>
      <w:r w:rsidR="0056218C">
        <w:t xml:space="preserve">r studying the texts. </w:t>
      </w:r>
      <w:r w:rsidR="000C7B19">
        <w:t>E</w:t>
      </w:r>
      <w:r w:rsidR="00D961CE">
        <w:t xml:space="preserve">ach table contains my own counts for verbal agreements among the texts. </w:t>
      </w:r>
      <w:r w:rsidR="00B03E9E">
        <w:t>Inevitably, these counts will vary depending on how one defines an agreement</w:t>
      </w:r>
      <w:r w:rsidR="00B719C8">
        <w:t>. This, however, is quite useful when examining the texts</w:t>
      </w:r>
      <w:r w:rsidR="007E5B4E">
        <w:t xml:space="preserve"> as it allows scholars </w:t>
      </w:r>
      <w:r w:rsidR="00546E19">
        <w:t xml:space="preserve">to make comparisons of the texts based on different levels of stringency. </w:t>
      </w:r>
    </w:p>
    <w:p w14:paraId="7B6CD7CC" w14:textId="7651E92A" w:rsidR="00BB5A72" w:rsidRPr="002C4CB1" w:rsidRDefault="00BB5A72" w:rsidP="00BB5A72">
      <w:r w:rsidRPr="00BB5A72">
        <w:rPr>
          <w:i/>
          <w:iCs/>
        </w:rPr>
        <w:t>The Beelzebul Controversy (Mt 12:22–30; Mk 3:22–27; Lk 11:14–23)</w:t>
      </w:r>
      <w:r w:rsidR="002C4CB1" w:rsidRPr="00FF1B5E">
        <w:rPr>
          <w:rStyle w:val="FootnoteReference"/>
        </w:rPr>
        <w:footnoteReference w:id="51"/>
      </w:r>
    </w:p>
    <w:p w14:paraId="1AADDB9C" w14:textId="02D373BD" w:rsidR="00BB5A72" w:rsidRDefault="00BB5A72" w:rsidP="00BB5A72">
      <w:r>
        <w:tab/>
        <w:t>The Beelzebu</w:t>
      </w:r>
      <w:r w:rsidR="00FB7109">
        <w:t>l</w:t>
      </w:r>
      <w:r>
        <w:t xml:space="preserve"> </w:t>
      </w:r>
      <w:r w:rsidR="002876B8">
        <w:t>C</w:t>
      </w:r>
      <w:r>
        <w:t>ontroversy appears in all three synoptic gospels, as well as the document Q. The telling of this episode differs drastically among all three synoptics. However, there are three main features of the pericope that all three gospel writers maintain. The first is an accusation brought against Jesus that he casts out demons by the ruler of demons, Beelzebul (</w:t>
      </w:r>
      <w:r>
        <w:rPr>
          <w:lang w:val="el-GR" w:bidi="he-IL"/>
        </w:rPr>
        <w:t>ε</w:t>
      </w:r>
      <w:r>
        <w:rPr>
          <w:lang w:bidi="he-IL"/>
        </w:rPr>
        <w:t>̓</w:t>
      </w:r>
      <w:r>
        <w:rPr>
          <w:lang w:val="el-GR" w:bidi="he-IL"/>
        </w:rPr>
        <w:t>ν</w:t>
      </w:r>
      <w:r w:rsidRPr="00BB5A72">
        <w:rPr>
          <w:lang w:bidi="he-IL"/>
        </w:rPr>
        <w:t xml:space="preserve"> </w:t>
      </w:r>
      <w:r>
        <w:rPr>
          <w:lang w:val="el-GR" w:bidi="he-IL"/>
        </w:rPr>
        <w:t>Βεελζεβου</w:t>
      </w:r>
      <w:r>
        <w:rPr>
          <w:lang w:bidi="he-IL"/>
        </w:rPr>
        <w:t>̀</w:t>
      </w:r>
      <w:r>
        <w:rPr>
          <w:lang w:val="el-GR" w:bidi="he-IL"/>
        </w:rPr>
        <w:t>λ</w:t>
      </w:r>
      <w:r w:rsidRPr="00BB5A72">
        <w:rPr>
          <w:lang w:bidi="he-IL"/>
        </w:rPr>
        <w:t xml:space="preserve"> </w:t>
      </w:r>
      <w:r>
        <w:rPr>
          <w:lang w:val="el-GR" w:bidi="he-IL"/>
        </w:rPr>
        <w:t>τω</w:t>
      </w:r>
      <w:r>
        <w:rPr>
          <w:lang w:bidi="he-IL"/>
        </w:rPr>
        <w:t xml:space="preserve">͂ͅ </w:t>
      </w:r>
      <w:r>
        <w:rPr>
          <w:lang w:val="el-GR" w:bidi="he-IL"/>
        </w:rPr>
        <w:t>α</w:t>
      </w:r>
      <w:r>
        <w:rPr>
          <w:lang w:bidi="he-IL"/>
        </w:rPr>
        <w:t>̓́</w:t>
      </w:r>
      <w:r>
        <w:rPr>
          <w:lang w:val="el-GR" w:bidi="he-IL"/>
        </w:rPr>
        <w:t>ρχοντι</w:t>
      </w:r>
      <w:r w:rsidRPr="00BB5A72">
        <w:rPr>
          <w:lang w:bidi="he-IL"/>
        </w:rPr>
        <w:t xml:space="preserve"> </w:t>
      </w:r>
      <w:r>
        <w:rPr>
          <w:lang w:val="el-GR" w:bidi="he-IL"/>
        </w:rPr>
        <w:t>τω</w:t>
      </w:r>
      <w:r>
        <w:rPr>
          <w:lang w:bidi="he-IL"/>
        </w:rPr>
        <w:t>͂</w:t>
      </w:r>
      <w:r>
        <w:rPr>
          <w:lang w:val="el-GR" w:bidi="he-IL"/>
        </w:rPr>
        <w:t>ν</w:t>
      </w:r>
      <w:r w:rsidRPr="00BB5A72">
        <w:rPr>
          <w:lang w:bidi="he-IL"/>
        </w:rPr>
        <w:t xml:space="preserve"> </w:t>
      </w:r>
      <w:r>
        <w:rPr>
          <w:lang w:val="el-GR" w:bidi="he-IL"/>
        </w:rPr>
        <w:t>δαιμονι</w:t>
      </w:r>
      <w:r>
        <w:rPr>
          <w:lang w:bidi="he-IL"/>
        </w:rPr>
        <w:t>́</w:t>
      </w:r>
      <w:r>
        <w:rPr>
          <w:lang w:val="el-GR" w:bidi="he-IL"/>
        </w:rPr>
        <w:t>ων</w:t>
      </w:r>
      <w:r w:rsidRPr="00BB5A72">
        <w:rPr>
          <w:lang w:bidi="he-IL"/>
        </w:rPr>
        <w:t xml:space="preserve"> </w:t>
      </w:r>
      <w:r>
        <w:rPr>
          <w:lang w:val="el-GR" w:bidi="he-IL"/>
        </w:rPr>
        <w:t>ε</w:t>
      </w:r>
      <w:r>
        <w:rPr>
          <w:lang w:bidi="he-IL"/>
        </w:rPr>
        <w:t>̓</w:t>
      </w:r>
      <w:r>
        <w:rPr>
          <w:lang w:val="el-GR" w:bidi="he-IL"/>
        </w:rPr>
        <w:t>κβα</w:t>
      </w:r>
      <w:r>
        <w:rPr>
          <w:lang w:bidi="he-IL"/>
        </w:rPr>
        <w:t>́</w:t>
      </w:r>
      <w:r>
        <w:rPr>
          <w:lang w:val="el-GR" w:bidi="he-IL"/>
        </w:rPr>
        <w:t>λλει</w:t>
      </w:r>
      <w:r w:rsidRPr="00BB5A72">
        <w:rPr>
          <w:lang w:bidi="he-IL"/>
        </w:rPr>
        <w:t xml:space="preserve"> </w:t>
      </w:r>
      <w:r>
        <w:rPr>
          <w:lang w:val="el-GR" w:bidi="he-IL"/>
        </w:rPr>
        <w:t>τα</w:t>
      </w:r>
      <w:r>
        <w:rPr>
          <w:lang w:bidi="he-IL"/>
        </w:rPr>
        <w:t xml:space="preserve">̀ </w:t>
      </w:r>
      <w:r>
        <w:rPr>
          <w:lang w:val="el-GR" w:bidi="he-IL"/>
        </w:rPr>
        <w:t>δαιμο</w:t>
      </w:r>
      <w:r>
        <w:rPr>
          <w:lang w:bidi="he-IL"/>
        </w:rPr>
        <w:t>́</w:t>
      </w:r>
      <w:r>
        <w:rPr>
          <w:lang w:val="el-GR" w:bidi="he-IL"/>
        </w:rPr>
        <w:t>νια</w:t>
      </w:r>
      <w:r w:rsidRPr="00BB5A72">
        <w:rPr>
          <w:lang w:bidi="he-IL"/>
        </w:rPr>
        <w:t xml:space="preserve"> </w:t>
      </w:r>
      <w:r>
        <w:t>[Lk 11:15</w:t>
      </w:r>
      <w:r>
        <w:fldChar w:fldCharType="begin"/>
      </w:r>
      <w:r>
        <w:instrText xml:space="preserve"> XE "Luke:11\:15" </w:instrText>
      </w:r>
      <w:r>
        <w:fldChar w:fldCharType="end"/>
      </w:r>
      <w:r>
        <w:t>; cf. Mt 12:24</w:t>
      </w:r>
      <w:r>
        <w:fldChar w:fldCharType="begin"/>
      </w:r>
      <w:r>
        <w:instrText xml:space="preserve"> XE "Matt:12\:24" </w:instrText>
      </w:r>
      <w:r>
        <w:fldChar w:fldCharType="end"/>
      </w:r>
      <w:r>
        <w:t xml:space="preserve">; Mk </w:t>
      </w:r>
      <w:r>
        <w:lastRenderedPageBreak/>
        <w:t>3:22</w:t>
      </w:r>
      <w:r>
        <w:fldChar w:fldCharType="begin"/>
      </w:r>
      <w:r>
        <w:instrText xml:space="preserve"> XE "Mark:3\:22" </w:instrText>
      </w:r>
      <w:r>
        <w:fldChar w:fldCharType="end"/>
      </w:r>
      <w:r>
        <w:t>]).</w:t>
      </w:r>
      <w:r>
        <w:rPr>
          <w:rStyle w:val="FootnoteReference"/>
        </w:rPr>
        <w:footnoteReference w:id="52"/>
      </w:r>
      <w:r>
        <w:t xml:space="preserve"> The second is Jesus’ response, which has to do with the ability of a kingdom divided against itself to stand (Mt 12:25–26</w:t>
      </w:r>
      <w:r>
        <w:fldChar w:fldCharType="begin"/>
      </w:r>
      <w:r>
        <w:instrText xml:space="preserve"> XE "Matt:12\:25–26" </w:instrText>
      </w:r>
      <w:r>
        <w:fldChar w:fldCharType="end"/>
      </w:r>
      <w:r>
        <w:t>; Mk 3:24–26</w:t>
      </w:r>
      <w:r>
        <w:fldChar w:fldCharType="begin"/>
      </w:r>
      <w:r>
        <w:instrText xml:space="preserve"> XE "Mark:3\:24–26" </w:instrText>
      </w:r>
      <w:r>
        <w:fldChar w:fldCharType="end"/>
      </w:r>
      <w:r>
        <w:t>; Lk 11:17–18</w:t>
      </w:r>
      <w:r>
        <w:fldChar w:fldCharType="begin"/>
      </w:r>
      <w:r>
        <w:instrText xml:space="preserve"> XE "Luke:11\:17–18" </w:instrText>
      </w:r>
      <w:r>
        <w:fldChar w:fldCharType="end"/>
      </w:r>
      <w:r>
        <w:t>). The third is another statement by Jesus on the ability to plunder a strong person’s house (Mt 12:29</w:t>
      </w:r>
      <w:r>
        <w:fldChar w:fldCharType="begin"/>
      </w:r>
      <w:r>
        <w:instrText xml:space="preserve"> XE "Matt:12\:29" </w:instrText>
      </w:r>
      <w:r>
        <w:fldChar w:fldCharType="end"/>
      </w:r>
      <w:r>
        <w:t>; Mk 3:27</w:t>
      </w:r>
      <w:r>
        <w:fldChar w:fldCharType="begin"/>
      </w:r>
      <w:r>
        <w:instrText xml:space="preserve"> XE "Mark:3\:27" </w:instrText>
      </w:r>
      <w:r>
        <w:fldChar w:fldCharType="end"/>
      </w:r>
      <w:r>
        <w:t>; Lk 11:21–22</w:t>
      </w:r>
      <w:r>
        <w:fldChar w:fldCharType="begin"/>
      </w:r>
      <w:r>
        <w:instrText xml:space="preserve"> XE "Luke:11\:21–22" </w:instrText>
      </w:r>
      <w:r>
        <w:fldChar w:fldCharType="end"/>
      </w:r>
      <w:r>
        <w:t>). Yet, even these three features are not consistently represented across the texts as there is a great deal of variation in how each author presents them, both syntactically and thematically.</w:t>
      </w:r>
      <w:r w:rsidR="006C7145">
        <w:t xml:space="preserve"> For instance, the longest string of material from Mark that appears in all three gospels is only eight words long (</w:t>
      </w:r>
      <w:r w:rsidR="006C7145">
        <w:rPr>
          <w:lang w:val="el-GR"/>
        </w:rPr>
        <w:t>ε</w:t>
      </w:r>
      <w:r w:rsidR="006C7145" w:rsidRPr="00E37E6B">
        <w:t>̓</w:t>
      </w:r>
      <w:r w:rsidR="006C7145">
        <w:rPr>
          <w:lang w:val="el-GR"/>
        </w:rPr>
        <w:t>ν</w:t>
      </w:r>
      <w:r w:rsidR="006C7145" w:rsidRPr="00E37E6B">
        <w:t xml:space="preserve"> </w:t>
      </w:r>
      <w:r w:rsidR="006C7145">
        <w:rPr>
          <w:lang w:val="el-GR"/>
        </w:rPr>
        <w:t>τω</w:t>
      </w:r>
      <w:r w:rsidR="006C7145" w:rsidRPr="00E37E6B">
        <w:t xml:space="preserve">͂ͅ </w:t>
      </w:r>
      <w:r w:rsidR="006C7145">
        <w:rPr>
          <w:lang w:val="el-GR"/>
        </w:rPr>
        <w:t>α</w:t>
      </w:r>
      <w:r w:rsidR="006C7145" w:rsidRPr="00E37E6B">
        <w:t>̓́</w:t>
      </w:r>
      <w:r w:rsidR="006C7145">
        <w:rPr>
          <w:lang w:val="el-GR"/>
        </w:rPr>
        <w:t>ρχοντι</w:t>
      </w:r>
      <w:r w:rsidR="006C7145" w:rsidRPr="00E37E6B">
        <w:t xml:space="preserve"> </w:t>
      </w:r>
      <w:r w:rsidR="006C7145">
        <w:rPr>
          <w:lang w:val="el-GR"/>
        </w:rPr>
        <w:t>τω</w:t>
      </w:r>
      <w:r w:rsidR="006C7145" w:rsidRPr="00E37E6B">
        <w:t>͂</w:t>
      </w:r>
      <w:r w:rsidR="006C7145">
        <w:rPr>
          <w:lang w:val="el-GR"/>
        </w:rPr>
        <w:t>ν</w:t>
      </w:r>
      <w:r w:rsidR="006C7145" w:rsidRPr="00E37E6B">
        <w:t xml:space="preserve"> </w:t>
      </w:r>
      <w:r w:rsidR="006C7145">
        <w:rPr>
          <w:lang w:val="el-GR"/>
        </w:rPr>
        <w:t>δαιμονι</w:t>
      </w:r>
      <w:r w:rsidR="006C7145" w:rsidRPr="00E37E6B">
        <w:t>́</w:t>
      </w:r>
      <w:r w:rsidR="006C7145">
        <w:rPr>
          <w:lang w:val="el-GR"/>
        </w:rPr>
        <w:t>ων</w:t>
      </w:r>
      <w:r w:rsidR="006C7145" w:rsidRPr="00E37E6B">
        <w:t xml:space="preserve"> </w:t>
      </w:r>
      <w:r w:rsidR="006C7145">
        <w:rPr>
          <w:lang w:val="el-GR"/>
        </w:rPr>
        <w:t>ε</w:t>
      </w:r>
      <w:r w:rsidR="006C7145" w:rsidRPr="00E37E6B">
        <w:t>̓</w:t>
      </w:r>
      <w:r w:rsidR="006C7145">
        <w:rPr>
          <w:lang w:val="el-GR"/>
        </w:rPr>
        <w:t>κβα</w:t>
      </w:r>
      <w:r w:rsidR="006C7145" w:rsidRPr="0080693F">
        <w:t>́</w:t>
      </w:r>
      <w:r w:rsidR="006C7145">
        <w:rPr>
          <w:lang w:val="el-GR"/>
        </w:rPr>
        <w:t>λλει</w:t>
      </w:r>
      <w:r w:rsidR="006C7145" w:rsidRPr="0080693F">
        <w:t xml:space="preserve"> </w:t>
      </w:r>
      <w:r w:rsidR="006C7145">
        <w:rPr>
          <w:lang w:val="el-GR"/>
        </w:rPr>
        <w:t>τα</w:t>
      </w:r>
      <w:r w:rsidR="006C7145" w:rsidRPr="0080693F">
        <w:t xml:space="preserve">̀ </w:t>
      </w:r>
      <w:r w:rsidR="006C7145">
        <w:rPr>
          <w:lang w:val="el-GR"/>
        </w:rPr>
        <w:t>δαιμο</w:t>
      </w:r>
      <w:r w:rsidR="006C7145" w:rsidRPr="0080693F">
        <w:t>́</w:t>
      </w:r>
      <w:r w:rsidR="006C7145">
        <w:rPr>
          <w:lang w:val="el-GR"/>
        </w:rPr>
        <w:t>νια</w:t>
      </w:r>
      <w:r w:rsidR="00EA18F5">
        <w:t xml:space="preserve"> [Mk 3:</w:t>
      </w:r>
      <w:r w:rsidR="00596B68">
        <w:t>22]</w:t>
      </w:r>
      <w:r w:rsidR="006C7145">
        <w:rPr>
          <w:lang w:bidi="he-IL"/>
        </w:rPr>
        <w:t>)</w:t>
      </w:r>
      <w:r w:rsidR="00337BDE">
        <w:t>.</w:t>
      </w:r>
      <w:r w:rsidR="00596B68">
        <w:rPr>
          <w:rStyle w:val="FootnoteReference"/>
        </w:rPr>
        <w:footnoteReference w:id="53"/>
      </w:r>
      <w:r w:rsidR="00337BDE">
        <w:t xml:space="preserve"> E</w:t>
      </w:r>
      <w:r w:rsidR="006C7145">
        <w:t>ven then, the authors arrange this string in different ways so that the longest unbroken chain of material from the three gospels authors is only three words long (</w:t>
      </w:r>
      <w:r w:rsidR="006C7145">
        <w:rPr>
          <w:lang w:val="el-GR"/>
        </w:rPr>
        <w:t>ε</w:t>
      </w:r>
      <w:r w:rsidR="006C7145" w:rsidRPr="005171D5">
        <w:t>̓</w:t>
      </w:r>
      <w:r w:rsidR="006C7145">
        <w:rPr>
          <w:lang w:val="el-GR"/>
        </w:rPr>
        <w:t>κβα</w:t>
      </w:r>
      <w:r w:rsidR="006C7145" w:rsidRPr="005171D5">
        <w:t>́</w:t>
      </w:r>
      <w:r w:rsidR="006C7145">
        <w:rPr>
          <w:lang w:val="el-GR"/>
        </w:rPr>
        <w:t>λλει</w:t>
      </w:r>
      <w:r w:rsidR="006C7145" w:rsidRPr="005171D5">
        <w:t xml:space="preserve"> </w:t>
      </w:r>
      <w:r w:rsidR="006C7145">
        <w:rPr>
          <w:lang w:val="el-GR"/>
        </w:rPr>
        <w:t>τα</w:t>
      </w:r>
      <w:r w:rsidR="006C7145" w:rsidRPr="005171D5">
        <w:t xml:space="preserve">̀ </w:t>
      </w:r>
      <w:r w:rsidR="006C7145">
        <w:rPr>
          <w:lang w:val="el-GR"/>
        </w:rPr>
        <w:t>δαιμο</w:t>
      </w:r>
      <w:r w:rsidR="006C7145" w:rsidRPr="005171D5">
        <w:t>́</w:t>
      </w:r>
      <w:r w:rsidR="006C7145">
        <w:rPr>
          <w:lang w:val="el-GR"/>
        </w:rPr>
        <w:t>νια</w:t>
      </w:r>
      <w:r w:rsidR="006C7145">
        <w:t xml:space="preserve"> [Mk 3:22</w:t>
      </w:r>
      <w:r w:rsidR="006C7145">
        <w:fldChar w:fldCharType="begin"/>
      </w:r>
      <w:r w:rsidR="006C7145">
        <w:instrText xml:space="preserve"> XE "</w:instrText>
      </w:r>
      <w:r w:rsidR="006C7145" w:rsidRPr="001348F7">
        <w:instrText>Mark:3\:22</w:instrText>
      </w:r>
      <w:r w:rsidR="006C7145">
        <w:instrText xml:space="preserve">" </w:instrText>
      </w:r>
      <w:r w:rsidR="006C7145">
        <w:fldChar w:fldCharType="end"/>
      </w:r>
      <w:r w:rsidR="006C7145">
        <w:t>]</w:t>
      </w:r>
      <w:r w:rsidR="006C7145">
        <w:rPr>
          <w:lang w:bidi="he-IL"/>
        </w:rPr>
        <w:t>).</w:t>
      </w:r>
      <w:r w:rsidR="006C7145">
        <w:rPr>
          <w:rStyle w:val="FootnoteReference"/>
          <w:lang w:bidi="he-IL"/>
        </w:rPr>
        <w:footnoteReference w:id="54"/>
      </w:r>
    </w:p>
    <w:p w14:paraId="0DFEE0C7" w14:textId="24895FB9" w:rsidR="000F0773" w:rsidRDefault="000F0773" w:rsidP="004138B2">
      <w:pPr>
        <w:ind w:firstLine="720"/>
        <w:rPr>
          <w:lang w:bidi="he-IL"/>
        </w:rPr>
      </w:pPr>
      <w:r>
        <w:rPr>
          <w:lang w:bidi="he-IL"/>
        </w:rPr>
        <w:t xml:space="preserve">The observed frequencies of agreement and non-agreement between the synoptic gospels in this pericope, along with the expected frequencies in parentheses, are given in </w:t>
      </w:r>
      <w:r w:rsidR="005A51FF">
        <w:rPr>
          <w:lang w:bidi="he-IL"/>
        </w:rPr>
        <w:t>Table</w:t>
      </w:r>
      <w:r w:rsidR="007C5FD4">
        <w:rPr>
          <w:lang w:bidi="he-IL"/>
        </w:rPr>
        <w:t xml:space="preserve"> 2</w:t>
      </w:r>
      <w:r w:rsidR="005A51FF">
        <w:rPr>
          <w:lang w:bidi="he-IL"/>
        </w:rPr>
        <w:t xml:space="preserve"> in the appendix</w:t>
      </w:r>
      <w:r>
        <w:rPr>
          <w:lang w:bidi="he-IL"/>
        </w:rPr>
        <w:t>.</w:t>
      </w:r>
      <w:r w:rsidR="004138B2">
        <w:rPr>
          <w:lang w:bidi="he-IL"/>
        </w:rPr>
        <w:t xml:space="preserve"> </w:t>
      </w:r>
      <w:r>
        <w:rPr>
          <w:lang w:bidi="he-IL"/>
        </w:rPr>
        <w:t xml:space="preserve">The diagonals of the observed data are larger than the expected, while the off diagonals are smaller than the expected, suggesting a positive association between Matthew and Luke. </w:t>
      </w:r>
      <w:r w:rsidR="004D701E">
        <w:rPr>
          <w:lang w:bidi="he-IL"/>
        </w:rPr>
        <w:t xml:space="preserve">Because the features of the texts differ from one another syntactically so often </w:t>
      </w:r>
      <w:r w:rsidR="00BD4AD1">
        <w:rPr>
          <w:lang w:bidi="he-IL"/>
        </w:rPr>
        <w:t>it is difficult to pinpoint an area of</w:t>
      </w:r>
      <w:r w:rsidR="00496151">
        <w:rPr>
          <w:lang w:bidi="he-IL"/>
        </w:rPr>
        <w:t xml:space="preserve"> common </w:t>
      </w:r>
      <w:r w:rsidR="008F5F8B">
        <w:rPr>
          <w:lang w:bidi="he-IL"/>
        </w:rPr>
        <w:t>Matthean</w:t>
      </w:r>
      <w:r w:rsidR="00496151">
        <w:rPr>
          <w:lang w:bidi="he-IL"/>
        </w:rPr>
        <w:t xml:space="preserve"> and Lukan redaction of Mark in places </w:t>
      </w:r>
      <w:r w:rsidR="008F5F8B">
        <w:rPr>
          <w:lang w:bidi="he-IL"/>
        </w:rPr>
        <w:t>where all three Synoptic Gospels contain similar material.</w:t>
      </w:r>
      <w:r w:rsidR="006B0C86">
        <w:rPr>
          <w:rStyle w:val="FootnoteReference"/>
          <w:lang w:bidi="he-IL"/>
        </w:rPr>
        <w:footnoteReference w:id="55"/>
      </w:r>
      <w:r w:rsidR="00BD4AD1">
        <w:rPr>
          <w:lang w:bidi="he-IL"/>
        </w:rPr>
        <w:t xml:space="preserve"> </w:t>
      </w:r>
      <w:r w:rsidR="00F24664">
        <w:rPr>
          <w:lang w:bidi="he-IL"/>
        </w:rPr>
        <w:t xml:space="preserve">In places where Matthew and Luke agree against Mark, however, </w:t>
      </w:r>
      <w:r w:rsidR="00CF49DA">
        <w:rPr>
          <w:lang w:bidi="he-IL"/>
        </w:rPr>
        <w:t>the contingency table exhibits</w:t>
      </w:r>
      <w:r w:rsidR="00017D16">
        <w:rPr>
          <w:lang w:bidi="he-IL"/>
        </w:rPr>
        <w:t xml:space="preserve"> </w:t>
      </w:r>
      <w:r w:rsidR="00CF49DA">
        <w:rPr>
          <w:lang w:bidi="he-IL"/>
        </w:rPr>
        <w:t xml:space="preserve">a need </w:t>
      </w:r>
      <w:r w:rsidR="00017D16">
        <w:rPr>
          <w:lang w:bidi="he-IL"/>
        </w:rPr>
        <w:t>for further interpretation</w:t>
      </w:r>
      <w:r w:rsidR="00041B4A">
        <w:rPr>
          <w:lang w:bidi="he-IL"/>
        </w:rPr>
        <w:t xml:space="preserve">. For example, Matthew and Luke have a large section </w:t>
      </w:r>
      <w:r w:rsidR="00BB63CE">
        <w:rPr>
          <w:lang w:bidi="he-IL"/>
        </w:rPr>
        <w:t>in which Jesus discuss</w:t>
      </w:r>
      <w:r w:rsidR="005E2828">
        <w:rPr>
          <w:lang w:bidi="he-IL"/>
        </w:rPr>
        <w:t>es the presence of the Kingdom of God vis-à-vis his casting out demons</w:t>
      </w:r>
      <w:r w:rsidR="000F792D">
        <w:rPr>
          <w:lang w:bidi="he-IL"/>
        </w:rPr>
        <w:t>.</w:t>
      </w:r>
      <w:r w:rsidR="003F7F08">
        <w:rPr>
          <w:rStyle w:val="FootnoteReference"/>
          <w:lang w:bidi="he-IL"/>
        </w:rPr>
        <w:footnoteReference w:id="56"/>
      </w:r>
      <w:r w:rsidR="00E82EE5">
        <w:rPr>
          <w:lang w:bidi="he-IL"/>
        </w:rPr>
        <w:t xml:space="preserve"> </w:t>
      </w:r>
      <w:r w:rsidR="000F792D">
        <w:rPr>
          <w:lang w:bidi="he-IL"/>
        </w:rPr>
        <w:t xml:space="preserve">Given the current set up of the contingency </w:t>
      </w:r>
      <w:r w:rsidR="000F792D">
        <w:rPr>
          <w:lang w:bidi="he-IL"/>
        </w:rPr>
        <w:lastRenderedPageBreak/>
        <w:t>table, s</w:t>
      </w:r>
      <w:r w:rsidR="00E82EE5">
        <w:rPr>
          <w:lang w:bidi="he-IL"/>
        </w:rPr>
        <w:t>uch an instance may indicate Matthean and Lukan dependence</w:t>
      </w:r>
      <w:r w:rsidR="000F792D">
        <w:rPr>
          <w:lang w:bidi="he-IL"/>
        </w:rPr>
        <w:t xml:space="preserve">; </w:t>
      </w:r>
      <w:r w:rsidR="00550764">
        <w:rPr>
          <w:lang w:bidi="he-IL"/>
        </w:rPr>
        <w:t xml:space="preserve">but </w:t>
      </w:r>
      <w:r w:rsidR="000F792D">
        <w:rPr>
          <w:lang w:bidi="he-IL"/>
        </w:rPr>
        <w:t xml:space="preserve">the contingency table </w:t>
      </w:r>
      <w:r w:rsidR="00A2037C">
        <w:rPr>
          <w:lang w:bidi="he-IL"/>
        </w:rPr>
        <w:t xml:space="preserve">may also be readapted to test for another possible literary association, namely </w:t>
      </w:r>
      <w:r w:rsidR="00F11E07">
        <w:rPr>
          <w:lang w:bidi="he-IL"/>
        </w:rPr>
        <w:t>an association between Matthew, Luke, and Q.</w:t>
      </w:r>
      <w:r w:rsidR="00DD78EB">
        <w:rPr>
          <w:lang w:bidi="he-IL"/>
        </w:rPr>
        <w:t xml:space="preserve"> The Beelzebul Controversy thus illustrates how a c</w:t>
      </w:r>
      <w:r w:rsidR="00210E9D">
        <w:rPr>
          <w:lang w:bidi="he-IL"/>
        </w:rPr>
        <w:t xml:space="preserve">ontingency table </w:t>
      </w:r>
      <w:r w:rsidR="00DD78EB">
        <w:rPr>
          <w:lang w:bidi="he-IL"/>
        </w:rPr>
        <w:t>can serve</w:t>
      </w:r>
      <w:r w:rsidR="005D3565">
        <w:rPr>
          <w:lang w:bidi="he-IL"/>
        </w:rPr>
        <w:t xml:space="preserve"> as a helpful guide to interpretation because </w:t>
      </w:r>
      <w:r w:rsidR="00940F1E">
        <w:rPr>
          <w:lang w:bidi="he-IL"/>
        </w:rPr>
        <w:t xml:space="preserve">of </w:t>
      </w:r>
      <w:r w:rsidR="005D3565">
        <w:rPr>
          <w:lang w:bidi="he-IL"/>
        </w:rPr>
        <w:t xml:space="preserve">the </w:t>
      </w:r>
      <w:r w:rsidR="00AF33E3">
        <w:rPr>
          <w:lang w:bidi="he-IL"/>
        </w:rPr>
        <w:t>variation across all three synoptic</w:t>
      </w:r>
      <w:r w:rsidR="008F5F8B">
        <w:rPr>
          <w:lang w:bidi="he-IL"/>
        </w:rPr>
        <w:t xml:space="preserve"> texts</w:t>
      </w:r>
      <w:r w:rsidR="009127B1">
        <w:rPr>
          <w:lang w:bidi="he-IL"/>
        </w:rPr>
        <w:t xml:space="preserve">, and as flexible tool that can test multiple </w:t>
      </w:r>
      <w:r w:rsidR="00613F4F">
        <w:rPr>
          <w:lang w:bidi="he-IL"/>
        </w:rPr>
        <w:t>possible literary relationships</w:t>
      </w:r>
      <w:r w:rsidR="008F5F8B">
        <w:rPr>
          <w:lang w:bidi="he-IL"/>
        </w:rPr>
        <w:t>.</w:t>
      </w:r>
      <w:r w:rsidR="00AF33E3">
        <w:rPr>
          <w:lang w:bidi="he-IL"/>
        </w:rPr>
        <w:t xml:space="preserve"> </w:t>
      </w:r>
    </w:p>
    <w:p w14:paraId="7A256EEF" w14:textId="2C4C491B" w:rsidR="00F10C6E" w:rsidRPr="008D6EB0" w:rsidRDefault="00F10C6E" w:rsidP="00F10C6E">
      <w:pPr>
        <w:rPr>
          <w:lang w:bidi="he-IL"/>
        </w:rPr>
      </w:pPr>
      <w:r w:rsidRPr="00F10C6E">
        <w:rPr>
          <w:i/>
          <w:iCs/>
          <w:lang w:bidi="he-IL"/>
        </w:rPr>
        <w:t>The Rich Young Man (Mt 19: 16–30; Mk 10:17–31; Lk 18:18–30)</w:t>
      </w:r>
      <w:r w:rsidR="008D6EB0" w:rsidRPr="008B562C">
        <w:rPr>
          <w:rStyle w:val="FootnoteReference"/>
          <w:lang w:bidi="he-IL"/>
        </w:rPr>
        <w:footnoteReference w:id="57"/>
      </w:r>
    </w:p>
    <w:p w14:paraId="0D87ED54" w14:textId="6D57445B" w:rsidR="00F10C6E" w:rsidRDefault="00F10C6E" w:rsidP="003F0C72">
      <w:pPr>
        <w:rPr>
          <w:lang w:bidi="he-IL"/>
        </w:rPr>
      </w:pPr>
      <w:r>
        <w:tab/>
        <w:t xml:space="preserve">“The Rich Young </w:t>
      </w:r>
      <w:r w:rsidR="002876B8">
        <w:t>Man/</w:t>
      </w:r>
      <w:r>
        <w:t>Ruler” appears in all three synoptic accounts. This section of the synoptic texts contains two main features. First is a brief dialogue between Jesus and a certain rich young man</w:t>
      </w:r>
      <w:r w:rsidR="00AC7B50">
        <w:t xml:space="preserve"> (</w:t>
      </w:r>
      <w:r w:rsidR="001201C5">
        <w:t>Mt 19:16–21; Mk 10:</w:t>
      </w:r>
      <w:r w:rsidR="00365C94">
        <w:t>17–21; Lk 18:18–22)</w:t>
      </w:r>
      <w:r>
        <w:t xml:space="preserve">. This dialogue involves the young man asking Jesus what he must do to have eternal life. Jesus responds by saying that he should follow </w:t>
      </w:r>
      <w:r w:rsidR="003D4435">
        <w:t>the</w:t>
      </w:r>
      <w:r>
        <w:t xml:space="preserve"> commandments. The young man responds that he has kept the commandments to which Jesus </w:t>
      </w:r>
      <w:r w:rsidR="00A71B84">
        <w:t>replies</w:t>
      </w:r>
      <w:r>
        <w:t xml:space="preserve"> that he should then sell his possession and give to the poor. The young man goes away saddened because he had many possessions</w:t>
      </w:r>
      <w:r w:rsidR="008D176D">
        <w:t xml:space="preserve"> (Mt 19:22; Mk 10:22; Lk 18:23)</w:t>
      </w:r>
      <w:r>
        <w:t>. This dialogue is followed by the second feature of this section, a saying from Jesus concerning the nature of the kingdom of God/heaven and its eschatological rewards. The saying about the kingdom of God contains two parallel features: first a statement on how it is difficult for a rich person to enter the kingdom of heaven (Mt 19:23</w:t>
      </w:r>
      <w:r>
        <w:fldChar w:fldCharType="begin"/>
      </w:r>
      <w:r>
        <w:instrText xml:space="preserve"> XE "Matt:19\:23" </w:instrText>
      </w:r>
      <w:r>
        <w:fldChar w:fldCharType="end"/>
      </w:r>
      <w:r>
        <w:t>; Mk 10:23</w:t>
      </w:r>
      <w:r>
        <w:fldChar w:fldCharType="begin"/>
      </w:r>
      <w:r>
        <w:instrText xml:space="preserve"> XE "Mark:10\:23" </w:instrText>
      </w:r>
      <w:r>
        <w:fldChar w:fldCharType="end"/>
      </w:r>
      <w:r>
        <w:t>; Lk 18:24</w:t>
      </w:r>
      <w:r>
        <w:fldChar w:fldCharType="begin"/>
      </w:r>
      <w:r>
        <w:instrText xml:space="preserve"> XE "Luke:18\:24" </w:instrText>
      </w:r>
      <w:r>
        <w:fldChar w:fldCharType="end"/>
      </w:r>
      <w:r>
        <w:t>), second a comparative hyperbole on how it is easier for a camel to go through the eye of a needle than for a rich person to enter the kingdom of God (Mt 19:24</w:t>
      </w:r>
      <w:r>
        <w:fldChar w:fldCharType="begin"/>
      </w:r>
      <w:r>
        <w:instrText xml:space="preserve"> XE "Matt:19\:24" </w:instrText>
      </w:r>
      <w:r>
        <w:fldChar w:fldCharType="end"/>
      </w:r>
      <w:r>
        <w:t>; Mk 10:25</w:t>
      </w:r>
      <w:r>
        <w:fldChar w:fldCharType="begin"/>
      </w:r>
      <w:r>
        <w:instrText xml:space="preserve"> XE "Mark:10\:25" </w:instrText>
      </w:r>
      <w:r>
        <w:fldChar w:fldCharType="end"/>
      </w:r>
      <w:r>
        <w:t>; Lk 18:25</w:t>
      </w:r>
      <w:r>
        <w:fldChar w:fldCharType="begin"/>
      </w:r>
      <w:r>
        <w:instrText xml:space="preserve"> XE "Luke:18\:25" </w:instrText>
      </w:r>
      <w:r>
        <w:fldChar w:fldCharType="end"/>
      </w:r>
      <w:r>
        <w:t>). This is followed by an exchange on who is able to be saved, what it possible for God, and an interjection by Peter that those following Jesus have left everything (Mt 19:25–27</w:t>
      </w:r>
      <w:r>
        <w:fldChar w:fldCharType="begin"/>
      </w:r>
      <w:r>
        <w:instrText xml:space="preserve"> XE "Matt:19\:25–27" </w:instrText>
      </w:r>
      <w:r>
        <w:fldChar w:fldCharType="end"/>
      </w:r>
      <w:r>
        <w:t>; Mk 10:26–28</w:t>
      </w:r>
      <w:r>
        <w:fldChar w:fldCharType="begin"/>
      </w:r>
      <w:r>
        <w:instrText xml:space="preserve"> XE "Mark:10\:26–28" </w:instrText>
      </w:r>
      <w:r>
        <w:fldChar w:fldCharType="end"/>
      </w:r>
      <w:r>
        <w:t>; Lk 18:26–28</w:t>
      </w:r>
      <w:r>
        <w:fldChar w:fldCharType="begin"/>
      </w:r>
      <w:r>
        <w:instrText xml:space="preserve"> XE "Luke:18\:26–28" </w:instrText>
      </w:r>
      <w:r>
        <w:fldChar w:fldCharType="end"/>
      </w:r>
      <w:r>
        <w:t xml:space="preserve">). Finally, the </w:t>
      </w:r>
      <w:r>
        <w:lastRenderedPageBreak/>
        <w:t>section closes with a promise that those who have left their house and relatives to follow Jesus will receive back these things and more in eternal life (Mt 19:29</w:t>
      </w:r>
      <w:r>
        <w:fldChar w:fldCharType="begin"/>
      </w:r>
      <w:r>
        <w:instrText xml:space="preserve"> XE "Matt:19\:29" </w:instrText>
      </w:r>
      <w:r>
        <w:fldChar w:fldCharType="end"/>
      </w:r>
      <w:r>
        <w:t>; Mk 10:29–30</w:t>
      </w:r>
      <w:r>
        <w:fldChar w:fldCharType="begin"/>
      </w:r>
      <w:r>
        <w:instrText xml:space="preserve"> XE "Mark:10\:29–30" </w:instrText>
      </w:r>
      <w:r>
        <w:fldChar w:fldCharType="end"/>
      </w:r>
      <w:r>
        <w:t>; Lk 18:29</w:t>
      </w:r>
      <w:r>
        <w:fldChar w:fldCharType="begin"/>
      </w:r>
      <w:r>
        <w:instrText xml:space="preserve"> XE "Luke:18\:29" </w:instrText>
      </w:r>
      <w:r>
        <w:fldChar w:fldCharType="end"/>
      </w:r>
      <w:r>
        <w:t>).</w:t>
      </w:r>
    </w:p>
    <w:p w14:paraId="314CECF3" w14:textId="4752BFE5" w:rsidR="00BE691A" w:rsidRDefault="00BE691A" w:rsidP="00E51CAA">
      <w:pPr>
        <w:ind w:firstLine="720"/>
        <w:rPr>
          <w:lang w:bidi="he-IL"/>
        </w:rPr>
      </w:pPr>
      <w:r>
        <w:rPr>
          <w:lang w:bidi="he-IL"/>
        </w:rPr>
        <w:t xml:space="preserve">The observed frequencies of agreement and non-agreement between the synoptic gospels in </w:t>
      </w:r>
      <w:r w:rsidR="00617174">
        <w:rPr>
          <w:lang w:bidi="he-IL"/>
        </w:rPr>
        <w:t>this</w:t>
      </w:r>
      <w:r>
        <w:rPr>
          <w:lang w:bidi="he-IL"/>
        </w:rPr>
        <w:t xml:space="preserve"> pericope, along with the expected frequencies in parentheses, are given in </w:t>
      </w:r>
      <w:r w:rsidR="006C0D32">
        <w:rPr>
          <w:lang w:bidi="he-IL"/>
        </w:rPr>
        <w:t xml:space="preserve">Table 3 of the appendix. </w:t>
      </w:r>
      <w:r>
        <w:rPr>
          <w:lang w:bidi="he-IL"/>
        </w:rPr>
        <w:t>The diagonals for the observed data are greater than the expected, and the off diagonals are less than the expected frequencies. This indicates a possible positive association between Matthew and Luke and should thus guide our interpretation of the texts. However, because this pericope may be divided into two small subsections, I also present contingencies tables for these smaller sections.</w:t>
      </w:r>
      <w:r w:rsidR="00295ADF">
        <w:rPr>
          <w:lang w:bidi="he-IL"/>
        </w:rPr>
        <w:t xml:space="preserve"> </w:t>
      </w:r>
      <w:r>
        <w:rPr>
          <w:lang w:bidi="he-IL"/>
        </w:rPr>
        <w:t>Jesus’ interaction with the rich young man displays a positive association between Matthew and Luke, as indicated by the larger observed diagonals, and the smaller observed off diagonals</w:t>
      </w:r>
      <w:r w:rsidR="00295ADF">
        <w:rPr>
          <w:lang w:bidi="he-IL"/>
        </w:rPr>
        <w:t xml:space="preserve"> (see Table 4)</w:t>
      </w:r>
      <w:r>
        <w:rPr>
          <w:lang w:bidi="he-IL"/>
        </w:rPr>
        <w:t>.</w:t>
      </w:r>
      <w:r w:rsidR="00E51CAA">
        <w:rPr>
          <w:lang w:bidi="he-IL"/>
        </w:rPr>
        <w:t xml:space="preserve"> </w:t>
      </w:r>
      <w:r>
        <w:rPr>
          <w:lang w:bidi="he-IL"/>
        </w:rPr>
        <w:t>The contingency for Jesus’ saying about the riches and rewards of discipleship also display a positive association between Matthew and Luke</w:t>
      </w:r>
      <w:r w:rsidR="00E51CAA">
        <w:rPr>
          <w:lang w:bidi="he-IL"/>
        </w:rPr>
        <w:t xml:space="preserve"> (see Table 5)</w:t>
      </w:r>
      <w:r>
        <w:rPr>
          <w:lang w:bidi="he-IL"/>
        </w:rPr>
        <w:t xml:space="preserve">. On the whole, then, we should look for places in </w:t>
      </w:r>
      <w:r w:rsidR="00B430C7">
        <w:rPr>
          <w:lang w:bidi="he-IL"/>
        </w:rPr>
        <w:t>these</w:t>
      </w:r>
      <w:r>
        <w:rPr>
          <w:lang w:bidi="he-IL"/>
        </w:rPr>
        <w:t xml:space="preserve"> pericope</w:t>
      </w:r>
      <w:r w:rsidR="00B430C7">
        <w:rPr>
          <w:lang w:bidi="he-IL"/>
        </w:rPr>
        <w:t>s</w:t>
      </w:r>
      <w:r>
        <w:rPr>
          <w:lang w:bidi="he-IL"/>
        </w:rPr>
        <w:t xml:space="preserve"> where Matthew and Luke may be aware of one another.</w:t>
      </w:r>
      <w:r w:rsidR="001B576B">
        <w:rPr>
          <w:lang w:bidi="he-IL"/>
        </w:rPr>
        <w:t xml:space="preserve"> This pericope demonstrates another flexible feature of contingency tables</w:t>
      </w:r>
      <w:r w:rsidR="006F0441">
        <w:rPr>
          <w:lang w:bidi="he-IL"/>
        </w:rPr>
        <w:t>, viz., they can be used to look at expanded o</w:t>
      </w:r>
      <w:r w:rsidR="004C5D11">
        <w:rPr>
          <w:lang w:bidi="he-IL"/>
        </w:rPr>
        <w:t xml:space="preserve">r condensed </w:t>
      </w:r>
      <w:r w:rsidR="006F0441">
        <w:rPr>
          <w:lang w:bidi="he-IL"/>
        </w:rPr>
        <w:t>versions of the texts</w:t>
      </w:r>
      <w:r w:rsidR="000E439E">
        <w:rPr>
          <w:lang w:bidi="he-IL"/>
        </w:rPr>
        <w:t xml:space="preserve"> an</w:t>
      </w:r>
      <w:r w:rsidR="00A06E4A">
        <w:rPr>
          <w:lang w:bidi="he-IL"/>
        </w:rPr>
        <w:t>d</w:t>
      </w:r>
      <w:r w:rsidR="000E439E">
        <w:rPr>
          <w:lang w:bidi="he-IL"/>
        </w:rPr>
        <w:t xml:space="preserve"> thereby give important information for </w:t>
      </w:r>
      <w:r w:rsidR="004C5D11">
        <w:rPr>
          <w:lang w:bidi="he-IL"/>
        </w:rPr>
        <w:t>even small features of the gospel stories, not just wholistic overviews</w:t>
      </w:r>
      <w:r w:rsidR="00E769A9">
        <w:rPr>
          <w:lang w:bidi="he-IL"/>
        </w:rPr>
        <w:t xml:space="preserve"> of entire gospel relationships.</w:t>
      </w:r>
    </w:p>
    <w:p w14:paraId="7EB6B2BF" w14:textId="5CD11D3B" w:rsidR="007B3A9C" w:rsidRPr="002B0AFF" w:rsidRDefault="007B3A9C" w:rsidP="00BE691A">
      <w:pPr>
        <w:rPr>
          <w:i/>
          <w:iCs/>
          <w:lang w:bidi="he-IL"/>
        </w:rPr>
      </w:pPr>
      <w:r w:rsidRPr="002B0AFF">
        <w:rPr>
          <w:i/>
          <w:iCs/>
          <w:lang w:bidi="he-IL"/>
        </w:rPr>
        <w:t>The Sick Healed at Evening (Mt 8:16–17; Mk 1:32–34; Lk 4:40–41)</w:t>
      </w:r>
      <w:r w:rsidR="00D04980">
        <w:rPr>
          <w:rStyle w:val="FootnoteReference"/>
        </w:rPr>
        <w:footnoteReference w:id="58"/>
      </w:r>
    </w:p>
    <w:p w14:paraId="19E84E5B" w14:textId="43BA6FDD" w:rsidR="007B3A9C" w:rsidRDefault="007B3A9C" w:rsidP="00BE4C99">
      <w:pPr>
        <w:ind w:firstLine="720"/>
        <w:rPr>
          <w:lang w:bidi="he-IL"/>
        </w:rPr>
      </w:pPr>
      <w:r>
        <w:rPr>
          <w:lang w:bidi="he-IL"/>
        </w:rPr>
        <w:t>Finally,</w:t>
      </w:r>
      <w:r w:rsidR="00B26C62">
        <w:rPr>
          <w:lang w:bidi="he-IL"/>
        </w:rPr>
        <w:t xml:space="preserve"> the Sick Healed at Evening </w:t>
      </w:r>
      <w:r w:rsidR="00382DC7">
        <w:rPr>
          <w:lang w:bidi="he-IL"/>
        </w:rPr>
        <w:t>shows</w:t>
      </w:r>
      <w:r w:rsidR="00B26C62">
        <w:rPr>
          <w:lang w:bidi="he-IL"/>
        </w:rPr>
        <w:t xml:space="preserve"> </w:t>
      </w:r>
      <w:r w:rsidR="008B24B1">
        <w:rPr>
          <w:lang w:bidi="he-IL"/>
        </w:rPr>
        <w:t>how a contingency table</w:t>
      </w:r>
      <w:r w:rsidR="00A365AD">
        <w:rPr>
          <w:lang w:bidi="he-IL"/>
        </w:rPr>
        <w:t xml:space="preserve"> can </w:t>
      </w:r>
      <w:r w:rsidR="002B0AFF">
        <w:rPr>
          <w:lang w:bidi="he-IL"/>
        </w:rPr>
        <w:t>open up further discussion on a possible literary connection between Matthew and Luke.</w:t>
      </w:r>
      <w:r w:rsidR="00517D5E">
        <w:rPr>
          <w:lang w:bidi="he-IL"/>
        </w:rPr>
        <w:t xml:space="preserve"> Again, this pericope appears in all three Synoptic Gospels and come directly after the Healing of Peter’s Mother-in-Law (Mt</w:t>
      </w:r>
      <w:r w:rsidR="00C5250D">
        <w:rPr>
          <w:lang w:bidi="he-IL"/>
        </w:rPr>
        <w:t xml:space="preserve"> 8:14–15; Mk 1:29–31; Lk 4:38–39).</w:t>
      </w:r>
      <w:r w:rsidR="004D7760">
        <w:rPr>
          <w:lang w:bidi="he-IL"/>
        </w:rPr>
        <w:t xml:space="preserve"> </w:t>
      </w:r>
      <w:r w:rsidR="00B14432">
        <w:rPr>
          <w:lang w:bidi="he-IL"/>
        </w:rPr>
        <w:t xml:space="preserve">The entire scene is brief. </w:t>
      </w:r>
      <w:r w:rsidR="004D7760">
        <w:rPr>
          <w:lang w:bidi="he-IL"/>
        </w:rPr>
        <w:t xml:space="preserve">Each </w:t>
      </w:r>
      <w:r w:rsidR="00912DFC">
        <w:rPr>
          <w:lang w:bidi="he-IL"/>
        </w:rPr>
        <w:t xml:space="preserve">version of the story </w:t>
      </w:r>
      <w:r w:rsidR="00912DFC">
        <w:rPr>
          <w:lang w:bidi="he-IL"/>
        </w:rPr>
        <w:lastRenderedPageBreak/>
        <w:t xml:space="preserve">contains a statement </w:t>
      </w:r>
      <w:r w:rsidR="002A727A">
        <w:rPr>
          <w:lang w:bidi="he-IL"/>
        </w:rPr>
        <w:t>about the time of day</w:t>
      </w:r>
      <w:r w:rsidR="00B14432">
        <w:rPr>
          <w:lang w:bidi="he-IL"/>
        </w:rPr>
        <w:t xml:space="preserve">, </w:t>
      </w:r>
      <w:r w:rsidR="009D713C">
        <w:rPr>
          <w:lang w:bidi="he-IL"/>
        </w:rPr>
        <w:t xml:space="preserve">particularly </w:t>
      </w:r>
      <w:r w:rsidR="00B14432">
        <w:rPr>
          <w:lang w:bidi="he-IL"/>
        </w:rPr>
        <w:t>that is was late in the day,</w:t>
      </w:r>
      <w:r w:rsidR="00157297">
        <w:rPr>
          <w:lang w:bidi="he-IL"/>
        </w:rPr>
        <w:t xml:space="preserve"> and a description of </w:t>
      </w:r>
      <w:r w:rsidR="008E4A28">
        <w:rPr>
          <w:lang w:bidi="he-IL"/>
        </w:rPr>
        <w:t>sick and demon possess</w:t>
      </w:r>
      <w:r w:rsidR="001F5831">
        <w:rPr>
          <w:lang w:bidi="he-IL"/>
        </w:rPr>
        <w:t>ed</w:t>
      </w:r>
      <w:r w:rsidR="008E4A28">
        <w:rPr>
          <w:lang w:bidi="he-IL"/>
        </w:rPr>
        <w:t xml:space="preserve"> persons being brought to Jesus</w:t>
      </w:r>
      <w:r w:rsidR="00B14432">
        <w:rPr>
          <w:lang w:bidi="he-IL"/>
        </w:rPr>
        <w:t xml:space="preserve"> and Jesus healing them. </w:t>
      </w:r>
      <w:r w:rsidR="00A10F54">
        <w:rPr>
          <w:lang w:bidi="he-IL"/>
        </w:rPr>
        <w:t xml:space="preserve">The observed frequencies of agreement and non-agreement between the synoptic gospels in this pericope, along with the expected frequencies in parentheses, are given in </w:t>
      </w:r>
      <w:r w:rsidR="00985F59">
        <w:rPr>
          <w:lang w:bidi="he-IL"/>
        </w:rPr>
        <w:t>Table 6 of the appendix</w:t>
      </w:r>
      <w:r w:rsidR="00A10F54">
        <w:rPr>
          <w:lang w:bidi="he-IL"/>
        </w:rPr>
        <w:t>.</w:t>
      </w:r>
      <w:r w:rsidR="00BE4C99">
        <w:rPr>
          <w:lang w:bidi="he-IL"/>
        </w:rPr>
        <w:t xml:space="preserve"> </w:t>
      </w:r>
      <w:r w:rsidR="0056469D">
        <w:rPr>
          <w:lang w:bidi="he-IL"/>
        </w:rPr>
        <w:t>The diagonal</w:t>
      </w:r>
      <w:r w:rsidR="00AD39E9">
        <w:rPr>
          <w:lang w:bidi="he-IL"/>
        </w:rPr>
        <w:t>s</w:t>
      </w:r>
      <w:r w:rsidR="0056469D">
        <w:rPr>
          <w:lang w:bidi="he-IL"/>
        </w:rPr>
        <w:t xml:space="preserve"> of the observed counts are smaller than those of the expected frequencies. </w:t>
      </w:r>
      <w:r w:rsidR="00AD39E9">
        <w:rPr>
          <w:lang w:bidi="he-IL"/>
        </w:rPr>
        <w:t xml:space="preserve">Additionally, the off diagonals </w:t>
      </w:r>
      <w:r w:rsidR="00811E8E">
        <w:rPr>
          <w:lang w:bidi="he-IL"/>
        </w:rPr>
        <w:t xml:space="preserve">are larger than the expected frequencies. </w:t>
      </w:r>
      <w:r w:rsidR="00442329">
        <w:rPr>
          <w:lang w:bidi="he-IL"/>
        </w:rPr>
        <w:t>This indicates that there is not a positive association between Matthew and Luke in this pericope.</w:t>
      </w:r>
      <w:r w:rsidR="00FE5E51">
        <w:rPr>
          <w:lang w:bidi="he-IL"/>
        </w:rPr>
        <w:t xml:space="preserve"> </w:t>
      </w:r>
      <w:r w:rsidR="001B3556">
        <w:rPr>
          <w:lang w:bidi="he-IL"/>
        </w:rPr>
        <w:t>On close</w:t>
      </w:r>
      <w:r w:rsidR="00913E7C">
        <w:rPr>
          <w:lang w:bidi="he-IL"/>
        </w:rPr>
        <w:t>r</w:t>
      </w:r>
      <w:r w:rsidR="001B3556">
        <w:rPr>
          <w:lang w:bidi="he-IL"/>
        </w:rPr>
        <w:t xml:space="preserve"> inspection, we can see that </w:t>
      </w:r>
      <w:r w:rsidR="00FE5E51">
        <w:rPr>
          <w:lang w:bidi="he-IL"/>
        </w:rPr>
        <w:t xml:space="preserve">the observed and expect frequencies are </w:t>
      </w:r>
      <w:r w:rsidR="001F78C3">
        <w:rPr>
          <w:lang w:bidi="he-IL"/>
        </w:rPr>
        <w:t>near</w:t>
      </w:r>
      <w:r w:rsidR="002F7F37">
        <w:rPr>
          <w:lang w:bidi="he-IL"/>
        </w:rPr>
        <w:t>ly equal</w:t>
      </w:r>
      <w:r w:rsidR="001F78C3">
        <w:rPr>
          <w:lang w:bidi="he-IL"/>
        </w:rPr>
        <w:t xml:space="preserve"> to one another. This means that depending on how one attributes verbal agreement between the texts</w:t>
      </w:r>
      <w:r w:rsidR="00650130">
        <w:rPr>
          <w:lang w:bidi="he-IL"/>
        </w:rPr>
        <w:t xml:space="preserve"> the contingency table could point </w:t>
      </w:r>
      <w:r w:rsidR="008F2259">
        <w:rPr>
          <w:lang w:bidi="he-IL"/>
        </w:rPr>
        <w:t>in</w:t>
      </w:r>
      <w:r w:rsidR="00650130">
        <w:rPr>
          <w:lang w:bidi="he-IL"/>
        </w:rPr>
        <w:t xml:space="preserve"> either the direction of Matthean and Lukan </w:t>
      </w:r>
      <w:r w:rsidR="0078222F">
        <w:rPr>
          <w:lang w:bidi="he-IL"/>
        </w:rPr>
        <w:t>dependence or</w:t>
      </w:r>
      <w:r w:rsidR="008F2259">
        <w:rPr>
          <w:lang w:bidi="he-IL"/>
        </w:rPr>
        <w:t xml:space="preserve"> of</w:t>
      </w:r>
      <w:r w:rsidR="0078222F">
        <w:rPr>
          <w:lang w:bidi="he-IL"/>
        </w:rPr>
        <w:t xml:space="preserve"> independence. </w:t>
      </w:r>
      <w:r w:rsidR="00BD5F76">
        <w:rPr>
          <w:lang w:bidi="he-IL"/>
        </w:rPr>
        <w:t>This example thus serves to demonstrate how a contingency table cannot be taken to be determinative of the texts’ literary relationship</w:t>
      </w:r>
      <w:r w:rsidR="00460965">
        <w:rPr>
          <w:lang w:bidi="he-IL"/>
        </w:rPr>
        <w:t xml:space="preserve"> but can be used as a guide to postulate </w:t>
      </w:r>
      <w:r w:rsidR="00461E4D">
        <w:rPr>
          <w:lang w:bidi="he-IL"/>
        </w:rPr>
        <w:t xml:space="preserve">a literary hypothesis based on the quantifiable data </w:t>
      </w:r>
      <w:r w:rsidR="003C24D4">
        <w:rPr>
          <w:lang w:bidi="he-IL"/>
        </w:rPr>
        <w:t xml:space="preserve">one chooses that is </w:t>
      </w:r>
      <w:r w:rsidR="00461E4D">
        <w:rPr>
          <w:lang w:bidi="he-IL"/>
        </w:rPr>
        <w:t>available from the pericopes.</w:t>
      </w:r>
      <w:r w:rsidR="00CF1B7F">
        <w:rPr>
          <w:lang w:bidi="he-IL"/>
        </w:rPr>
        <w:t xml:space="preserve"> In other words, this pericope requires </w:t>
      </w:r>
      <w:r w:rsidR="0087079B">
        <w:rPr>
          <w:lang w:bidi="he-IL"/>
        </w:rPr>
        <w:t>close qualitative interpretation alongside any quantitative analysis.</w:t>
      </w:r>
    </w:p>
    <w:p w14:paraId="76CE95F1" w14:textId="7B5E016A" w:rsidR="000F5D32" w:rsidRPr="00BE59A4" w:rsidRDefault="000F5D32" w:rsidP="00BE691A">
      <w:pPr>
        <w:rPr>
          <w:i/>
          <w:iCs/>
          <w:lang w:bidi="he-IL"/>
        </w:rPr>
      </w:pPr>
      <w:r w:rsidRPr="00975E3A">
        <w:rPr>
          <w:i/>
          <w:iCs/>
          <w:lang w:bidi="he-IL"/>
        </w:rPr>
        <w:t xml:space="preserve">Evaluation of </w:t>
      </w:r>
      <w:r w:rsidR="00344CD2" w:rsidRPr="00975E3A">
        <w:rPr>
          <w:i/>
          <w:iCs/>
          <w:lang w:bidi="he-IL"/>
        </w:rPr>
        <w:t>Empirical Data and Contingency Tables</w:t>
      </w:r>
    </w:p>
    <w:p w14:paraId="733B338D" w14:textId="635E1C21" w:rsidR="001F1458" w:rsidRDefault="003E0344" w:rsidP="00BE691A">
      <w:pPr>
        <w:rPr>
          <w:lang w:bidi="he-IL"/>
        </w:rPr>
      </w:pPr>
      <w:r>
        <w:rPr>
          <w:lang w:bidi="he-IL"/>
        </w:rPr>
        <w:tab/>
        <w:t xml:space="preserve">The use of contingency tables is meant to demonstrate three </w:t>
      </w:r>
      <w:r w:rsidR="00BE59A4">
        <w:rPr>
          <w:lang w:bidi="he-IL"/>
        </w:rPr>
        <w:t>aspect</w:t>
      </w:r>
      <w:r w:rsidR="0012170C">
        <w:rPr>
          <w:lang w:bidi="he-IL"/>
        </w:rPr>
        <w:t>s</w:t>
      </w:r>
      <w:r w:rsidR="00BE59A4">
        <w:rPr>
          <w:lang w:bidi="he-IL"/>
        </w:rPr>
        <w:t xml:space="preserve"> about the use of quantifiable data in the study of the Synoptic Gospels. First</w:t>
      </w:r>
      <w:r w:rsidR="00256286">
        <w:rPr>
          <w:lang w:bidi="he-IL"/>
        </w:rPr>
        <w:t xml:space="preserve"> is simplicity. </w:t>
      </w:r>
      <w:r w:rsidR="00E06898">
        <w:rPr>
          <w:lang w:bidi="he-IL"/>
        </w:rPr>
        <w:t xml:space="preserve">Each of the previous contingency tables presents their respective pericopes </w:t>
      </w:r>
      <w:r w:rsidR="00182412">
        <w:rPr>
          <w:lang w:bidi="he-IL"/>
        </w:rPr>
        <w:t xml:space="preserve">in a concise and easily read diagram. </w:t>
      </w:r>
      <w:r w:rsidR="00095D08">
        <w:rPr>
          <w:lang w:bidi="he-IL"/>
        </w:rPr>
        <w:t>A cursory glance at</w:t>
      </w:r>
      <w:r w:rsidR="00182412">
        <w:rPr>
          <w:lang w:bidi="he-IL"/>
        </w:rPr>
        <w:t xml:space="preserve"> each table allows an exegete to make </w:t>
      </w:r>
      <w:r w:rsidR="00095D08">
        <w:rPr>
          <w:lang w:bidi="he-IL"/>
        </w:rPr>
        <w:t xml:space="preserve">quick interpretive judgements on the literary relations between each section of </w:t>
      </w:r>
      <w:r w:rsidR="00311519">
        <w:rPr>
          <w:lang w:bidi="he-IL"/>
        </w:rPr>
        <w:t>the texts. The contingency tables are thus a simpl</w:t>
      </w:r>
      <w:r w:rsidR="00765973">
        <w:rPr>
          <w:lang w:bidi="he-IL"/>
        </w:rPr>
        <w:t>e</w:t>
      </w:r>
      <w:r w:rsidR="00311519">
        <w:rPr>
          <w:lang w:bidi="he-IL"/>
        </w:rPr>
        <w:t xml:space="preserve"> tool that guides</w:t>
      </w:r>
      <w:r w:rsidR="00845539">
        <w:rPr>
          <w:lang w:bidi="he-IL"/>
        </w:rPr>
        <w:t xml:space="preserve"> the beginning stages of exegesis.</w:t>
      </w:r>
    </w:p>
    <w:p w14:paraId="43BBE1A3" w14:textId="5E3519C2" w:rsidR="001F1458" w:rsidRDefault="00256286" w:rsidP="00EB4BC6">
      <w:pPr>
        <w:ind w:firstLine="720"/>
        <w:rPr>
          <w:lang w:bidi="he-IL"/>
        </w:rPr>
      </w:pPr>
      <w:r>
        <w:rPr>
          <w:lang w:bidi="he-IL"/>
        </w:rPr>
        <w:lastRenderedPageBreak/>
        <w:t>Next is</w:t>
      </w:r>
      <w:r w:rsidR="00436A7E">
        <w:rPr>
          <w:lang w:bidi="he-IL"/>
        </w:rPr>
        <w:t xml:space="preserve"> scholarly interpretation. </w:t>
      </w:r>
      <w:r w:rsidR="00845539">
        <w:rPr>
          <w:lang w:bidi="he-IL"/>
        </w:rPr>
        <w:t xml:space="preserve">While the contingency tables provide some initial </w:t>
      </w:r>
      <w:r w:rsidR="00233DB2">
        <w:rPr>
          <w:lang w:bidi="he-IL"/>
        </w:rPr>
        <w:t xml:space="preserve">insights into each pericope’s literary relation among the Synoptic Gospels, </w:t>
      </w:r>
      <w:r w:rsidR="00FB53AC">
        <w:rPr>
          <w:lang w:bidi="he-IL"/>
        </w:rPr>
        <w:t xml:space="preserve">the pericopes are still subject to scholarly interpretation. </w:t>
      </w:r>
      <w:r w:rsidR="00D42B9F">
        <w:rPr>
          <w:lang w:bidi="he-IL"/>
        </w:rPr>
        <w:t>For example, the</w:t>
      </w:r>
      <w:r w:rsidR="00B10EF6">
        <w:rPr>
          <w:lang w:bidi="he-IL"/>
        </w:rPr>
        <w:t xml:space="preserve"> contingency table for the</w:t>
      </w:r>
      <w:r w:rsidR="00D42B9F">
        <w:rPr>
          <w:lang w:bidi="he-IL"/>
        </w:rPr>
        <w:t xml:space="preserve"> pericope of the Sick Healed at Evening</w:t>
      </w:r>
      <w:r w:rsidR="004E2CD9">
        <w:rPr>
          <w:lang w:bidi="he-IL"/>
        </w:rPr>
        <w:t xml:space="preserve"> exhibits neither a robust</w:t>
      </w:r>
      <w:r w:rsidR="008A240E">
        <w:rPr>
          <w:lang w:bidi="he-IL"/>
        </w:rPr>
        <w:t xml:space="preserve"> </w:t>
      </w:r>
      <w:r w:rsidR="00941230">
        <w:rPr>
          <w:lang w:bidi="he-IL"/>
        </w:rPr>
        <w:t xml:space="preserve">positive </w:t>
      </w:r>
      <w:r w:rsidR="008A240E">
        <w:rPr>
          <w:lang w:bidi="he-IL"/>
        </w:rPr>
        <w:t xml:space="preserve">association between Matthew and Luke nor a definitive indication of their literary independence. </w:t>
      </w:r>
      <w:r w:rsidR="009F2733">
        <w:rPr>
          <w:lang w:bidi="he-IL"/>
        </w:rPr>
        <w:t xml:space="preserve">In such a case the contingency table </w:t>
      </w:r>
      <w:r w:rsidR="00676DBC">
        <w:rPr>
          <w:lang w:bidi="he-IL"/>
        </w:rPr>
        <w:t xml:space="preserve">calls for </w:t>
      </w:r>
      <w:r w:rsidR="00FB09B0">
        <w:rPr>
          <w:lang w:bidi="he-IL"/>
        </w:rPr>
        <w:t xml:space="preserve">closer examination of the texts and thus </w:t>
      </w:r>
      <w:r w:rsidR="00983CAB">
        <w:rPr>
          <w:lang w:bidi="he-IL"/>
        </w:rPr>
        <w:t xml:space="preserve">does not close off avenues of interpretation based on a wholescale commitment to quantifiable data. </w:t>
      </w:r>
    </w:p>
    <w:p w14:paraId="0BA5AF2F" w14:textId="73CE66A7" w:rsidR="00663E6F" w:rsidRDefault="00436A7E" w:rsidP="00663E6F">
      <w:pPr>
        <w:ind w:firstLine="720"/>
        <w:rPr>
          <w:lang w:bidi="he-IL"/>
        </w:rPr>
      </w:pPr>
      <w:r>
        <w:rPr>
          <w:lang w:bidi="he-IL"/>
        </w:rPr>
        <w:t>Last is flexibility.</w:t>
      </w:r>
      <w:r w:rsidR="00E807FE">
        <w:rPr>
          <w:lang w:bidi="he-IL"/>
        </w:rPr>
        <w:t xml:space="preserve"> The previous contingency tables were </w:t>
      </w:r>
      <w:r w:rsidR="00791BCD">
        <w:rPr>
          <w:lang w:bidi="he-IL"/>
        </w:rPr>
        <w:t xml:space="preserve">designed to test for possible literary associations between Matthew and Luke on the basis of Markan priority. </w:t>
      </w:r>
      <w:r w:rsidR="00E8230A">
        <w:rPr>
          <w:lang w:bidi="he-IL"/>
        </w:rPr>
        <w:t xml:space="preserve">This was </w:t>
      </w:r>
      <w:r w:rsidR="009C1198">
        <w:rPr>
          <w:lang w:bidi="he-IL"/>
        </w:rPr>
        <w:t>done because of the prevalence of the Two Source Hypothesis and the Farrer Hypothesis</w:t>
      </w:r>
      <w:r w:rsidR="006C6150">
        <w:rPr>
          <w:lang w:bidi="he-IL"/>
        </w:rPr>
        <w:t xml:space="preserve">, which require such a design. </w:t>
      </w:r>
      <w:r w:rsidR="00E8230A">
        <w:rPr>
          <w:lang w:bidi="he-IL"/>
        </w:rPr>
        <w:t xml:space="preserve">However, a contingency table need not be limited to this </w:t>
      </w:r>
      <w:r w:rsidR="006C6150">
        <w:rPr>
          <w:lang w:bidi="he-IL"/>
        </w:rPr>
        <w:t xml:space="preserve">set up. </w:t>
      </w:r>
      <w:r w:rsidR="00CC01AF">
        <w:rPr>
          <w:lang w:bidi="he-IL"/>
        </w:rPr>
        <w:t xml:space="preserve">For example, </w:t>
      </w:r>
      <w:r w:rsidR="0080460D">
        <w:rPr>
          <w:lang w:bidi="he-IL"/>
        </w:rPr>
        <w:t xml:space="preserve">a contingency table could be adapted to test </w:t>
      </w:r>
      <w:r w:rsidR="00B87957">
        <w:rPr>
          <w:lang w:bidi="he-IL"/>
        </w:rPr>
        <w:t>for associations between Mark and Luke</w:t>
      </w:r>
      <w:r w:rsidR="00AA45EE">
        <w:rPr>
          <w:lang w:bidi="he-IL"/>
        </w:rPr>
        <w:t xml:space="preserve"> in order to study </w:t>
      </w:r>
      <w:r w:rsidR="00ED61B4">
        <w:rPr>
          <w:lang w:bidi="he-IL"/>
        </w:rPr>
        <w:t>their</w:t>
      </w:r>
      <w:r w:rsidR="006368BF">
        <w:rPr>
          <w:lang w:bidi="he-IL"/>
        </w:rPr>
        <w:t xml:space="preserve"> literary relationship. Likewise, the Gospel of John</w:t>
      </w:r>
      <w:r w:rsidR="006515DE">
        <w:rPr>
          <w:lang w:bidi="he-IL"/>
        </w:rPr>
        <w:t xml:space="preserve">, Gospel of Thomas, or Q could be substituted into </w:t>
      </w:r>
      <w:r w:rsidR="000B506E">
        <w:rPr>
          <w:lang w:bidi="he-IL"/>
        </w:rPr>
        <w:t>a</w:t>
      </w:r>
      <w:r w:rsidR="006515DE">
        <w:rPr>
          <w:lang w:bidi="he-IL"/>
        </w:rPr>
        <w:t xml:space="preserve"> table to test for associations between </w:t>
      </w:r>
      <w:r w:rsidR="00F34365">
        <w:rPr>
          <w:lang w:bidi="he-IL"/>
        </w:rPr>
        <w:t>the sections of these texts and other early Jesus literature.</w:t>
      </w:r>
      <w:r w:rsidR="005B7EC6">
        <w:rPr>
          <w:lang w:bidi="he-IL"/>
        </w:rPr>
        <w:t xml:space="preserve"> For example, in the Beelzebul Controversy</w:t>
      </w:r>
      <w:r w:rsidR="00AC1013">
        <w:rPr>
          <w:lang w:bidi="he-IL"/>
        </w:rPr>
        <w:t xml:space="preserve"> the contingency table could be readapted to test the association between Matthew, Luke, and Q</w:t>
      </w:r>
      <w:r w:rsidR="00114F6D">
        <w:rPr>
          <w:lang w:bidi="he-IL"/>
        </w:rPr>
        <w:t xml:space="preserve"> </w:t>
      </w:r>
      <w:r w:rsidR="0067160F">
        <w:rPr>
          <w:lang w:bidi="he-IL"/>
        </w:rPr>
        <w:t>given the large amount of Matt</w:t>
      </w:r>
      <w:r w:rsidR="005335F0">
        <w:rPr>
          <w:lang w:bidi="he-IL"/>
        </w:rPr>
        <w:t>hean and Lukan agreement against Mark.</w:t>
      </w:r>
      <w:r w:rsidR="005335F0">
        <w:rPr>
          <w:rStyle w:val="FootnoteReference"/>
          <w:lang w:bidi="he-IL"/>
        </w:rPr>
        <w:footnoteReference w:id="59"/>
      </w:r>
      <w:r w:rsidR="00F34365">
        <w:rPr>
          <w:lang w:bidi="he-IL"/>
        </w:rPr>
        <w:t xml:space="preserve"> </w:t>
      </w:r>
      <w:r w:rsidR="006F4D5E">
        <w:rPr>
          <w:lang w:bidi="he-IL"/>
        </w:rPr>
        <w:t xml:space="preserve">In short, a contingency table has a variety of uses and does not need to be </w:t>
      </w:r>
      <w:r w:rsidR="00BD7FFE">
        <w:rPr>
          <w:lang w:bidi="he-IL"/>
        </w:rPr>
        <w:t>limited</w:t>
      </w:r>
      <w:r w:rsidR="006F4D5E">
        <w:rPr>
          <w:lang w:bidi="he-IL"/>
        </w:rPr>
        <w:t xml:space="preserve"> </w:t>
      </w:r>
      <w:r w:rsidR="00BD7FFE">
        <w:rPr>
          <w:lang w:bidi="he-IL"/>
        </w:rPr>
        <w:t xml:space="preserve">in its use </w:t>
      </w:r>
      <w:r w:rsidR="006F4D5E">
        <w:rPr>
          <w:lang w:bidi="he-IL"/>
        </w:rPr>
        <w:t>to studying a wholistic relationship between the Synoptic Gospels</w:t>
      </w:r>
      <w:r w:rsidR="00BD7FFE">
        <w:rPr>
          <w:lang w:bidi="he-IL"/>
        </w:rPr>
        <w:t>, it can be adapted to study smaller sections of text</w:t>
      </w:r>
      <w:r w:rsidR="001F3C6B">
        <w:rPr>
          <w:lang w:bidi="he-IL"/>
        </w:rPr>
        <w:t xml:space="preserve"> and to examine relationships between extra-canonical sources.</w:t>
      </w:r>
    </w:p>
    <w:p w14:paraId="5044F88C" w14:textId="00FFF1A6" w:rsidR="00225A3D" w:rsidRDefault="00225A3D" w:rsidP="00663E6F">
      <w:pPr>
        <w:ind w:firstLine="720"/>
        <w:rPr>
          <w:lang w:bidi="he-IL"/>
        </w:rPr>
      </w:pPr>
    </w:p>
    <w:p w14:paraId="75E61829" w14:textId="77777777" w:rsidR="00225A3D" w:rsidRDefault="00225A3D" w:rsidP="00663E6F">
      <w:pPr>
        <w:ind w:firstLine="720"/>
        <w:rPr>
          <w:lang w:bidi="he-IL"/>
        </w:rPr>
      </w:pPr>
    </w:p>
    <w:p w14:paraId="745CEB26" w14:textId="41203533" w:rsidR="00A01DB7" w:rsidRPr="00BD1321" w:rsidRDefault="00FC594E" w:rsidP="00663E6F">
      <w:pPr>
        <w:rPr>
          <w:b/>
          <w:bCs/>
          <w:u w:val="single"/>
        </w:rPr>
      </w:pPr>
      <w:r w:rsidRPr="00BD1321">
        <w:rPr>
          <w:b/>
          <w:bCs/>
          <w:u w:val="single"/>
        </w:rPr>
        <w:lastRenderedPageBreak/>
        <w:t xml:space="preserve">An Empirical Exegesis: </w:t>
      </w:r>
      <w:r w:rsidR="00A01DB7" w:rsidRPr="00BD1321">
        <w:rPr>
          <w:b/>
          <w:bCs/>
          <w:u w:val="single"/>
        </w:rPr>
        <w:t>The Healing of the Paralytic (Mt 9:1–8; Mk 2:1–12; Lk 5: 17–26)</w:t>
      </w:r>
      <w:r w:rsidR="00E51AE2" w:rsidRPr="00BE2B0A">
        <w:rPr>
          <w:rStyle w:val="FootnoteReference"/>
        </w:rPr>
        <w:footnoteReference w:id="60"/>
      </w:r>
    </w:p>
    <w:p w14:paraId="5D4D4B3D" w14:textId="1D6DA241" w:rsidR="00ED759D" w:rsidRPr="00ED759D" w:rsidRDefault="00ED759D" w:rsidP="00A01DB7">
      <w:r>
        <w:rPr>
          <w:b/>
          <w:bCs/>
        </w:rPr>
        <w:tab/>
      </w:r>
      <w:r w:rsidRPr="00ED759D">
        <w:t xml:space="preserve">Having </w:t>
      </w:r>
      <w:r w:rsidR="00846F93">
        <w:t xml:space="preserve">argued against </w:t>
      </w:r>
      <w:r w:rsidR="0033732A">
        <w:t>t</w:t>
      </w:r>
      <w:r w:rsidR="00846F93">
        <w:t xml:space="preserve">he wholesale dismissal of quantifiable data and statistical analysis from </w:t>
      </w:r>
      <w:r w:rsidR="00636B01">
        <w:t>synoptic interpretation, I now offer a brief exegetical essay on the Healing of the Paralytic</w:t>
      </w:r>
      <w:r w:rsidR="00A84290">
        <w:t>. My exegesis will be informed by a contingency table that serves as a guide to my literary interp</w:t>
      </w:r>
      <w:r w:rsidR="008E71AA">
        <w:t xml:space="preserve">retation. In all, I endeavor to demonstrate the usefulness of such a statistical analysis </w:t>
      </w:r>
      <w:r w:rsidR="00BA6751">
        <w:t>to exegeting the Synoptic Gospels.</w:t>
      </w:r>
    </w:p>
    <w:p w14:paraId="2BB5F8CF" w14:textId="77777777" w:rsidR="00A01DB7" w:rsidRPr="00645383" w:rsidRDefault="00A01DB7" w:rsidP="00A01DB7">
      <w:pPr>
        <w:rPr>
          <w:i/>
          <w:iCs/>
        </w:rPr>
      </w:pPr>
      <w:r w:rsidRPr="00645383">
        <w:rPr>
          <w:i/>
          <w:iCs/>
        </w:rPr>
        <w:t>Overview</w:t>
      </w:r>
    </w:p>
    <w:p w14:paraId="7F16D52B" w14:textId="4A13E0D2" w:rsidR="00A01DB7" w:rsidRDefault="00A01DB7" w:rsidP="00A01DB7">
      <w:r w:rsidRPr="00B2222E">
        <w:tab/>
        <w:t xml:space="preserve">“The Healing of the Paralytic” occurs in all three </w:t>
      </w:r>
      <w:r w:rsidR="00F73A5C">
        <w:t>S</w:t>
      </w:r>
      <w:r w:rsidRPr="00B2222E">
        <w:t xml:space="preserve">ynoptic </w:t>
      </w:r>
      <w:r w:rsidR="00F73A5C">
        <w:t>G</w:t>
      </w:r>
      <w:r w:rsidRPr="00B2222E">
        <w:t xml:space="preserve">ospels. </w:t>
      </w:r>
      <w:r w:rsidR="00A563CD">
        <w:t>Mark and Luke place the pericope is the same relative order within their accounts, while Matthew slightly alters its position</w:t>
      </w:r>
      <w:r w:rsidR="00491CA6">
        <w:t>.</w:t>
      </w:r>
      <w:r w:rsidR="00E93029">
        <w:rPr>
          <w:rStyle w:val="FootnoteReference"/>
        </w:rPr>
        <w:footnoteReference w:id="61"/>
      </w:r>
      <w:r w:rsidR="00491CA6">
        <w:t xml:space="preserve"> In all three synoptics the Healing of the Paralytic is followed by the Call of Levi/Matthew</w:t>
      </w:r>
      <w:r w:rsidR="005E3587">
        <w:t xml:space="preserve"> (</w:t>
      </w:r>
      <w:r w:rsidR="0099552D">
        <w:t>Mk 2:13–17</w:t>
      </w:r>
      <w:r w:rsidR="0099552D">
        <w:fldChar w:fldCharType="begin"/>
      </w:r>
      <w:r w:rsidR="0099552D">
        <w:instrText xml:space="preserve"> XE "Mark:2\:13–17" </w:instrText>
      </w:r>
      <w:r w:rsidR="0099552D">
        <w:fldChar w:fldCharType="end"/>
      </w:r>
      <w:r w:rsidR="0099552D">
        <w:t>; Mt 9:9–13</w:t>
      </w:r>
      <w:r w:rsidR="0099552D">
        <w:fldChar w:fldCharType="begin"/>
      </w:r>
      <w:r w:rsidR="0099552D">
        <w:instrText xml:space="preserve"> XE "Matt:9\:9–13" </w:instrText>
      </w:r>
      <w:r w:rsidR="0099552D">
        <w:fldChar w:fldCharType="end"/>
      </w:r>
      <w:r w:rsidR="0099552D">
        <w:t>; Lk 5:27–32)</w:t>
      </w:r>
      <w:r w:rsidR="00C577F2">
        <w:t xml:space="preserve"> and then by the Question about Fasting</w:t>
      </w:r>
      <w:r w:rsidR="0099552D">
        <w:t xml:space="preserve"> (Mk 2:18–22</w:t>
      </w:r>
      <w:r w:rsidR="0099552D">
        <w:fldChar w:fldCharType="begin"/>
      </w:r>
      <w:r w:rsidR="0099552D">
        <w:instrText xml:space="preserve"> XE "Mark:2\:18–22" </w:instrText>
      </w:r>
      <w:r w:rsidR="0099552D">
        <w:fldChar w:fldCharType="end"/>
      </w:r>
      <w:r w:rsidR="0099552D">
        <w:t>; cf. Mt 9:14–17</w:t>
      </w:r>
      <w:r w:rsidR="0099552D">
        <w:fldChar w:fldCharType="begin"/>
      </w:r>
      <w:r w:rsidR="0099552D">
        <w:instrText xml:space="preserve"> XE "Matt:9\:14–17" </w:instrText>
      </w:r>
      <w:r w:rsidR="0099552D">
        <w:fldChar w:fldCharType="end"/>
      </w:r>
      <w:r w:rsidR="0099552D">
        <w:t>; Lk 5:33–39)</w:t>
      </w:r>
      <w:r w:rsidR="00C577F2">
        <w:t>.</w:t>
      </w:r>
      <w:r w:rsidR="00E21267">
        <w:t xml:space="preserve"> </w:t>
      </w:r>
      <w:r w:rsidRPr="00B2222E">
        <w:t xml:space="preserve">While each telling of the story differs from the others in various ways there are several components that are present in each. All three synoptics describe a paralytic being brought to Jesus. Jesus recognizes the faith of those who brought the man to him and says to the paralytic, </w:t>
      </w:r>
      <w:r w:rsidR="0062246E">
        <w:rPr>
          <w:lang w:val="el-GR"/>
        </w:rPr>
        <w:t>α</w:t>
      </w:r>
      <w:r w:rsidR="0062246E" w:rsidRPr="000375ED">
        <w:t>̓</w:t>
      </w:r>
      <w:r w:rsidR="0062246E">
        <w:rPr>
          <w:lang w:val="el-GR"/>
        </w:rPr>
        <w:t>φ</w:t>
      </w:r>
      <w:r w:rsidR="002D2789">
        <w:rPr>
          <w:lang w:val="el-GR"/>
        </w:rPr>
        <w:t>ι</w:t>
      </w:r>
      <w:r w:rsidR="002D2789" w:rsidRPr="002D2789">
        <w:t>́</w:t>
      </w:r>
      <w:r w:rsidR="002D2789">
        <w:rPr>
          <w:lang w:val="el-GR"/>
        </w:rPr>
        <w:t>ε</w:t>
      </w:r>
      <w:r w:rsidR="0062246E">
        <w:rPr>
          <w:lang w:val="el-GR"/>
        </w:rPr>
        <w:t>νται</w:t>
      </w:r>
      <w:r w:rsidR="0062246E" w:rsidRPr="000375ED">
        <w:t xml:space="preserve">́ </w:t>
      </w:r>
      <w:r w:rsidR="004D7E57">
        <w:rPr>
          <w:lang w:val="el-GR"/>
        </w:rPr>
        <w:t>σου</w:t>
      </w:r>
      <w:r w:rsidR="004D7E57" w:rsidRPr="00B2222E">
        <w:t xml:space="preserve"> </w:t>
      </w:r>
      <w:r w:rsidR="0062246E">
        <w:rPr>
          <w:lang w:val="el-GR"/>
        </w:rPr>
        <w:t>αι</w:t>
      </w:r>
      <w:r w:rsidR="0062246E" w:rsidRPr="000375ED">
        <w:t xml:space="preserve">̔ </w:t>
      </w:r>
      <w:r w:rsidR="0062246E">
        <w:rPr>
          <w:lang w:val="el-GR"/>
        </w:rPr>
        <w:t>α</w:t>
      </w:r>
      <w:r w:rsidR="0062246E" w:rsidRPr="000375ED">
        <w:t>̔</w:t>
      </w:r>
      <w:r w:rsidR="0062246E">
        <w:rPr>
          <w:lang w:val="el-GR"/>
        </w:rPr>
        <w:t>μαρτι</w:t>
      </w:r>
      <w:r w:rsidR="0062246E" w:rsidRPr="000375ED">
        <w:t>́</w:t>
      </w:r>
      <w:r w:rsidR="0062246E">
        <w:rPr>
          <w:lang w:val="el-GR"/>
        </w:rPr>
        <w:t>αι</w:t>
      </w:r>
      <w:r w:rsidR="0062246E" w:rsidRPr="000375ED">
        <w:t xml:space="preserve"> </w:t>
      </w:r>
      <w:r w:rsidR="004D7E57" w:rsidRPr="004D7E57">
        <w:t>(</w:t>
      </w:r>
      <w:r w:rsidRPr="00B2222E">
        <w:t>Your sins are forgiven [Mt 9:2</w:t>
      </w:r>
      <w:r>
        <w:fldChar w:fldCharType="begin"/>
      </w:r>
      <w:r>
        <w:instrText xml:space="preserve"> XE "</w:instrText>
      </w:r>
      <w:r w:rsidRPr="00332FB8">
        <w:instrText>Matt:9\:2</w:instrText>
      </w:r>
      <w:r>
        <w:instrText xml:space="preserve">" </w:instrText>
      </w:r>
      <w:r>
        <w:fldChar w:fldCharType="end"/>
      </w:r>
      <w:r w:rsidRPr="00B2222E">
        <w:t>; Mk 2:5</w:t>
      </w:r>
      <w:r>
        <w:fldChar w:fldCharType="begin"/>
      </w:r>
      <w:r>
        <w:instrText xml:space="preserve"> XE "</w:instrText>
      </w:r>
      <w:r w:rsidRPr="008A71D1">
        <w:instrText>Mark:2\:5</w:instrText>
      </w:r>
      <w:r>
        <w:instrText xml:space="preserve">" </w:instrText>
      </w:r>
      <w:r>
        <w:fldChar w:fldCharType="end"/>
      </w:r>
      <w:r w:rsidRPr="00B2222E">
        <w:t xml:space="preserve">; </w:t>
      </w:r>
      <w:r w:rsidR="00346166">
        <w:t xml:space="preserve">cf. </w:t>
      </w:r>
      <w:r w:rsidRPr="00B2222E">
        <w:t>Lk 5:20</w:t>
      </w:r>
      <w:r w:rsidR="00346166">
        <w:rPr>
          <w:lang w:bidi="he-IL"/>
        </w:rPr>
        <w:t>]</w:t>
      </w:r>
      <w:r>
        <w:fldChar w:fldCharType="begin"/>
      </w:r>
      <w:r>
        <w:instrText xml:space="preserve"> XE "</w:instrText>
      </w:r>
      <w:r w:rsidRPr="00E1089E">
        <w:instrText>Luke:5\:20</w:instrText>
      </w:r>
      <w:r>
        <w:instrText xml:space="preserve">" </w:instrText>
      </w:r>
      <w:r>
        <w:fldChar w:fldCharType="end"/>
      </w:r>
      <w:r w:rsidRPr="00B2222E">
        <w:t>).</w:t>
      </w:r>
      <w:r w:rsidRPr="00B2222E">
        <w:rPr>
          <w:rStyle w:val="FootnoteReference"/>
        </w:rPr>
        <w:footnoteReference w:id="62"/>
      </w:r>
      <w:r w:rsidRPr="00B2222E">
        <w:t xml:space="preserve"> This initiates a discussion among the bystanders, either scribes or scribes and Pharisees, involving an accusation that what Jesus has said is blasphemy</w:t>
      </w:r>
      <w:r w:rsidR="00351CF0">
        <w:t>/blasphemous</w:t>
      </w:r>
      <w:r w:rsidRPr="00B2222E">
        <w:t xml:space="preserve">. Jesus, however, realizes what </w:t>
      </w:r>
      <w:r w:rsidR="00BC2A41">
        <w:t>is being discussed</w:t>
      </w:r>
      <w:r w:rsidRPr="00B2222E">
        <w:t xml:space="preserve"> and responds with a question. He asks the bystanders whether it is easier to say, </w:t>
      </w:r>
      <w:r w:rsidR="00483149">
        <w:rPr>
          <w:lang w:val="el-GR"/>
        </w:rPr>
        <w:t>α</w:t>
      </w:r>
      <w:r w:rsidR="00483149" w:rsidRPr="000375ED">
        <w:t>̓</w:t>
      </w:r>
      <w:r w:rsidR="00483149">
        <w:rPr>
          <w:lang w:val="el-GR"/>
        </w:rPr>
        <w:t>φι</w:t>
      </w:r>
      <w:r w:rsidR="00483149" w:rsidRPr="002D2789">
        <w:t>́</w:t>
      </w:r>
      <w:r w:rsidR="00483149">
        <w:rPr>
          <w:lang w:val="el-GR"/>
        </w:rPr>
        <w:t>ενται</w:t>
      </w:r>
      <w:r w:rsidR="00483149" w:rsidRPr="000375ED">
        <w:t xml:space="preserve">́ </w:t>
      </w:r>
      <w:r w:rsidR="00483149">
        <w:rPr>
          <w:lang w:val="el-GR"/>
        </w:rPr>
        <w:t>σου</w:t>
      </w:r>
      <w:r w:rsidR="00483149" w:rsidRPr="00B2222E">
        <w:t xml:space="preserve"> </w:t>
      </w:r>
      <w:r w:rsidR="00483149">
        <w:rPr>
          <w:lang w:val="el-GR"/>
        </w:rPr>
        <w:t>αι</w:t>
      </w:r>
      <w:r w:rsidR="00483149" w:rsidRPr="000375ED">
        <w:t xml:space="preserve">̔ </w:t>
      </w:r>
      <w:r w:rsidR="00483149">
        <w:rPr>
          <w:lang w:val="el-GR"/>
        </w:rPr>
        <w:t>α</w:t>
      </w:r>
      <w:r w:rsidR="00483149" w:rsidRPr="000375ED">
        <w:t>̔</w:t>
      </w:r>
      <w:r w:rsidR="00483149">
        <w:rPr>
          <w:lang w:val="el-GR"/>
        </w:rPr>
        <w:t>μαρτι</w:t>
      </w:r>
      <w:r w:rsidR="00483149" w:rsidRPr="000375ED">
        <w:t>́</w:t>
      </w:r>
      <w:r w:rsidR="00483149">
        <w:rPr>
          <w:lang w:val="el-GR"/>
        </w:rPr>
        <w:t>αι</w:t>
      </w:r>
      <w:r w:rsidR="00483149" w:rsidRPr="000375ED">
        <w:t xml:space="preserve"> </w:t>
      </w:r>
      <w:r w:rsidR="00483149">
        <w:t>(</w:t>
      </w:r>
      <w:r w:rsidRPr="00B2222E">
        <w:t>Your sins are forgiven</w:t>
      </w:r>
      <w:r w:rsidR="00483149">
        <w:t>)</w:t>
      </w:r>
      <w:r w:rsidR="00AF7292">
        <w:t>,</w:t>
      </w:r>
      <w:r w:rsidRPr="00B2222E">
        <w:t xml:space="preserve"> or to </w:t>
      </w:r>
      <w:r w:rsidRPr="00B2222E">
        <w:lastRenderedPageBreak/>
        <w:t xml:space="preserve">say, </w:t>
      </w:r>
      <w:r w:rsidR="00144CE9">
        <w:rPr>
          <w:lang w:val="el-GR"/>
        </w:rPr>
        <w:t>ε</w:t>
      </w:r>
      <w:r w:rsidR="00144CE9" w:rsidRPr="00144CE9">
        <w:t>̓́</w:t>
      </w:r>
      <w:r w:rsidR="00144CE9">
        <w:rPr>
          <w:lang w:val="el-GR"/>
        </w:rPr>
        <w:t>γειρε</w:t>
      </w:r>
      <w:r w:rsidR="00144CE9" w:rsidRPr="00144CE9">
        <w:t xml:space="preserve"> </w:t>
      </w:r>
      <w:r w:rsidR="00144CE9">
        <w:rPr>
          <w:lang w:val="el-GR"/>
        </w:rPr>
        <w:t>και</w:t>
      </w:r>
      <w:r w:rsidR="00144CE9" w:rsidRPr="00144CE9">
        <w:t xml:space="preserve">̀ </w:t>
      </w:r>
      <w:r w:rsidR="00144CE9">
        <w:rPr>
          <w:lang w:val="el-GR"/>
        </w:rPr>
        <w:t>περιπα</w:t>
      </w:r>
      <w:r w:rsidR="00144CE9" w:rsidRPr="00144CE9">
        <w:t>́</w:t>
      </w:r>
      <w:r w:rsidR="00144CE9">
        <w:rPr>
          <w:lang w:val="el-GR"/>
        </w:rPr>
        <w:t>τει</w:t>
      </w:r>
      <w:r w:rsidR="00144CE9" w:rsidRPr="00144CE9">
        <w:t xml:space="preserve"> </w:t>
      </w:r>
      <w:r w:rsidR="00144CE9">
        <w:t>(</w:t>
      </w:r>
      <w:r w:rsidRPr="00B2222E">
        <w:t>Get up and walk</w:t>
      </w:r>
      <w:r w:rsidR="00144CE9">
        <w:t xml:space="preserve"> [</w:t>
      </w:r>
      <w:r w:rsidRPr="00B2222E">
        <w:t>Mt 9:5</w:t>
      </w:r>
      <w:r>
        <w:fldChar w:fldCharType="begin"/>
      </w:r>
      <w:r>
        <w:instrText xml:space="preserve"> XE "</w:instrText>
      </w:r>
      <w:r w:rsidRPr="00A42276">
        <w:instrText>Matt:9\:5</w:instrText>
      </w:r>
      <w:r>
        <w:instrText xml:space="preserve">" </w:instrText>
      </w:r>
      <w:r>
        <w:fldChar w:fldCharType="end"/>
      </w:r>
      <w:r w:rsidRPr="00B2222E">
        <w:t xml:space="preserve">; </w:t>
      </w:r>
      <w:r>
        <w:fldChar w:fldCharType="begin"/>
      </w:r>
      <w:r>
        <w:instrText xml:space="preserve"> XE "</w:instrText>
      </w:r>
      <w:r w:rsidRPr="00912A11">
        <w:instrText>Mark:2\:9</w:instrText>
      </w:r>
      <w:r>
        <w:instrText xml:space="preserve">" </w:instrText>
      </w:r>
      <w:r>
        <w:fldChar w:fldCharType="end"/>
      </w:r>
      <w:r w:rsidRPr="00B2222E">
        <w:t>Lk 5:23</w:t>
      </w:r>
      <w:r w:rsidR="00144CE9">
        <w:t>;</w:t>
      </w:r>
      <w:r w:rsidR="00144CE9" w:rsidRPr="00144CE9">
        <w:t xml:space="preserve"> </w:t>
      </w:r>
      <w:r w:rsidR="00144CE9">
        <w:t xml:space="preserve">cf. </w:t>
      </w:r>
      <w:r w:rsidR="00144CE9" w:rsidRPr="00B2222E">
        <w:t>Mk 2:9</w:t>
      </w:r>
      <w:r w:rsidR="00144CE9">
        <w:t>]</w:t>
      </w:r>
      <w:r>
        <w:fldChar w:fldCharType="begin"/>
      </w:r>
      <w:r>
        <w:instrText xml:space="preserve"> XE "</w:instrText>
      </w:r>
      <w:r w:rsidRPr="003624DD">
        <w:instrText>Luke:5\:23</w:instrText>
      </w:r>
      <w:r>
        <w:instrText xml:space="preserve">" </w:instrText>
      </w:r>
      <w:r>
        <w:fldChar w:fldCharType="end"/>
      </w:r>
      <w:r w:rsidRPr="00B2222E">
        <w:t>).</w:t>
      </w:r>
      <w:r w:rsidRPr="00B2222E">
        <w:rPr>
          <w:rStyle w:val="FootnoteReference"/>
        </w:rPr>
        <w:footnoteReference w:id="63"/>
      </w:r>
      <w:r w:rsidRPr="00B2222E">
        <w:t xml:space="preserve"> Then without allowing a chance for his audience to respond, Jesus makes a statement by which </w:t>
      </w:r>
      <w:r w:rsidR="00682B70">
        <w:t xml:space="preserve">the onlookers </w:t>
      </w:r>
      <w:r w:rsidRPr="00B2222E">
        <w:t>can confirm or deny his ability to forgive sins</w:t>
      </w:r>
      <w:r w:rsidR="00682B70">
        <w:t>; he says</w:t>
      </w:r>
      <w:r w:rsidRPr="00B2222E">
        <w:t xml:space="preserve">, </w:t>
      </w:r>
      <w:r w:rsidR="004321FA">
        <w:rPr>
          <w:lang w:val="el-GR"/>
        </w:rPr>
        <w:t>ι</w:t>
      </w:r>
      <w:r w:rsidR="004321FA" w:rsidRPr="004321FA">
        <w:t>̔́</w:t>
      </w:r>
      <w:r w:rsidR="004321FA">
        <w:rPr>
          <w:lang w:val="el-GR"/>
        </w:rPr>
        <w:t>να</w:t>
      </w:r>
      <w:r w:rsidR="004321FA" w:rsidRPr="004321FA">
        <w:t xml:space="preserve"> </w:t>
      </w:r>
      <w:r w:rsidR="004321FA">
        <w:rPr>
          <w:lang w:val="el-GR"/>
        </w:rPr>
        <w:t>δε</w:t>
      </w:r>
      <w:r w:rsidR="004321FA" w:rsidRPr="004321FA">
        <w:t xml:space="preserve">̀ </w:t>
      </w:r>
      <w:r w:rsidR="004321FA">
        <w:rPr>
          <w:lang w:val="el-GR"/>
        </w:rPr>
        <w:t>ει</w:t>
      </w:r>
      <w:r w:rsidR="004321FA" w:rsidRPr="004321FA">
        <w:t>̓</w:t>
      </w:r>
      <w:r w:rsidR="004321FA">
        <w:rPr>
          <w:lang w:val="el-GR"/>
        </w:rPr>
        <w:t>δη</w:t>
      </w:r>
      <w:r w:rsidR="004321FA" w:rsidRPr="004321FA">
        <w:t>͂</w:t>
      </w:r>
      <w:r w:rsidR="004321FA">
        <w:rPr>
          <w:lang w:val="el-GR"/>
        </w:rPr>
        <w:t>τε</w:t>
      </w:r>
      <w:r w:rsidR="004321FA" w:rsidRPr="004321FA">
        <w:t xml:space="preserve"> </w:t>
      </w:r>
      <w:r w:rsidR="004321FA">
        <w:rPr>
          <w:lang w:val="el-GR"/>
        </w:rPr>
        <w:t>ο</w:t>
      </w:r>
      <w:r w:rsidR="004321FA" w:rsidRPr="004321FA">
        <w:t>̔́</w:t>
      </w:r>
      <w:r w:rsidR="004321FA">
        <w:rPr>
          <w:lang w:val="el-GR"/>
        </w:rPr>
        <w:t>τι</w:t>
      </w:r>
      <w:r w:rsidR="004321FA" w:rsidRPr="004321FA">
        <w:t xml:space="preserve"> </w:t>
      </w:r>
      <w:r w:rsidR="004321FA">
        <w:rPr>
          <w:lang w:val="el-GR"/>
        </w:rPr>
        <w:t>ε</w:t>
      </w:r>
      <w:r w:rsidR="004321FA" w:rsidRPr="004321FA">
        <w:t>̓</w:t>
      </w:r>
      <w:r w:rsidR="004321FA">
        <w:rPr>
          <w:lang w:val="el-GR"/>
        </w:rPr>
        <w:t>ξουσι</w:t>
      </w:r>
      <w:r w:rsidR="004321FA" w:rsidRPr="004321FA">
        <w:t>́</w:t>
      </w:r>
      <w:r w:rsidR="004321FA">
        <w:rPr>
          <w:lang w:val="el-GR"/>
        </w:rPr>
        <w:t>αν</w:t>
      </w:r>
      <w:r w:rsidR="004321FA" w:rsidRPr="004321FA">
        <w:t xml:space="preserve"> </w:t>
      </w:r>
      <w:r w:rsidR="004321FA">
        <w:rPr>
          <w:lang w:val="el-GR"/>
        </w:rPr>
        <w:t>ε</w:t>
      </w:r>
      <w:r w:rsidR="004321FA" w:rsidRPr="004321FA">
        <w:t>̓́</w:t>
      </w:r>
      <w:r w:rsidR="004321FA">
        <w:rPr>
          <w:lang w:val="el-GR"/>
        </w:rPr>
        <w:t>χει</w:t>
      </w:r>
      <w:r w:rsidR="004321FA" w:rsidRPr="004321FA">
        <w:t xml:space="preserve"> </w:t>
      </w:r>
      <w:r w:rsidR="004321FA">
        <w:rPr>
          <w:lang w:val="el-GR"/>
        </w:rPr>
        <w:t>ο</w:t>
      </w:r>
      <w:r w:rsidR="004321FA" w:rsidRPr="004321FA">
        <w:t xml:space="preserve">̔ </w:t>
      </w:r>
      <w:r w:rsidR="00806875">
        <w:rPr>
          <w:lang w:val="el-GR"/>
        </w:rPr>
        <w:t>υι</w:t>
      </w:r>
      <w:r w:rsidR="00806875" w:rsidRPr="00806875">
        <w:t>̔</w:t>
      </w:r>
      <w:r w:rsidR="00806875">
        <w:rPr>
          <w:lang w:val="el-GR"/>
        </w:rPr>
        <w:t>ο</w:t>
      </w:r>
      <w:r w:rsidR="00806875" w:rsidRPr="00806875">
        <w:t>̀</w:t>
      </w:r>
      <w:r w:rsidR="00806875">
        <w:rPr>
          <w:lang w:val="el-GR"/>
        </w:rPr>
        <w:t>ς</w:t>
      </w:r>
      <w:r w:rsidR="00806875" w:rsidRPr="00806875">
        <w:t xml:space="preserve"> </w:t>
      </w:r>
      <w:r w:rsidR="00806875">
        <w:rPr>
          <w:lang w:val="el-GR"/>
        </w:rPr>
        <w:t>του</w:t>
      </w:r>
      <w:r w:rsidR="00806875" w:rsidRPr="00806875">
        <w:t xml:space="preserve">͂ </w:t>
      </w:r>
      <w:r w:rsidR="00806875">
        <w:rPr>
          <w:lang w:val="el-GR"/>
        </w:rPr>
        <w:t>α</w:t>
      </w:r>
      <w:r w:rsidR="00806875" w:rsidRPr="00806875">
        <w:t>̓</w:t>
      </w:r>
      <w:r w:rsidR="00806875">
        <w:rPr>
          <w:lang w:val="el-GR"/>
        </w:rPr>
        <w:t>νθρω</w:t>
      </w:r>
      <w:r w:rsidR="00806875" w:rsidRPr="00806875">
        <w:t>́</w:t>
      </w:r>
      <w:r w:rsidR="00806875">
        <w:rPr>
          <w:lang w:val="el-GR"/>
        </w:rPr>
        <w:t>που</w:t>
      </w:r>
      <w:r w:rsidR="00806875" w:rsidRPr="00806875">
        <w:t xml:space="preserve"> </w:t>
      </w:r>
      <w:r w:rsidR="00806875">
        <w:rPr>
          <w:lang w:val="el-GR"/>
        </w:rPr>
        <w:t>ε</w:t>
      </w:r>
      <w:r w:rsidR="00806875" w:rsidRPr="00806875">
        <w:t>̓</w:t>
      </w:r>
      <w:r w:rsidR="00806875">
        <w:rPr>
          <w:lang w:val="el-GR"/>
        </w:rPr>
        <w:t>πι</w:t>
      </w:r>
      <w:r w:rsidR="009C713E" w:rsidRPr="009C713E">
        <w:t>̀</w:t>
      </w:r>
      <w:r w:rsidR="00806875" w:rsidRPr="00806875">
        <w:t xml:space="preserve"> </w:t>
      </w:r>
      <w:r w:rsidR="00806875">
        <w:rPr>
          <w:lang w:val="el-GR"/>
        </w:rPr>
        <w:t>τη</w:t>
      </w:r>
      <w:r w:rsidR="00806875" w:rsidRPr="00806875">
        <w:t>͂</w:t>
      </w:r>
      <w:r w:rsidR="00806875">
        <w:rPr>
          <w:lang w:val="el-GR"/>
        </w:rPr>
        <w:t>ς</w:t>
      </w:r>
      <w:r w:rsidR="00806875" w:rsidRPr="00806875">
        <w:t xml:space="preserve"> </w:t>
      </w:r>
      <w:r w:rsidR="00806875">
        <w:rPr>
          <w:lang w:val="el-GR"/>
        </w:rPr>
        <w:t>γη</w:t>
      </w:r>
      <w:r w:rsidR="00806875" w:rsidRPr="00806875">
        <w:t>͂</w:t>
      </w:r>
      <w:r w:rsidR="00806875">
        <w:rPr>
          <w:lang w:val="el-GR"/>
        </w:rPr>
        <w:t>ς</w:t>
      </w:r>
      <w:r w:rsidR="009C713E" w:rsidRPr="009C713E">
        <w:t xml:space="preserve"> </w:t>
      </w:r>
      <w:r w:rsidR="009C713E">
        <w:rPr>
          <w:lang w:val="el-GR"/>
        </w:rPr>
        <w:t>α</w:t>
      </w:r>
      <w:r w:rsidR="009C713E" w:rsidRPr="009C713E">
        <w:t>̓</w:t>
      </w:r>
      <w:r w:rsidR="009C713E">
        <w:rPr>
          <w:lang w:val="el-GR"/>
        </w:rPr>
        <w:t>φιε</w:t>
      </w:r>
      <w:r w:rsidR="009C713E" w:rsidRPr="009C713E">
        <w:t>́</w:t>
      </w:r>
      <w:r w:rsidR="009C713E">
        <w:rPr>
          <w:lang w:val="el-GR"/>
        </w:rPr>
        <w:t>ναι</w:t>
      </w:r>
      <w:r w:rsidR="009C713E" w:rsidRPr="009C713E">
        <w:t xml:space="preserve"> </w:t>
      </w:r>
      <w:r w:rsidR="009C713E">
        <w:rPr>
          <w:lang w:val="el-GR"/>
        </w:rPr>
        <w:t>α</w:t>
      </w:r>
      <w:r w:rsidR="009C713E" w:rsidRPr="009C713E">
        <w:t>̔</w:t>
      </w:r>
      <w:r w:rsidR="009C713E">
        <w:rPr>
          <w:lang w:val="el-GR"/>
        </w:rPr>
        <w:t>μαρτι</w:t>
      </w:r>
      <w:r w:rsidR="009C713E" w:rsidRPr="009C713E">
        <w:t>́</w:t>
      </w:r>
      <w:r w:rsidR="009C713E">
        <w:rPr>
          <w:lang w:val="el-GR"/>
        </w:rPr>
        <w:t>ας</w:t>
      </w:r>
      <w:r w:rsidR="00255668" w:rsidRPr="00255668">
        <w:t xml:space="preserve"> </w:t>
      </w:r>
      <w:r w:rsidR="00255668">
        <w:rPr>
          <w:lang w:bidi="he-IL"/>
        </w:rPr>
        <w:t>(</w:t>
      </w:r>
      <w:r w:rsidRPr="00B2222E">
        <w:t xml:space="preserve">But in order that you may know that the son of man has authority </w:t>
      </w:r>
      <w:r w:rsidR="00255668">
        <w:t xml:space="preserve">on </w:t>
      </w:r>
      <w:r w:rsidR="00B1202B">
        <w:t xml:space="preserve">the </w:t>
      </w:r>
      <w:r w:rsidR="00255668">
        <w:t xml:space="preserve">earth </w:t>
      </w:r>
      <w:r w:rsidRPr="00B2222E">
        <w:t>to forgive sins</w:t>
      </w:r>
      <w:r w:rsidR="00255668">
        <w:t>… [</w:t>
      </w:r>
      <w:r w:rsidRPr="00B2222E">
        <w:t>Mk 2:10</w:t>
      </w:r>
      <w:r>
        <w:fldChar w:fldCharType="begin"/>
      </w:r>
      <w:r>
        <w:instrText xml:space="preserve"> XE "</w:instrText>
      </w:r>
      <w:r w:rsidRPr="00A139A2">
        <w:instrText>Mark:2\:10</w:instrText>
      </w:r>
      <w:r>
        <w:instrText xml:space="preserve">" </w:instrText>
      </w:r>
      <w:r>
        <w:fldChar w:fldCharType="end"/>
      </w:r>
      <w:r w:rsidRPr="00B2222E">
        <w:t>; cf. Mt 9:6</w:t>
      </w:r>
      <w:r>
        <w:fldChar w:fldCharType="begin"/>
      </w:r>
      <w:r>
        <w:instrText xml:space="preserve"> XE "</w:instrText>
      </w:r>
      <w:r w:rsidRPr="00F6131B">
        <w:instrText>Matt:9\:6</w:instrText>
      </w:r>
      <w:r>
        <w:instrText xml:space="preserve">" </w:instrText>
      </w:r>
      <w:r>
        <w:fldChar w:fldCharType="end"/>
      </w:r>
      <w:r w:rsidRPr="00B2222E">
        <w:t>; Lk 9:24</w:t>
      </w:r>
      <w:r w:rsidR="00255668">
        <w:t>]</w:t>
      </w:r>
      <w:r>
        <w:fldChar w:fldCharType="begin"/>
      </w:r>
      <w:r>
        <w:instrText xml:space="preserve"> XE "</w:instrText>
      </w:r>
      <w:r w:rsidRPr="00E21B85">
        <w:instrText>Luke:9\:24</w:instrText>
      </w:r>
      <w:r>
        <w:instrText xml:space="preserve">" </w:instrText>
      </w:r>
      <w:r>
        <w:fldChar w:fldCharType="end"/>
      </w:r>
      <w:r w:rsidRPr="00B2222E">
        <w:t>).</w:t>
      </w:r>
      <w:r w:rsidRPr="00B2222E">
        <w:rPr>
          <w:rStyle w:val="FootnoteReference"/>
        </w:rPr>
        <w:footnoteReference w:id="64"/>
      </w:r>
      <w:r w:rsidRPr="00B2222E">
        <w:t xml:space="preserve"> Jesus then tells the paralytic to get up and go home.</w:t>
      </w:r>
      <w:r w:rsidR="00F21615">
        <w:rPr>
          <w:rStyle w:val="FootnoteReference"/>
        </w:rPr>
        <w:footnoteReference w:id="65"/>
      </w:r>
      <w:r w:rsidRPr="00B2222E">
        <w:t xml:space="preserve"> The paralytic does so, and the crowd reacts to the miracle with amazement and/or awe.</w:t>
      </w:r>
    </w:p>
    <w:p w14:paraId="4FFF2A03" w14:textId="1401559F" w:rsidR="00D55D4B" w:rsidRPr="00B2222E" w:rsidRDefault="00D40694" w:rsidP="00D55D4B">
      <w:pPr>
        <w:rPr>
          <w:b/>
          <w:bCs/>
          <w:lang w:bidi="he-IL"/>
        </w:rPr>
      </w:pPr>
      <w:r>
        <w:rPr>
          <w:i/>
          <w:iCs/>
          <w:lang w:bidi="he-IL"/>
        </w:rPr>
        <w:t>Empirical Analysis</w:t>
      </w:r>
    </w:p>
    <w:p w14:paraId="0AFB96BA" w14:textId="56709F2E" w:rsidR="00D55D4B" w:rsidRPr="00B2222E" w:rsidRDefault="00D55D4B" w:rsidP="00D55D4B">
      <w:pPr>
        <w:ind w:firstLine="720"/>
        <w:rPr>
          <w:lang w:bidi="he-IL"/>
        </w:rPr>
      </w:pPr>
      <w:r w:rsidRPr="00B2222E">
        <w:rPr>
          <w:lang w:bidi="he-IL"/>
        </w:rPr>
        <w:t xml:space="preserve">The observed frequencies of agreement and non-agreement between the </w:t>
      </w:r>
      <w:r w:rsidR="008E07D7">
        <w:rPr>
          <w:lang w:bidi="he-IL"/>
        </w:rPr>
        <w:t>S</w:t>
      </w:r>
      <w:r w:rsidRPr="00B2222E">
        <w:rPr>
          <w:lang w:bidi="he-IL"/>
        </w:rPr>
        <w:t xml:space="preserve">ynoptic </w:t>
      </w:r>
      <w:r w:rsidR="008E07D7">
        <w:rPr>
          <w:lang w:bidi="he-IL"/>
        </w:rPr>
        <w:t>G</w:t>
      </w:r>
      <w:r w:rsidRPr="00B2222E">
        <w:rPr>
          <w:lang w:bidi="he-IL"/>
        </w:rPr>
        <w:t>ospels in t</w:t>
      </w:r>
      <w:r w:rsidR="00D40694">
        <w:rPr>
          <w:lang w:bidi="he-IL"/>
        </w:rPr>
        <w:t>he Healing of the Paralytic</w:t>
      </w:r>
      <w:r w:rsidRPr="00B2222E">
        <w:rPr>
          <w:lang w:bidi="he-IL"/>
        </w:rPr>
        <w:t>, with the expected frequencies in parentheses, are given in the following table.</w:t>
      </w:r>
    </w:p>
    <w:p w14:paraId="70D204AE" w14:textId="2EC64C24" w:rsidR="00D55D4B" w:rsidRPr="00FF3195" w:rsidRDefault="00D55D4B" w:rsidP="00D55D4B">
      <w:pPr>
        <w:pStyle w:val="Caption"/>
        <w:keepNext/>
        <w:rPr>
          <w:b/>
          <w:bCs/>
          <w:i w:val="0"/>
          <w:iCs w:val="0"/>
          <w:color w:val="auto"/>
          <w:sz w:val="24"/>
          <w:szCs w:val="24"/>
        </w:rPr>
      </w:pPr>
      <w:r w:rsidRPr="00FF3195">
        <w:rPr>
          <w:b/>
          <w:bCs/>
          <w:i w:val="0"/>
          <w:iCs w:val="0"/>
          <w:color w:val="auto"/>
          <w:sz w:val="24"/>
          <w:szCs w:val="24"/>
        </w:rPr>
        <w:t xml:space="preserve">Table </w:t>
      </w:r>
      <w:r w:rsidR="00F00E98">
        <w:rPr>
          <w:b/>
          <w:bCs/>
          <w:i w:val="0"/>
          <w:iCs w:val="0"/>
          <w:color w:val="auto"/>
          <w:sz w:val="24"/>
          <w:szCs w:val="24"/>
        </w:rPr>
        <w:t>7</w:t>
      </w:r>
      <w:r w:rsidRPr="00FF3195">
        <w:rPr>
          <w:b/>
          <w:bCs/>
          <w:i w:val="0"/>
          <w:iCs w:val="0"/>
          <w:color w:val="auto"/>
          <w:sz w:val="24"/>
          <w:szCs w:val="24"/>
        </w:rPr>
        <w:t xml:space="preserve">: </w:t>
      </w:r>
      <w:r w:rsidRPr="0094311C">
        <w:rPr>
          <w:i w:val="0"/>
          <w:iCs w:val="0"/>
          <w:color w:val="auto"/>
          <w:sz w:val="24"/>
          <w:szCs w:val="24"/>
        </w:rPr>
        <w:t xml:space="preserve">Contingency for </w:t>
      </w:r>
      <w:r w:rsidR="00B45908">
        <w:rPr>
          <w:i w:val="0"/>
          <w:iCs w:val="0"/>
          <w:color w:val="auto"/>
          <w:sz w:val="24"/>
          <w:szCs w:val="24"/>
        </w:rPr>
        <w:t>t</w:t>
      </w:r>
      <w:r w:rsidRPr="0094311C">
        <w:rPr>
          <w:i w:val="0"/>
          <w:iCs w:val="0"/>
          <w:color w:val="auto"/>
          <w:sz w:val="24"/>
          <w:szCs w:val="24"/>
        </w:rPr>
        <w:t>he Healing of the Paralytic</w:t>
      </w:r>
      <w:r w:rsidR="00B45908">
        <w:rPr>
          <w:i w:val="0"/>
          <w:iCs w:val="0"/>
          <w:color w:val="auto"/>
          <w:sz w:val="24"/>
          <w:szCs w:val="24"/>
        </w:rPr>
        <w:t xml:space="preserve"> </w:t>
      </w:r>
      <w:r w:rsidR="003D2DBA">
        <w:rPr>
          <w:i w:val="0"/>
          <w:iCs w:val="0"/>
          <w:color w:val="auto"/>
          <w:sz w:val="24"/>
          <w:szCs w:val="24"/>
        </w:rPr>
        <w:t>(M</w:t>
      </w:r>
      <w:r w:rsidR="0086525A">
        <w:rPr>
          <w:i w:val="0"/>
          <w:iCs w:val="0"/>
          <w:color w:val="auto"/>
          <w:sz w:val="24"/>
          <w:szCs w:val="24"/>
        </w:rPr>
        <w:t>t</w:t>
      </w:r>
      <w:r w:rsidR="003D2DBA">
        <w:rPr>
          <w:i w:val="0"/>
          <w:iCs w:val="0"/>
          <w:color w:val="auto"/>
          <w:sz w:val="24"/>
          <w:szCs w:val="24"/>
        </w:rPr>
        <w:t xml:space="preserve"> 9:1</w:t>
      </w:r>
      <w:r w:rsidR="00D0084C">
        <w:rPr>
          <w:i w:val="0"/>
          <w:iCs w:val="0"/>
          <w:color w:val="auto"/>
          <w:sz w:val="24"/>
          <w:szCs w:val="24"/>
        </w:rPr>
        <w:t>–</w:t>
      </w:r>
      <w:r w:rsidR="003D2DBA">
        <w:rPr>
          <w:i w:val="0"/>
          <w:iCs w:val="0"/>
          <w:color w:val="auto"/>
          <w:sz w:val="24"/>
          <w:szCs w:val="24"/>
        </w:rPr>
        <w:t>8</w:t>
      </w:r>
      <w:r w:rsidR="00D0084C">
        <w:rPr>
          <w:i w:val="0"/>
          <w:iCs w:val="0"/>
          <w:color w:val="auto"/>
          <w:sz w:val="24"/>
          <w:szCs w:val="24"/>
        </w:rPr>
        <w:t xml:space="preserve">; Mk 2:1–12; Lk 5:17–26) </w:t>
      </w:r>
      <w:r w:rsidR="0082513E">
        <w:rPr>
          <w:i w:val="0"/>
          <w:iCs w:val="0"/>
          <w:color w:val="auto"/>
          <w:sz w:val="24"/>
          <w:szCs w:val="24"/>
        </w:rPr>
        <w:t>(Form/Lemma)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D55D4B" w:rsidRPr="00B2222E" w14:paraId="0FE5BDC2" w14:textId="77777777" w:rsidTr="00D12140">
        <w:tc>
          <w:tcPr>
            <w:tcW w:w="1870" w:type="dxa"/>
            <w:tcBorders>
              <w:top w:val="single" w:sz="4" w:space="0" w:color="auto"/>
            </w:tcBorders>
            <w:vAlign w:val="center"/>
          </w:tcPr>
          <w:p w14:paraId="440A805F" w14:textId="77777777" w:rsidR="00D55D4B" w:rsidRPr="00B2222E" w:rsidRDefault="00D55D4B" w:rsidP="00D12140">
            <w:pPr>
              <w:jc w:val="center"/>
              <w:rPr>
                <w:lang w:bidi="he-IL"/>
              </w:rPr>
            </w:pPr>
          </w:p>
        </w:tc>
        <w:tc>
          <w:tcPr>
            <w:tcW w:w="1870" w:type="dxa"/>
            <w:tcBorders>
              <w:top w:val="single" w:sz="4" w:space="0" w:color="auto"/>
              <w:right w:val="single" w:sz="4" w:space="0" w:color="auto"/>
            </w:tcBorders>
            <w:vAlign w:val="center"/>
          </w:tcPr>
          <w:p w14:paraId="61EB8B69" w14:textId="77777777" w:rsidR="00D55D4B" w:rsidRPr="00B2222E" w:rsidRDefault="00D55D4B" w:rsidP="00D12140">
            <w:pPr>
              <w:jc w:val="center"/>
              <w:rPr>
                <w:lang w:bidi="he-IL"/>
              </w:rPr>
            </w:pPr>
          </w:p>
        </w:tc>
        <w:tc>
          <w:tcPr>
            <w:tcW w:w="3740" w:type="dxa"/>
            <w:gridSpan w:val="2"/>
            <w:tcBorders>
              <w:top w:val="single" w:sz="4" w:space="0" w:color="auto"/>
              <w:left w:val="single" w:sz="4" w:space="0" w:color="auto"/>
              <w:right w:val="single" w:sz="4" w:space="0" w:color="auto"/>
            </w:tcBorders>
            <w:vAlign w:val="center"/>
          </w:tcPr>
          <w:p w14:paraId="24501F40" w14:textId="77777777" w:rsidR="00D55D4B" w:rsidRPr="00B2222E" w:rsidRDefault="00D55D4B" w:rsidP="00D12140">
            <w:pPr>
              <w:jc w:val="center"/>
              <w:rPr>
                <w:lang w:bidi="he-IL"/>
              </w:rPr>
            </w:pPr>
            <w:r w:rsidRPr="00B2222E">
              <w:rPr>
                <w:lang w:bidi="he-IL"/>
              </w:rPr>
              <w:t>Luke</w:t>
            </w:r>
          </w:p>
        </w:tc>
        <w:tc>
          <w:tcPr>
            <w:tcW w:w="1870" w:type="dxa"/>
            <w:tcBorders>
              <w:top w:val="single" w:sz="4" w:space="0" w:color="auto"/>
              <w:left w:val="single" w:sz="4" w:space="0" w:color="auto"/>
            </w:tcBorders>
            <w:vAlign w:val="center"/>
          </w:tcPr>
          <w:p w14:paraId="30CBA781" w14:textId="77777777" w:rsidR="00D55D4B" w:rsidRPr="00B2222E" w:rsidRDefault="00D55D4B" w:rsidP="00D12140">
            <w:pPr>
              <w:jc w:val="center"/>
              <w:rPr>
                <w:lang w:bidi="he-IL"/>
              </w:rPr>
            </w:pPr>
          </w:p>
        </w:tc>
      </w:tr>
      <w:tr w:rsidR="00D55D4B" w:rsidRPr="00B2222E" w14:paraId="2F6F9136" w14:textId="77777777" w:rsidTr="00D12140">
        <w:tc>
          <w:tcPr>
            <w:tcW w:w="1870" w:type="dxa"/>
            <w:tcBorders>
              <w:bottom w:val="single" w:sz="4" w:space="0" w:color="auto"/>
            </w:tcBorders>
            <w:vAlign w:val="center"/>
          </w:tcPr>
          <w:p w14:paraId="7BAD704C" w14:textId="77777777" w:rsidR="00D55D4B" w:rsidRPr="00B2222E" w:rsidRDefault="00D55D4B" w:rsidP="00D12140">
            <w:pPr>
              <w:jc w:val="center"/>
              <w:rPr>
                <w:lang w:bidi="he-IL"/>
              </w:rPr>
            </w:pPr>
          </w:p>
        </w:tc>
        <w:tc>
          <w:tcPr>
            <w:tcW w:w="1870" w:type="dxa"/>
            <w:tcBorders>
              <w:bottom w:val="single" w:sz="4" w:space="0" w:color="auto"/>
              <w:right w:val="single" w:sz="4" w:space="0" w:color="auto"/>
            </w:tcBorders>
            <w:vAlign w:val="center"/>
          </w:tcPr>
          <w:p w14:paraId="47BA15FC" w14:textId="77777777" w:rsidR="00D55D4B" w:rsidRPr="00B2222E" w:rsidRDefault="00D55D4B" w:rsidP="00D12140">
            <w:pPr>
              <w:jc w:val="center"/>
              <w:rPr>
                <w:lang w:bidi="he-IL"/>
              </w:rPr>
            </w:pPr>
          </w:p>
        </w:tc>
        <w:tc>
          <w:tcPr>
            <w:tcW w:w="1870" w:type="dxa"/>
            <w:tcBorders>
              <w:left w:val="single" w:sz="4" w:space="0" w:color="auto"/>
              <w:bottom w:val="single" w:sz="4" w:space="0" w:color="auto"/>
            </w:tcBorders>
            <w:vAlign w:val="center"/>
          </w:tcPr>
          <w:p w14:paraId="48EA407C" w14:textId="77777777" w:rsidR="00D55D4B" w:rsidRPr="00B2222E" w:rsidRDefault="00D55D4B" w:rsidP="00D12140">
            <w:pPr>
              <w:jc w:val="center"/>
              <w:rPr>
                <w:lang w:bidi="he-IL"/>
              </w:rPr>
            </w:pPr>
            <w:r w:rsidRPr="00B2222E">
              <w:rPr>
                <w:lang w:bidi="he-IL"/>
              </w:rPr>
              <w:t>0</w:t>
            </w:r>
          </w:p>
        </w:tc>
        <w:tc>
          <w:tcPr>
            <w:tcW w:w="1870" w:type="dxa"/>
            <w:tcBorders>
              <w:bottom w:val="single" w:sz="4" w:space="0" w:color="auto"/>
              <w:right w:val="single" w:sz="4" w:space="0" w:color="auto"/>
            </w:tcBorders>
            <w:vAlign w:val="center"/>
          </w:tcPr>
          <w:p w14:paraId="5DB8AA04" w14:textId="77777777" w:rsidR="00D55D4B" w:rsidRPr="00B2222E" w:rsidRDefault="00D55D4B" w:rsidP="00D12140">
            <w:pPr>
              <w:jc w:val="center"/>
              <w:rPr>
                <w:lang w:bidi="he-IL"/>
              </w:rPr>
            </w:pPr>
            <w:r w:rsidRPr="00B2222E">
              <w:rPr>
                <w:lang w:bidi="he-IL"/>
              </w:rPr>
              <w:t>1</w:t>
            </w:r>
          </w:p>
        </w:tc>
        <w:tc>
          <w:tcPr>
            <w:tcW w:w="1870" w:type="dxa"/>
            <w:tcBorders>
              <w:left w:val="single" w:sz="4" w:space="0" w:color="auto"/>
              <w:bottom w:val="single" w:sz="4" w:space="0" w:color="auto"/>
            </w:tcBorders>
            <w:vAlign w:val="center"/>
          </w:tcPr>
          <w:p w14:paraId="105F348C" w14:textId="77777777" w:rsidR="00D55D4B" w:rsidRPr="00B2222E" w:rsidRDefault="00D55D4B" w:rsidP="00D12140">
            <w:pPr>
              <w:jc w:val="center"/>
              <w:rPr>
                <w:lang w:bidi="he-IL"/>
              </w:rPr>
            </w:pPr>
            <w:r w:rsidRPr="00B2222E">
              <w:rPr>
                <w:lang w:bidi="he-IL"/>
              </w:rPr>
              <w:t>Total</w:t>
            </w:r>
          </w:p>
        </w:tc>
      </w:tr>
      <w:tr w:rsidR="00D55D4B" w:rsidRPr="00B2222E" w14:paraId="4322E58B" w14:textId="77777777" w:rsidTr="00D12140">
        <w:tc>
          <w:tcPr>
            <w:tcW w:w="1870" w:type="dxa"/>
            <w:vMerge w:val="restart"/>
            <w:tcBorders>
              <w:top w:val="single" w:sz="4" w:space="0" w:color="auto"/>
            </w:tcBorders>
            <w:vAlign w:val="center"/>
          </w:tcPr>
          <w:p w14:paraId="6622A0DA" w14:textId="77777777" w:rsidR="00D55D4B" w:rsidRPr="00B2222E" w:rsidRDefault="00D55D4B" w:rsidP="00D12140">
            <w:pPr>
              <w:jc w:val="center"/>
              <w:rPr>
                <w:lang w:bidi="he-IL"/>
              </w:rPr>
            </w:pPr>
            <w:r w:rsidRPr="00B2222E">
              <w:rPr>
                <w:lang w:bidi="he-IL"/>
              </w:rPr>
              <w:t>Matthew</w:t>
            </w:r>
          </w:p>
        </w:tc>
        <w:tc>
          <w:tcPr>
            <w:tcW w:w="1870" w:type="dxa"/>
            <w:tcBorders>
              <w:top w:val="single" w:sz="4" w:space="0" w:color="auto"/>
              <w:right w:val="single" w:sz="4" w:space="0" w:color="auto"/>
            </w:tcBorders>
            <w:vAlign w:val="center"/>
          </w:tcPr>
          <w:p w14:paraId="7E289A4B" w14:textId="77777777" w:rsidR="00D55D4B" w:rsidRDefault="00D55D4B" w:rsidP="00D12140">
            <w:pPr>
              <w:jc w:val="center"/>
              <w:rPr>
                <w:lang w:bidi="he-IL"/>
              </w:rPr>
            </w:pPr>
            <w:r w:rsidRPr="00B2222E">
              <w:rPr>
                <w:lang w:bidi="he-IL"/>
              </w:rPr>
              <w:t>0</w:t>
            </w:r>
          </w:p>
          <w:p w14:paraId="5981BC09" w14:textId="07B321E9" w:rsidR="00D40694" w:rsidRPr="00B2222E" w:rsidRDefault="00D40694" w:rsidP="00D12140">
            <w:pPr>
              <w:jc w:val="center"/>
              <w:rPr>
                <w:lang w:bidi="he-IL"/>
              </w:rPr>
            </w:pPr>
          </w:p>
        </w:tc>
        <w:tc>
          <w:tcPr>
            <w:tcW w:w="1870" w:type="dxa"/>
            <w:tcBorders>
              <w:top w:val="single" w:sz="4" w:space="0" w:color="auto"/>
              <w:left w:val="single" w:sz="4" w:space="0" w:color="auto"/>
            </w:tcBorders>
            <w:shd w:val="clear" w:color="auto" w:fill="auto"/>
            <w:vAlign w:val="center"/>
          </w:tcPr>
          <w:p w14:paraId="6117943D" w14:textId="78124B95" w:rsidR="00D55D4B" w:rsidRPr="00B2222E" w:rsidRDefault="00D55D4B" w:rsidP="00D12140">
            <w:pPr>
              <w:jc w:val="center"/>
              <w:rPr>
                <w:color w:val="000000"/>
              </w:rPr>
            </w:pPr>
            <w:r w:rsidRPr="00B2222E">
              <w:rPr>
                <w:color w:val="000000"/>
              </w:rPr>
              <w:t>96</w:t>
            </w:r>
            <w:r w:rsidR="0082513E">
              <w:rPr>
                <w:color w:val="000000"/>
              </w:rPr>
              <w:t xml:space="preserve"> / 75</w:t>
            </w:r>
          </w:p>
          <w:p w14:paraId="3FFFE0FF" w14:textId="725A5B9F" w:rsidR="00D55D4B" w:rsidRDefault="00D55D4B" w:rsidP="00D12140">
            <w:pPr>
              <w:jc w:val="center"/>
              <w:rPr>
                <w:color w:val="000000"/>
              </w:rPr>
            </w:pPr>
            <w:r w:rsidRPr="00B2222E">
              <w:rPr>
                <w:color w:val="000000"/>
              </w:rPr>
              <w:t>(71.54</w:t>
            </w:r>
            <w:r w:rsidR="00B86989">
              <w:rPr>
                <w:color w:val="000000"/>
              </w:rPr>
              <w:t xml:space="preserve"> / 50.40</w:t>
            </w:r>
            <w:r w:rsidRPr="00B2222E">
              <w:rPr>
                <w:color w:val="000000"/>
              </w:rPr>
              <w:t>)</w:t>
            </w:r>
          </w:p>
          <w:p w14:paraId="609EC25F" w14:textId="37F152BD" w:rsidR="00D40694" w:rsidRPr="00B2222E" w:rsidRDefault="00D40694" w:rsidP="00D12140">
            <w:pPr>
              <w:jc w:val="center"/>
              <w:rPr>
                <w:lang w:bidi="he-IL"/>
              </w:rPr>
            </w:pPr>
          </w:p>
        </w:tc>
        <w:tc>
          <w:tcPr>
            <w:tcW w:w="1870" w:type="dxa"/>
            <w:tcBorders>
              <w:top w:val="single" w:sz="4" w:space="0" w:color="auto"/>
              <w:right w:val="single" w:sz="4" w:space="0" w:color="auto"/>
            </w:tcBorders>
            <w:shd w:val="clear" w:color="auto" w:fill="auto"/>
            <w:vAlign w:val="center"/>
          </w:tcPr>
          <w:p w14:paraId="4593AB06" w14:textId="461DA177" w:rsidR="00D55D4B" w:rsidRPr="00B2222E" w:rsidRDefault="00D55D4B" w:rsidP="00D12140">
            <w:pPr>
              <w:jc w:val="center"/>
              <w:rPr>
                <w:color w:val="000000"/>
              </w:rPr>
            </w:pPr>
            <w:r w:rsidRPr="00B2222E">
              <w:rPr>
                <w:color w:val="000000"/>
              </w:rPr>
              <w:t>27</w:t>
            </w:r>
            <w:r w:rsidR="004D682B">
              <w:rPr>
                <w:color w:val="000000"/>
              </w:rPr>
              <w:t xml:space="preserve"> / 36</w:t>
            </w:r>
          </w:p>
          <w:p w14:paraId="5758E0C1" w14:textId="12BB7578" w:rsidR="00D55D4B" w:rsidRDefault="00D55D4B" w:rsidP="00D12140">
            <w:pPr>
              <w:jc w:val="center"/>
              <w:rPr>
                <w:color w:val="000000"/>
              </w:rPr>
            </w:pPr>
            <w:r w:rsidRPr="00B2222E">
              <w:rPr>
                <w:color w:val="000000"/>
              </w:rPr>
              <w:t>(51.46</w:t>
            </w:r>
            <w:r w:rsidR="00B86989">
              <w:rPr>
                <w:color w:val="000000"/>
              </w:rPr>
              <w:t xml:space="preserve"> / 60.60</w:t>
            </w:r>
            <w:r w:rsidRPr="00B2222E">
              <w:rPr>
                <w:color w:val="000000"/>
              </w:rPr>
              <w:t>)</w:t>
            </w:r>
          </w:p>
          <w:p w14:paraId="4D14F054" w14:textId="5667634A" w:rsidR="00D40694" w:rsidRPr="00B2222E" w:rsidRDefault="00D40694" w:rsidP="00D12140">
            <w:pPr>
              <w:jc w:val="center"/>
              <w:rPr>
                <w:lang w:bidi="he-IL"/>
              </w:rPr>
            </w:pPr>
          </w:p>
        </w:tc>
        <w:tc>
          <w:tcPr>
            <w:tcW w:w="1870" w:type="dxa"/>
            <w:tcBorders>
              <w:top w:val="single" w:sz="4" w:space="0" w:color="auto"/>
              <w:left w:val="single" w:sz="4" w:space="0" w:color="auto"/>
            </w:tcBorders>
            <w:shd w:val="clear" w:color="auto" w:fill="auto"/>
            <w:vAlign w:val="center"/>
          </w:tcPr>
          <w:p w14:paraId="10E1EE1C" w14:textId="7B10ECAC" w:rsidR="004D682B" w:rsidRDefault="00D55D4B" w:rsidP="004D682B">
            <w:pPr>
              <w:jc w:val="center"/>
              <w:rPr>
                <w:color w:val="000000"/>
              </w:rPr>
            </w:pPr>
            <w:r w:rsidRPr="00B2222E">
              <w:rPr>
                <w:color w:val="000000"/>
              </w:rPr>
              <w:t>123</w:t>
            </w:r>
            <w:r w:rsidR="004D682B">
              <w:rPr>
                <w:color w:val="000000"/>
              </w:rPr>
              <w:t xml:space="preserve"> / 111</w:t>
            </w:r>
          </w:p>
          <w:p w14:paraId="3754969D" w14:textId="76B4275A" w:rsidR="00D40694" w:rsidRPr="00B2222E" w:rsidRDefault="00D40694" w:rsidP="00D12140">
            <w:pPr>
              <w:jc w:val="center"/>
              <w:rPr>
                <w:lang w:bidi="he-IL"/>
              </w:rPr>
            </w:pPr>
          </w:p>
        </w:tc>
      </w:tr>
      <w:tr w:rsidR="00D55D4B" w:rsidRPr="00B2222E" w14:paraId="2731D34F" w14:textId="77777777" w:rsidTr="00D12140">
        <w:tc>
          <w:tcPr>
            <w:tcW w:w="1870" w:type="dxa"/>
            <w:vMerge/>
            <w:tcBorders>
              <w:bottom w:val="single" w:sz="4" w:space="0" w:color="auto"/>
            </w:tcBorders>
            <w:vAlign w:val="center"/>
          </w:tcPr>
          <w:p w14:paraId="2CCCDD8A" w14:textId="77777777" w:rsidR="00D55D4B" w:rsidRPr="00B2222E" w:rsidRDefault="00D55D4B" w:rsidP="00D12140">
            <w:pPr>
              <w:jc w:val="center"/>
              <w:rPr>
                <w:lang w:bidi="he-IL"/>
              </w:rPr>
            </w:pPr>
          </w:p>
        </w:tc>
        <w:tc>
          <w:tcPr>
            <w:tcW w:w="1870" w:type="dxa"/>
            <w:tcBorders>
              <w:bottom w:val="single" w:sz="4" w:space="0" w:color="auto"/>
              <w:right w:val="single" w:sz="4" w:space="0" w:color="auto"/>
            </w:tcBorders>
            <w:vAlign w:val="center"/>
          </w:tcPr>
          <w:p w14:paraId="4A5BBB04" w14:textId="77777777" w:rsidR="00D55D4B" w:rsidRPr="00B2222E" w:rsidRDefault="00D55D4B" w:rsidP="00D12140">
            <w:pPr>
              <w:jc w:val="center"/>
              <w:rPr>
                <w:lang w:bidi="he-IL"/>
              </w:rPr>
            </w:pPr>
            <w:r w:rsidRPr="00B2222E">
              <w:rPr>
                <w:lang w:bidi="he-IL"/>
              </w:rPr>
              <w:t>1</w:t>
            </w:r>
          </w:p>
        </w:tc>
        <w:tc>
          <w:tcPr>
            <w:tcW w:w="1870" w:type="dxa"/>
            <w:tcBorders>
              <w:left w:val="single" w:sz="4" w:space="0" w:color="auto"/>
              <w:bottom w:val="single" w:sz="4" w:space="0" w:color="auto"/>
            </w:tcBorders>
            <w:shd w:val="clear" w:color="auto" w:fill="auto"/>
            <w:vAlign w:val="center"/>
          </w:tcPr>
          <w:p w14:paraId="3C227806" w14:textId="20F747AB" w:rsidR="00D55D4B" w:rsidRPr="00B2222E" w:rsidRDefault="00D55D4B" w:rsidP="00D12140">
            <w:pPr>
              <w:jc w:val="center"/>
              <w:rPr>
                <w:color w:val="000000"/>
              </w:rPr>
            </w:pPr>
            <w:r w:rsidRPr="00B2222E">
              <w:rPr>
                <w:color w:val="000000"/>
              </w:rPr>
              <w:t>18</w:t>
            </w:r>
            <w:r w:rsidR="004D682B">
              <w:rPr>
                <w:color w:val="000000"/>
              </w:rPr>
              <w:t xml:space="preserve"> / 14</w:t>
            </w:r>
          </w:p>
          <w:p w14:paraId="1163436B" w14:textId="651CDE30" w:rsidR="00D55D4B" w:rsidRPr="00B2222E" w:rsidRDefault="00D55D4B" w:rsidP="00D12140">
            <w:pPr>
              <w:jc w:val="center"/>
              <w:rPr>
                <w:lang w:bidi="he-IL"/>
              </w:rPr>
            </w:pPr>
            <w:r w:rsidRPr="00B2222E">
              <w:rPr>
                <w:color w:val="000000"/>
              </w:rPr>
              <w:t>(42.46</w:t>
            </w:r>
            <w:r w:rsidR="00B86989">
              <w:rPr>
                <w:color w:val="000000"/>
              </w:rPr>
              <w:t xml:space="preserve"> / 38.60</w:t>
            </w:r>
            <w:r w:rsidRPr="00B2222E">
              <w:rPr>
                <w:color w:val="000000"/>
              </w:rPr>
              <w:t>)</w:t>
            </w:r>
          </w:p>
        </w:tc>
        <w:tc>
          <w:tcPr>
            <w:tcW w:w="1870" w:type="dxa"/>
            <w:tcBorders>
              <w:bottom w:val="single" w:sz="4" w:space="0" w:color="auto"/>
              <w:right w:val="single" w:sz="4" w:space="0" w:color="auto"/>
            </w:tcBorders>
            <w:shd w:val="clear" w:color="auto" w:fill="auto"/>
            <w:vAlign w:val="center"/>
          </w:tcPr>
          <w:p w14:paraId="281E0D0E" w14:textId="0C83F98E" w:rsidR="00D55D4B" w:rsidRPr="00B2222E" w:rsidRDefault="00D55D4B" w:rsidP="00D12140">
            <w:pPr>
              <w:jc w:val="center"/>
              <w:rPr>
                <w:color w:val="000000"/>
              </w:rPr>
            </w:pPr>
            <w:r w:rsidRPr="00B2222E">
              <w:rPr>
                <w:color w:val="000000"/>
              </w:rPr>
              <w:t>55</w:t>
            </w:r>
            <w:r w:rsidR="004D682B">
              <w:rPr>
                <w:color w:val="000000"/>
              </w:rPr>
              <w:t xml:space="preserve"> /</w:t>
            </w:r>
            <w:r w:rsidR="00AA343B">
              <w:rPr>
                <w:color w:val="000000"/>
              </w:rPr>
              <w:t xml:space="preserve"> 71</w:t>
            </w:r>
          </w:p>
          <w:p w14:paraId="23E799DF" w14:textId="4099D8B5" w:rsidR="00D55D4B" w:rsidRPr="00B2222E" w:rsidRDefault="00D55D4B" w:rsidP="00D12140">
            <w:pPr>
              <w:jc w:val="center"/>
              <w:rPr>
                <w:lang w:bidi="he-IL"/>
              </w:rPr>
            </w:pPr>
            <w:r w:rsidRPr="00B2222E">
              <w:rPr>
                <w:color w:val="000000"/>
              </w:rPr>
              <w:t>(30.54</w:t>
            </w:r>
            <w:r w:rsidR="00B86989">
              <w:rPr>
                <w:color w:val="000000"/>
              </w:rPr>
              <w:t xml:space="preserve"> / </w:t>
            </w:r>
            <w:r w:rsidR="00932C0B">
              <w:rPr>
                <w:color w:val="000000"/>
              </w:rPr>
              <w:t>46.40</w:t>
            </w:r>
            <w:r w:rsidRPr="00B2222E">
              <w:rPr>
                <w:color w:val="000000"/>
              </w:rPr>
              <w:t>)</w:t>
            </w:r>
          </w:p>
        </w:tc>
        <w:tc>
          <w:tcPr>
            <w:tcW w:w="1870" w:type="dxa"/>
            <w:tcBorders>
              <w:left w:val="single" w:sz="4" w:space="0" w:color="auto"/>
              <w:bottom w:val="single" w:sz="4" w:space="0" w:color="auto"/>
            </w:tcBorders>
            <w:shd w:val="clear" w:color="auto" w:fill="auto"/>
            <w:vAlign w:val="center"/>
          </w:tcPr>
          <w:p w14:paraId="0706B3F1" w14:textId="703A2791" w:rsidR="00D55D4B" w:rsidRPr="00B2222E" w:rsidRDefault="00D55D4B" w:rsidP="00D12140">
            <w:pPr>
              <w:jc w:val="center"/>
              <w:rPr>
                <w:lang w:bidi="he-IL"/>
              </w:rPr>
            </w:pPr>
            <w:r w:rsidRPr="00B2222E">
              <w:rPr>
                <w:color w:val="000000"/>
              </w:rPr>
              <w:t>73</w:t>
            </w:r>
            <w:r w:rsidR="00AA343B">
              <w:rPr>
                <w:color w:val="000000"/>
              </w:rPr>
              <w:t xml:space="preserve"> / 85</w:t>
            </w:r>
          </w:p>
        </w:tc>
      </w:tr>
      <w:tr w:rsidR="00D55D4B" w:rsidRPr="00B2222E" w14:paraId="04BE8734" w14:textId="77777777" w:rsidTr="00D12140">
        <w:tc>
          <w:tcPr>
            <w:tcW w:w="1870" w:type="dxa"/>
            <w:tcBorders>
              <w:top w:val="single" w:sz="4" w:space="0" w:color="auto"/>
              <w:bottom w:val="single" w:sz="4" w:space="0" w:color="auto"/>
            </w:tcBorders>
            <w:vAlign w:val="center"/>
          </w:tcPr>
          <w:p w14:paraId="3D843E5D" w14:textId="77777777" w:rsidR="00D55D4B" w:rsidRPr="00B2222E" w:rsidRDefault="00D55D4B" w:rsidP="00D12140">
            <w:pPr>
              <w:jc w:val="center"/>
              <w:rPr>
                <w:lang w:bidi="he-IL"/>
              </w:rPr>
            </w:pPr>
          </w:p>
        </w:tc>
        <w:tc>
          <w:tcPr>
            <w:tcW w:w="1870" w:type="dxa"/>
            <w:tcBorders>
              <w:top w:val="single" w:sz="4" w:space="0" w:color="auto"/>
              <w:bottom w:val="single" w:sz="4" w:space="0" w:color="auto"/>
              <w:right w:val="single" w:sz="4" w:space="0" w:color="auto"/>
            </w:tcBorders>
            <w:vAlign w:val="center"/>
          </w:tcPr>
          <w:p w14:paraId="15594643" w14:textId="77777777" w:rsidR="00D55D4B" w:rsidRPr="00B2222E" w:rsidRDefault="00D55D4B" w:rsidP="00D12140">
            <w:pPr>
              <w:jc w:val="center"/>
              <w:rPr>
                <w:lang w:bidi="he-IL"/>
              </w:rPr>
            </w:pPr>
            <w:r w:rsidRPr="00B2222E">
              <w:rPr>
                <w:lang w:bidi="he-IL"/>
              </w:rPr>
              <w:t>Total</w:t>
            </w:r>
          </w:p>
        </w:tc>
        <w:tc>
          <w:tcPr>
            <w:tcW w:w="1870" w:type="dxa"/>
            <w:tcBorders>
              <w:top w:val="single" w:sz="4" w:space="0" w:color="auto"/>
              <w:left w:val="single" w:sz="4" w:space="0" w:color="auto"/>
              <w:bottom w:val="single" w:sz="4" w:space="0" w:color="auto"/>
            </w:tcBorders>
            <w:shd w:val="clear" w:color="auto" w:fill="auto"/>
            <w:vAlign w:val="center"/>
          </w:tcPr>
          <w:p w14:paraId="1CE92EF7" w14:textId="08CCBB93" w:rsidR="00D55D4B" w:rsidRPr="00B2222E" w:rsidRDefault="00D55D4B" w:rsidP="00D12140">
            <w:pPr>
              <w:jc w:val="center"/>
              <w:rPr>
                <w:lang w:bidi="he-IL"/>
              </w:rPr>
            </w:pPr>
            <w:r w:rsidRPr="00B2222E">
              <w:rPr>
                <w:color w:val="000000"/>
              </w:rPr>
              <w:t>114</w:t>
            </w:r>
            <w:r w:rsidR="00AA343B">
              <w:rPr>
                <w:color w:val="000000"/>
              </w:rPr>
              <w:t xml:space="preserve"> / 89</w:t>
            </w:r>
          </w:p>
        </w:tc>
        <w:tc>
          <w:tcPr>
            <w:tcW w:w="1870" w:type="dxa"/>
            <w:tcBorders>
              <w:top w:val="single" w:sz="4" w:space="0" w:color="auto"/>
              <w:bottom w:val="single" w:sz="4" w:space="0" w:color="auto"/>
              <w:right w:val="single" w:sz="4" w:space="0" w:color="auto"/>
            </w:tcBorders>
            <w:shd w:val="clear" w:color="auto" w:fill="auto"/>
            <w:vAlign w:val="center"/>
          </w:tcPr>
          <w:p w14:paraId="38BB7D2B" w14:textId="7265589C" w:rsidR="00D55D4B" w:rsidRPr="00B2222E" w:rsidRDefault="00D55D4B" w:rsidP="00D12140">
            <w:pPr>
              <w:jc w:val="center"/>
              <w:rPr>
                <w:lang w:bidi="he-IL"/>
              </w:rPr>
            </w:pPr>
            <w:r w:rsidRPr="00B2222E">
              <w:rPr>
                <w:color w:val="000000"/>
              </w:rPr>
              <w:t>82</w:t>
            </w:r>
            <w:r w:rsidR="00AA343B">
              <w:rPr>
                <w:color w:val="000000"/>
              </w:rPr>
              <w:t xml:space="preserve"> /</w:t>
            </w:r>
            <w:r w:rsidR="00B86989">
              <w:rPr>
                <w:color w:val="000000"/>
              </w:rPr>
              <w:t xml:space="preserve"> 107</w:t>
            </w:r>
          </w:p>
        </w:tc>
        <w:tc>
          <w:tcPr>
            <w:tcW w:w="1870" w:type="dxa"/>
            <w:tcBorders>
              <w:top w:val="single" w:sz="4" w:space="0" w:color="auto"/>
              <w:left w:val="single" w:sz="4" w:space="0" w:color="auto"/>
              <w:bottom w:val="single" w:sz="4" w:space="0" w:color="auto"/>
            </w:tcBorders>
            <w:shd w:val="clear" w:color="auto" w:fill="auto"/>
            <w:vAlign w:val="center"/>
          </w:tcPr>
          <w:p w14:paraId="0BBDA062" w14:textId="77777777" w:rsidR="00D55D4B" w:rsidRPr="00B2222E" w:rsidRDefault="00D55D4B" w:rsidP="00D12140">
            <w:pPr>
              <w:jc w:val="center"/>
              <w:rPr>
                <w:lang w:bidi="he-IL"/>
              </w:rPr>
            </w:pPr>
            <w:r w:rsidRPr="00B2222E">
              <w:rPr>
                <w:color w:val="000000"/>
              </w:rPr>
              <w:t>196</w:t>
            </w:r>
          </w:p>
        </w:tc>
      </w:tr>
    </w:tbl>
    <w:p w14:paraId="1B8C3643" w14:textId="77777777" w:rsidR="00164D92" w:rsidRDefault="00164D92" w:rsidP="00D55D4B">
      <w:pPr>
        <w:rPr>
          <w:lang w:bidi="he-IL"/>
        </w:rPr>
      </w:pPr>
    </w:p>
    <w:p w14:paraId="173BFB91" w14:textId="04DBBAB5" w:rsidR="00D55D4B" w:rsidRDefault="00D55D4B" w:rsidP="00D55D4B">
      <w:pPr>
        <w:rPr>
          <w:lang w:bidi="he-IL"/>
        </w:rPr>
      </w:pPr>
      <w:r w:rsidRPr="00B2222E">
        <w:rPr>
          <w:lang w:bidi="he-IL"/>
        </w:rPr>
        <w:lastRenderedPageBreak/>
        <w:t>Looking at the diagonals, we can see that the observed frequencies of words which Matthew and Luke simultaneously omit or retain from Mark are greater than the expected frequency had Matthew and Luke be statistically independent of one another.</w:t>
      </w:r>
      <w:r>
        <w:rPr>
          <w:lang w:bidi="he-IL"/>
        </w:rPr>
        <w:t xml:space="preserve"> Likewise, we can see that the off diagonals are less than the expected frequency for changes that occur only among Matthew or only among Luke.</w:t>
      </w:r>
      <w:r w:rsidRPr="00B2222E">
        <w:rPr>
          <w:lang w:bidi="he-IL"/>
        </w:rPr>
        <w:t xml:space="preserve"> </w:t>
      </w:r>
      <w:r w:rsidR="0020753C">
        <w:rPr>
          <w:lang w:bidi="he-IL"/>
        </w:rPr>
        <w:t>This suggests a positive associati</w:t>
      </w:r>
      <w:r w:rsidR="00651A0B">
        <w:rPr>
          <w:lang w:bidi="he-IL"/>
        </w:rPr>
        <w:t>on</w:t>
      </w:r>
      <w:r w:rsidR="0020753C">
        <w:rPr>
          <w:lang w:bidi="he-IL"/>
        </w:rPr>
        <w:t xml:space="preserve"> between Matthew and Luke</w:t>
      </w:r>
      <w:r w:rsidR="00651A0B">
        <w:rPr>
          <w:lang w:bidi="he-IL"/>
        </w:rPr>
        <w:t xml:space="preserve"> based on their redaction of Mark</w:t>
      </w:r>
      <w:r w:rsidR="0020753C">
        <w:rPr>
          <w:lang w:bidi="he-IL"/>
        </w:rPr>
        <w:t xml:space="preserve"> </w:t>
      </w:r>
      <w:r w:rsidR="00F85AD2">
        <w:rPr>
          <w:lang w:bidi="he-IL"/>
        </w:rPr>
        <w:t>and should inform our interpretation of the texts.</w:t>
      </w:r>
    </w:p>
    <w:p w14:paraId="1AAAE106" w14:textId="65DAAA34" w:rsidR="0091540A" w:rsidRDefault="0091540A" w:rsidP="0091540A">
      <w:pPr>
        <w:ind w:firstLine="720"/>
        <w:rPr>
          <w:lang w:bidi="he-IL"/>
        </w:rPr>
      </w:pPr>
      <w:r>
        <w:rPr>
          <w:lang w:bidi="he-IL"/>
        </w:rPr>
        <w:t xml:space="preserve">Given this information, however, it is interesting to note that the visualization of the texts does not reveal </w:t>
      </w:r>
      <w:r w:rsidR="00B747D2">
        <w:rPr>
          <w:lang w:bidi="he-IL"/>
        </w:rPr>
        <w:t>a high degree of agreement</w:t>
      </w:r>
      <w:r>
        <w:rPr>
          <w:lang w:bidi="he-IL"/>
        </w:rPr>
        <w:t xml:space="preserve"> between Matthew and Luke.</w:t>
      </w:r>
      <w:r w:rsidR="0040368A">
        <w:rPr>
          <w:rStyle w:val="FootnoteReference"/>
          <w:lang w:bidi="he-IL"/>
        </w:rPr>
        <w:footnoteReference w:id="66"/>
      </w:r>
      <w:r>
        <w:rPr>
          <w:lang w:bidi="he-IL"/>
        </w:rPr>
        <w:t xml:space="preserve"> There are only 9 words that constitute a minor-agreement in both lemma and form between Matthew and Luke, which translates to only 7% of the words in the Matthean version and 4% in the Lukan version being minor-agreements.</w:t>
      </w:r>
      <w:r w:rsidR="00E67443">
        <w:rPr>
          <w:rStyle w:val="FootnoteReference"/>
          <w:lang w:bidi="he-IL"/>
        </w:rPr>
        <w:footnoteReference w:id="67"/>
      </w:r>
      <w:r>
        <w:rPr>
          <w:lang w:bidi="he-IL"/>
        </w:rPr>
        <w:t xml:space="preserve"> </w:t>
      </w:r>
      <w:r w:rsidR="00422F94">
        <w:rPr>
          <w:lang w:bidi="he-IL"/>
        </w:rPr>
        <w:t xml:space="preserve">The largest agreement </w:t>
      </w:r>
      <w:r w:rsidR="0060744B">
        <w:rPr>
          <w:lang w:bidi="he-IL"/>
        </w:rPr>
        <w:t>is only 5 words long:</w:t>
      </w:r>
      <w:r w:rsidR="00422F94">
        <w:rPr>
          <w:lang w:bidi="he-IL"/>
        </w:rPr>
        <w:t xml:space="preserve"> </w:t>
      </w:r>
      <w:r w:rsidR="00422F94">
        <w:rPr>
          <w:lang w:val="el-GR" w:bidi="he-IL"/>
        </w:rPr>
        <w:t>α</w:t>
      </w:r>
      <w:r w:rsidR="00422F94" w:rsidRPr="004D72D2">
        <w:rPr>
          <w:lang w:bidi="he-IL"/>
        </w:rPr>
        <w:t>̓</w:t>
      </w:r>
      <w:r w:rsidR="00422F94">
        <w:rPr>
          <w:lang w:val="el-GR" w:bidi="he-IL"/>
        </w:rPr>
        <w:t>πη</w:t>
      </w:r>
      <w:r w:rsidR="00422F94" w:rsidRPr="004D72D2">
        <w:rPr>
          <w:lang w:bidi="he-IL"/>
        </w:rPr>
        <w:t>͂</w:t>
      </w:r>
      <w:r w:rsidR="00422F94">
        <w:rPr>
          <w:lang w:val="el-GR" w:bidi="he-IL"/>
        </w:rPr>
        <w:t>λθεν</w:t>
      </w:r>
      <w:r w:rsidR="00422F94" w:rsidRPr="004D72D2">
        <w:rPr>
          <w:lang w:bidi="he-IL"/>
        </w:rPr>
        <w:t xml:space="preserve"> </w:t>
      </w:r>
      <w:r w:rsidR="00422F94">
        <w:rPr>
          <w:lang w:val="el-GR" w:bidi="he-IL"/>
        </w:rPr>
        <w:t>ει</w:t>
      </w:r>
      <w:r w:rsidR="00422F94" w:rsidRPr="004D72D2">
        <w:rPr>
          <w:lang w:bidi="he-IL"/>
        </w:rPr>
        <w:t>̓</w:t>
      </w:r>
      <w:r w:rsidR="00422F94">
        <w:rPr>
          <w:lang w:val="el-GR" w:bidi="he-IL"/>
        </w:rPr>
        <w:t>ς</w:t>
      </w:r>
      <w:r w:rsidR="00422F94" w:rsidRPr="004D72D2">
        <w:rPr>
          <w:lang w:bidi="he-IL"/>
        </w:rPr>
        <w:t xml:space="preserve"> </w:t>
      </w:r>
      <w:r w:rsidR="00422F94">
        <w:rPr>
          <w:lang w:val="el-GR" w:bidi="he-IL"/>
        </w:rPr>
        <w:t>το</w:t>
      </w:r>
      <w:r w:rsidR="00422F94" w:rsidRPr="004D72D2">
        <w:rPr>
          <w:lang w:bidi="he-IL"/>
        </w:rPr>
        <w:t>̀</w:t>
      </w:r>
      <w:r w:rsidR="00422F94">
        <w:rPr>
          <w:lang w:val="el-GR" w:bidi="he-IL"/>
        </w:rPr>
        <w:t>ν</w:t>
      </w:r>
      <w:r w:rsidR="00422F94" w:rsidRPr="004D72D2">
        <w:rPr>
          <w:lang w:bidi="he-IL"/>
        </w:rPr>
        <w:t xml:space="preserve"> </w:t>
      </w:r>
      <w:r w:rsidR="00422F94">
        <w:rPr>
          <w:lang w:val="el-GR" w:bidi="he-IL"/>
        </w:rPr>
        <w:t>οι</w:t>
      </w:r>
      <w:r w:rsidR="00422F94" w:rsidRPr="004D72D2">
        <w:rPr>
          <w:lang w:bidi="he-IL"/>
        </w:rPr>
        <w:t>̓͂</w:t>
      </w:r>
      <w:r w:rsidR="00422F94">
        <w:rPr>
          <w:lang w:val="el-GR" w:bidi="he-IL"/>
        </w:rPr>
        <w:t>κον</w:t>
      </w:r>
      <w:r w:rsidR="00422F94" w:rsidRPr="004D72D2">
        <w:rPr>
          <w:lang w:bidi="he-IL"/>
        </w:rPr>
        <w:t xml:space="preserve"> </w:t>
      </w:r>
      <w:r w:rsidR="00422F94">
        <w:rPr>
          <w:lang w:val="el-GR" w:bidi="he-IL"/>
        </w:rPr>
        <w:t>αυ</w:t>
      </w:r>
      <w:r w:rsidR="00422F94" w:rsidRPr="004D72D2">
        <w:rPr>
          <w:lang w:bidi="he-IL"/>
        </w:rPr>
        <w:t>̓</w:t>
      </w:r>
      <w:r w:rsidR="00422F94">
        <w:rPr>
          <w:lang w:val="el-GR" w:bidi="he-IL"/>
        </w:rPr>
        <w:t>του</w:t>
      </w:r>
      <w:r w:rsidR="00422F94" w:rsidRPr="004D72D2">
        <w:rPr>
          <w:lang w:bidi="he-IL"/>
        </w:rPr>
        <w:t>͂</w:t>
      </w:r>
      <w:r w:rsidR="00422F94" w:rsidRPr="00E11B68">
        <w:rPr>
          <w:lang w:bidi="he-IL"/>
        </w:rPr>
        <w:t xml:space="preserve"> </w:t>
      </w:r>
      <w:r w:rsidR="00422F94">
        <w:rPr>
          <w:lang w:bidi="he-IL"/>
        </w:rPr>
        <w:t xml:space="preserve">(he returned to his home [Mt 9:7; Lk 5:25]). At first, it would seem that Matthew and Luke include this phrase to make the story consistent with Jesus’ prior command: </w:t>
      </w:r>
      <w:r w:rsidR="00422F94">
        <w:rPr>
          <w:lang w:val="el-GR" w:bidi="he-IL"/>
        </w:rPr>
        <w:t>υ</w:t>
      </w:r>
      <w:r w:rsidR="00422F94" w:rsidRPr="002C5026">
        <w:rPr>
          <w:lang w:bidi="he-IL"/>
        </w:rPr>
        <w:t>̔́</w:t>
      </w:r>
      <w:r w:rsidR="00422F94">
        <w:rPr>
          <w:lang w:val="el-GR" w:bidi="he-IL"/>
        </w:rPr>
        <w:t>παγε</w:t>
      </w:r>
      <w:r w:rsidR="00422F94">
        <w:rPr>
          <w:lang w:bidi="he-IL"/>
        </w:rPr>
        <w:t>/</w:t>
      </w:r>
      <w:r w:rsidR="00422F94">
        <w:rPr>
          <w:lang w:val="el-GR" w:bidi="he-IL"/>
        </w:rPr>
        <w:t>πορευ</w:t>
      </w:r>
      <w:r w:rsidR="00422F94" w:rsidRPr="002C5026">
        <w:rPr>
          <w:lang w:bidi="he-IL"/>
        </w:rPr>
        <w:t>́</w:t>
      </w:r>
      <w:r w:rsidR="00422F94">
        <w:rPr>
          <w:lang w:val="el-GR" w:bidi="he-IL"/>
        </w:rPr>
        <w:t>ου</w:t>
      </w:r>
      <w:r w:rsidR="00422F94">
        <w:rPr>
          <w:lang w:bidi="he-IL"/>
        </w:rPr>
        <w:t xml:space="preserve"> </w:t>
      </w:r>
      <w:r w:rsidR="00422F94">
        <w:rPr>
          <w:lang w:val="el-GR" w:bidi="he-IL"/>
        </w:rPr>
        <w:t>ει</w:t>
      </w:r>
      <w:r w:rsidR="00422F94" w:rsidRPr="001F7B94">
        <w:rPr>
          <w:lang w:bidi="he-IL"/>
        </w:rPr>
        <w:t>̓</w:t>
      </w:r>
      <w:r w:rsidR="00422F94">
        <w:rPr>
          <w:lang w:val="el-GR" w:bidi="he-IL"/>
        </w:rPr>
        <w:t>ς</w:t>
      </w:r>
      <w:r w:rsidR="00422F94" w:rsidRPr="001F7B94">
        <w:rPr>
          <w:lang w:bidi="he-IL"/>
        </w:rPr>
        <w:t xml:space="preserve"> </w:t>
      </w:r>
      <w:r w:rsidR="00422F94">
        <w:rPr>
          <w:lang w:val="el-GR" w:bidi="he-IL"/>
        </w:rPr>
        <w:t>το</w:t>
      </w:r>
      <w:r w:rsidR="00422F94" w:rsidRPr="001F7B94">
        <w:rPr>
          <w:lang w:bidi="he-IL"/>
        </w:rPr>
        <w:t>̀</w:t>
      </w:r>
      <w:r w:rsidR="00422F94">
        <w:rPr>
          <w:lang w:val="el-GR" w:bidi="he-IL"/>
        </w:rPr>
        <w:t>ν</w:t>
      </w:r>
      <w:r w:rsidR="00422F94" w:rsidRPr="001F7B94">
        <w:rPr>
          <w:lang w:bidi="he-IL"/>
        </w:rPr>
        <w:t xml:space="preserve"> </w:t>
      </w:r>
      <w:r w:rsidR="00422F94">
        <w:rPr>
          <w:lang w:val="el-GR" w:bidi="he-IL"/>
        </w:rPr>
        <w:t>οι</w:t>
      </w:r>
      <w:r w:rsidR="00422F94" w:rsidRPr="001F7B94">
        <w:rPr>
          <w:lang w:bidi="he-IL"/>
        </w:rPr>
        <w:t>̓</w:t>
      </w:r>
      <w:r w:rsidR="00422F94">
        <w:rPr>
          <w:lang w:val="el-GR" w:bidi="he-IL"/>
        </w:rPr>
        <w:t>κο</w:t>
      </w:r>
      <w:r w:rsidR="00422F94" w:rsidRPr="001F7B94">
        <w:rPr>
          <w:lang w:bidi="he-IL"/>
        </w:rPr>
        <w:t>́</w:t>
      </w:r>
      <w:r w:rsidR="00422F94">
        <w:rPr>
          <w:lang w:val="el-GR" w:bidi="he-IL"/>
        </w:rPr>
        <w:t>ν</w:t>
      </w:r>
      <w:r w:rsidR="00422F94" w:rsidRPr="001F7B94">
        <w:rPr>
          <w:lang w:bidi="he-IL"/>
        </w:rPr>
        <w:t xml:space="preserve"> </w:t>
      </w:r>
      <w:r w:rsidR="00422F94">
        <w:rPr>
          <w:lang w:val="el-GR" w:bidi="he-IL"/>
        </w:rPr>
        <w:t>σου</w:t>
      </w:r>
      <w:r w:rsidR="00422F94">
        <w:rPr>
          <w:lang w:bidi="he-IL"/>
        </w:rPr>
        <w:t xml:space="preserve"> (Get up/go to your home [Mt 9:6; Lk 5:24; cf. Mk 2:11]). However, Matthew and Luke are not consistent in maintaining a similar type of cohesion throughout the text. For example, while both Matthew and Luke omit the phrase </w:t>
      </w:r>
      <w:r w:rsidR="00422F94">
        <w:rPr>
          <w:lang w:val="el-GR" w:bidi="he-IL"/>
        </w:rPr>
        <w:t>και</w:t>
      </w:r>
      <w:r w:rsidR="00422F94" w:rsidRPr="00B03BB6">
        <w:rPr>
          <w:lang w:bidi="he-IL"/>
        </w:rPr>
        <w:t xml:space="preserve">̀ </w:t>
      </w:r>
      <w:r w:rsidR="00422F94">
        <w:rPr>
          <w:lang w:val="el-GR" w:bidi="he-IL"/>
        </w:rPr>
        <w:t>α</w:t>
      </w:r>
      <w:r w:rsidR="00422F94" w:rsidRPr="00B03BB6">
        <w:rPr>
          <w:lang w:bidi="he-IL"/>
        </w:rPr>
        <w:t>̓͂</w:t>
      </w:r>
      <w:r w:rsidR="00422F94">
        <w:rPr>
          <w:lang w:val="el-GR" w:bidi="he-IL"/>
        </w:rPr>
        <w:t>ρον</w:t>
      </w:r>
      <w:r w:rsidR="00422F94" w:rsidRPr="00B03BB6">
        <w:rPr>
          <w:lang w:bidi="he-IL"/>
        </w:rPr>
        <w:t xml:space="preserve"> </w:t>
      </w:r>
      <w:r w:rsidR="00422F94">
        <w:rPr>
          <w:lang w:val="el-GR" w:bidi="he-IL"/>
        </w:rPr>
        <w:t>το</w:t>
      </w:r>
      <w:r w:rsidR="00422F94" w:rsidRPr="00B03BB6">
        <w:rPr>
          <w:lang w:bidi="he-IL"/>
        </w:rPr>
        <w:t>̀</w:t>
      </w:r>
      <w:r w:rsidR="00422F94">
        <w:rPr>
          <w:lang w:val="el-GR" w:bidi="he-IL"/>
        </w:rPr>
        <w:t>ν</w:t>
      </w:r>
      <w:r w:rsidR="00422F94" w:rsidRPr="00B03BB6">
        <w:rPr>
          <w:lang w:bidi="he-IL"/>
        </w:rPr>
        <w:t xml:space="preserve"> </w:t>
      </w:r>
      <w:r w:rsidR="00422F94">
        <w:rPr>
          <w:lang w:val="el-GR" w:bidi="he-IL"/>
        </w:rPr>
        <w:t>κρα</w:t>
      </w:r>
      <w:r w:rsidR="00422F94" w:rsidRPr="00B03BB6">
        <w:rPr>
          <w:lang w:bidi="he-IL"/>
        </w:rPr>
        <w:t>́</w:t>
      </w:r>
      <w:r w:rsidR="00422F94">
        <w:rPr>
          <w:lang w:val="el-GR" w:bidi="he-IL"/>
        </w:rPr>
        <w:t>βαττο</w:t>
      </w:r>
      <w:r w:rsidR="00422F94" w:rsidRPr="00B03BB6">
        <w:rPr>
          <w:lang w:bidi="he-IL"/>
        </w:rPr>
        <w:t>́</w:t>
      </w:r>
      <w:r w:rsidR="00422F94">
        <w:rPr>
          <w:lang w:val="el-GR" w:bidi="he-IL"/>
        </w:rPr>
        <w:t>ν</w:t>
      </w:r>
      <w:r w:rsidR="00422F94" w:rsidRPr="00B03BB6">
        <w:rPr>
          <w:lang w:bidi="he-IL"/>
        </w:rPr>
        <w:t xml:space="preserve"> </w:t>
      </w:r>
      <w:r w:rsidR="00422F94">
        <w:rPr>
          <w:lang w:val="el-GR" w:bidi="he-IL"/>
        </w:rPr>
        <w:t>σου</w:t>
      </w:r>
      <w:r w:rsidR="00422F94" w:rsidRPr="00B03BB6">
        <w:rPr>
          <w:lang w:bidi="he-IL"/>
        </w:rPr>
        <w:t xml:space="preserve"> </w:t>
      </w:r>
      <w:r w:rsidR="00422F94">
        <w:rPr>
          <w:lang w:bidi="he-IL"/>
        </w:rPr>
        <w:t>(and take up your mat) found in Mark 2:9</w:t>
      </w:r>
      <w:r w:rsidR="00117F08">
        <w:rPr>
          <w:lang w:bidi="he-IL"/>
        </w:rPr>
        <w:t xml:space="preserve"> (cf. 2:11)</w:t>
      </w:r>
      <w:r w:rsidR="00422F94">
        <w:rPr>
          <w:lang w:bidi="he-IL"/>
        </w:rPr>
        <w:t>, which deals with what would be easier to say to the paralytic, Luke</w:t>
      </w:r>
      <w:r w:rsidR="001B5AA4">
        <w:rPr>
          <w:lang w:bidi="he-IL"/>
        </w:rPr>
        <w:t xml:space="preserve">, for his part, </w:t>
      </w:r>
      <w:r w:rsidR="00422F94">
        <w:rPr>
          <w:lang w:bidi="he-IL"/>
        </w:rPr>
        <w:t>retain</w:t>
      </w:r>
      <w:r w:rsidR="001B5AA4">
        <w:rPr>
          <w:lang w:bidi="he-IL"/>
        </w:rPr>
        <w:t>s</w:t>
      </w:r>
      <w:r w:rsidR="00422F94">
        <w:rPr>
          <w:lang w:bidi="he-IL"/>
        </w:rPr>
        <w:t xml:space="preserve"> the action of the paralytic taking up the thing on which he laid </w:t>
      </w:r>
      <w:r w:rsidR="00FA4D26">
        <w:rPr>
          <w:lang w:bidi="he-IL"/>
        </w:rPr>
        <w:t>(</w:t>
      </w:r>
      <w:r w:rsidR="00FA4D26">
        <w:rPr>
          <w:lang w:val="el-GR" w:bidi="he-IL"/>
        </w:rPr>
        <w:t>α</w:t>
      </w:r>
      <w:r w:rsidR="00FA4D26" w:rsidRPr="00FA4D26">
        <w:rPr>
          <w:lang w:bidi="he-IL"/>
        </w:rPr>
        <w:t>̓́</w:t>
      </w:r>
      <w:r w:rsidR="00FA4D26">
        <w:rPr>
          <w:lang w:val="el-GR" w:bidi="he-IL"/>
        </w:rPr>
        <w:t>ρας</w:t>
      </w:r>
      <w:r w:rsidR="0044563C" w:rsidRPr="0044563C">
        <w:rPr>
          <w:lang w:bidi="he-IL"/>
        </w:rPr>
        <w:t xml:space="preserve"> </w:t>
      </w:r>
      <w:r w:rsidR="0044563C">
        <w:rPr>
          <w:lang w:val="el-GR" w:bidi="he-IL"/>
        </w:rPr>
        <w:t>ε</w:t>
      </w:r>
      <w:r w:rsidR="0044563C" w:rsidRPr="0044563C">
        <w:rPr>
          <w:lang w:bidi="he-IL"/>
        </w:rPr>
        <w:t>̓</w:t>
      </w:r>
      <w:r w:rsidR="0044563C">
        <w:rPr>
          <w:lang w:val="el-GR" w:bidi="he-IL"/>
        </w:rPr>
        <w:t>φ</w:t>
      </w:r>
      <w:r w:rsidR="0044563C" w:rsidRPr="0044563C">
        <w:rPr>
          <w:lang w:bidi="he-IL"/>
        </w:rPr>
        <w:t xml:space="preserve">ʼ </w:t>
      </w:r>
      <w:r w:rsidR="0044563C">
        <w:rPr>
          <w:lang w:val="el-GR" w:bidi="he-IL"/>
        </w:rPr>
        <w:t>ο</w:t>
      </w:r>
      <w:r w:rsidR="0044563C" w:rsidRPr="0044563C">
        <w:rPr>
          <w:lang w:bidi="he-IL"/>
        </w:rPr>
        <w:t xml:space="preserve">̔́ </w:t>
      </w:r>
      <w:r w:rsidR="0044563C">
        <w:rPr>
          <w:lang w:val="el-GR" w:bidi="he-IL"/>
        </w:rPr>
        <w:t>κατε</w:t>
      </w:r>
      <w:r w:rsidR="0044563C" w:rsidRPr="0044563C">
        <w:rPr>
          <w:lang w:bidi="he-IL"/>
        </w:rPr>
        <w:t>́</w:t>
      </w:r>
      <w:r w:rsidR="0044563C">
        <w:rPr>
          <w:lang w:val="el-GR" w:bidi="he-IL"/>
        </w:rPr>
        <w:t>κειτο</w:t>
      </w:r>
      <w:r w:rsidR="0044563C">
        <w:rPr>
          <w:lang w:bidi="he-IL"/>
        </w:rPr>
        <w:t xml:space="preserve"> [Lk 5:25])</w:t>
      </w:r>
      <w:r w:rsidR="00FA4D26">
        <w:rPr>
          <w:lang w:bidi="he-IL"/>
        </w:rPr>
        <w:t xml:space="preserve"> </w:t>
      </w:r>
      <w:r w:rsidR="00422F94">
        <w:rPr>
          <w:lang w:bidi="he-IL"/>
        </w:rPr>
        <w:t xml:space="preserve">but Matthew does not. There is thus an inconsistency in how </w:t>
      </w:r>
      <w:r w:rsidR="00207885">
        <w:rPr>
          <w:lang w:bidi="he-IL"/>
        </w:rPr>
        <w:t xml:space="preserve">Matthew and </w:t>
      </w:r>
      <w:r w:rsidR="00422F94">
        <w:rPr>
          <w:lang w:bidi="he-IL"/>
        </w:rPr>
        <w:t xml:space="preserve">Luke seem to redact Mark; </w:t>
      </w:r>
      <w:r w:rsidR="005D26A6">
        <w:rPr>
          <w:lang w:bidi="he-IL"/>
        </w:rPr>
        <w:t>Luke</w:t>
      </w:r>
      <w:r w:rsidR="00422F94">
        <w:rPr>
          <w:lang w:bidi="he-IL"/>
        </w:rPr>
        <w:t xml:space="preserve"> sometimes omits things from Mark that Matthew also omits, but at the same time </w:t>
      </w:r>
      <w:r w:rsidR="005D26A6">
        <w:rPr>
          <w:lang w:bidi="he-IL"/>
        </w:rPr>
        <w:t xml:space="preserve">Luke </w:t>
      </w:r>
      <w:r w:rsidR="00422F94">
        <w:rPr>
          <w:lang w:bidi="he-IL"/>
        </w:rPr>
        <w:t xml:space="preserve">retains material from Mark that Matthew omits. </w:t>
      </w:r>
      <w:r>
        <w:rPr>
          <w:lang w:bidi="he-IL"/>
        </w:rPr>
        <w:lastRenderedPageBreak/>
        <w:t xml:space="preserve">This </w:t>
      </w:r>
      <w:r w:rsidR="00A519AE">
        <w:rPr>
          <w:lang w:bidi="he-IL"/>
        </w:rPr>
        <w:t xml:space="preserve">observation and the </w:t>
      </w:r>
      <w:r>
        <w:rPr>
          <w:lang w:bidi="he-IL"/>
        </w:rPr>
        <w:t>tally</w:t>
      </w:r>
      <w:r w:rsidR="00A519AE">
        <w:rPr>
          <w:lang w:bidi="he-IL"/>
        </w:rPr>
        <w:t xml:space="preserve"> </w:t>
      </w:r>
      <w:r w:rsidR="00E52E54">
        <w:rPr>
          <w:lang w:bidi="he-IL"/>
        </w:rPr>
        <w:t>of</w:t>
      </w:r>
      <w:r w:rsidR="00A519AE">
        <w:rPr>
          <w:lang w:bidi="he-IL"/>
        </w:rPr>
        <w:t xml:space="preserve"> agreements</w:t>
      </w:r>
      <w:r>
        <w:rPr>
          <w:lang w:bidi="he-IL"/>
        </w:rPr>
        <w:t xml:space="preserve"> alone would perhaps be enough to justify the conclusion that such agreement </w:t>
      </w:r>
      <w:r w:rsidR="002653F1">
        <w:rPr>
          <w:lang w:bidi="he-IL"/>
        </w:rPr>
        <w:t>between Matthew and Luke is coincidental</w:t>
      </w:r>
      <w:r>
        <w:rPr>
          <w:lang w:bidi="he-IL"/>
        </w:rPr>
        <w:t>.</w:t>
      </w:r>
      <w:r w:rsidR="00E552BA">
        <w:rPr>
          <w:rStyle w:val="FootnoteReference"/>
          <w:lang w:bidi="he-IL"/>
        </w:rPr>
        <w:footnoteReference w:id="68"/>
      </w:r>
      <w:r>
        <w:rPr>
          <w:lang w:bidi="he-IL"/>
        </w:rPr>
        <w:t xml:space="preserve"> However, as the contingency table has </w:t>
      </w:r>
      <w:r w:rsidR="00DC3C59">
        <w:rPr>
          <w:lang w:bidi="he-IL"/>
        </w:rPr>
        <w:t xml:space="preserve">already </w:t>
      </w:r>
      <w:r>
        <w:rPr>
          <w:lang w:bidi="he-IL"/>
        </w:rPr>
        <w:t>indicated there is a possible positive association between Matthew and Luke based on their common redaction of Mark without recourse to the minor-agreements. The use of a contingency table thus allows us to justify a reading of the text where Matthew and Luke are in conversation with one another</w:t>
      </w:r>
      <w:r w:rsidR="00DC3C59">
        <w:rPr>
          <w:lang w:bidi="he-IL"/>
        </w:rPr>
        <w:t xml:space="preserve"> even though the appearance of agreement </w:t>
      </w:r>
      <w:r w:rsidR="00EA0387">
        <w:rPr>
          <w:lang w:bidi="he-IL"/>
        </w:rPr>
        <w:t>between Matthew and Luke is relatively low</w:t>
      </w:r>
      <w:r>
        <w:rPr>
          <w:lang w:bidi="he-IL"/>
        </w:rPr>
        <w:t xml:space="preserve">. </w:t>
      </w:r>
      <w:r w:rsidR="00722E71">
        <w:rPr>
          <w:lang w:bidi="he-IL"/>
        </w:rPr>
        <w:t xml:space="preserve">In other words, </w:t>
      </w:r>
      <w:r>
        <w:rPr>
          <w:lang w:bidi="he-IL"/>
        </w:rPr>
        <w:t xml:space="preserve">the contingency table </w:t>
      </w:r>
      <w:r w:rsidR="00AA55A0">
        <w:rPr>
          <w:lang w:bidi="he-IL"/>
        </w:rPr>
        <w:t xml:space="preserve">provides an analysis of the observable data </w:t>
      </w:r>
      <w:r w:rsidR="00475BF6">
        <w:rPr>
          <w:lang w:bidi="he-IL"/>
        </w:rPr>
        <w:t>that would otherwise have been dismissed as coincidental.</w:t>
      </w:r>
    </w:p>
    <w:p w14:paraId="12CA8C5E" w14:textId="474573C4" w:rsidR="008962B6" w:rsidRDefault="000F126A" w:rsidP="0091540A">
      <w:pPr>
        <w:ind w:firstLine="720"/>
        <w:rPr>
          <w:lang w:bidi="he-IL"/>
        </w:rPr>
      </w:pPr>
      <w:r>
        <w:rPr>
          <w:lang w:bidi="he-IL"/>
        </w:rPr>
        <w:t xml:space="preserve">Because we can postulate a </w:t>
      </w:r>
      <w:r w:rsidR="00392CA4">
        <w:rPr>
          <w:lang w:bidi="he-IL"/>
        </w:rPr>
        <w:t>literary</w:t>
      </w:r>
      <w:r>
        <w:rPr>
          <w:lang w:bidi="he-IL"/>
        </w:rPr>
        <w:t xml:space="preserve"> connection between Matthew and Luke </w:t>
      </w:r>
      <w:r w:rsidR="006E4070">
        <w:rPr>
          <w:lang w:bidi="he-IL"/>
        </w:rPr>
        <w:t xml:space="preserve">in this pericope </w:t>
      </w:r>
      <w:r>
        <w:rPr>
          <w:lang w:bidi="he-IL"/>
        </w:rPr>
        <w:t>apart from the minor-agreements</w:t>
      </w:r>
      <w:r w:rsidR="00C63DBA">
        <w:rPr>
          <w:lang w:bidi="he-IL"/>
        </w:rPr>
        <w:t xml:space="preserve"> we can set them aside </w:t>
      </w:r>
      <w:r w:rsidR="008E716A">
        <w:rPr>
          <w:lang w:bidi="he-IL"/>
        </w:rPr>
        <w:t>for the time being</w:t>
      </w:r>
      <w:r w:rsidR="00C63DBA">
        <w:rPr>
          <w:lang w:bidi="he-IL"/>
        </w:rPr>
        <w:t xml:space="preserve"> and turn our attention </w:t>
      </w:r>
      <w:r w:rsidR="008E716A">
        <w:rPr>
          <w:lang w:bidi="he-IL"/>
        </w:rPr>
        <w:t>to another feature of the texts where Matthew and Luke seem to be in conversation with one another</w:t>
      </w:r>
      <w:r w:rsidR="00477CCB">
        <w:rPr>
          <w:lang w:bidi="he-IL"/>
        </w:rPr>
        <w:t xml:space="preserve">, namely words that appear in all three synoptic accounts. </w:t>
      </w:r>
      <w:r w:rsidR="0026073F">
        <w:rPr>
          <w:lang w:bidi="he-IL"/>
        </w:rPr>
        <w:t xml:space="preserve">The visualization of the texts reveals two points </w:t>
      </w:r>
      <w:r w:rsidR="00FB262A">
        <w:rPr>
          <w:lang w:bidi="he-IL"/>
        </w:rPr>
        <w:t xml:space="preserve">that exhibit a high degree of shared material among all three authors. </w:t>
      </w:r>
      <w:r w:rsidR="00730BE9">
        <w:rPr>
          <w:lang w:bidi="he-IL"/>
        </w:rPr>
        <w:t xml:space="preserve">The first </w:t>
      </w:r>
      <w:r w:rsidR="00CB1EE6">
        <w:rPr>
          <w:lang w:bidi="he-IL"/>
        </w:rPr>
        <w:t xml:space="preserve">is Jesus’ </w:t>
      </w:r>
      <w:r w:rsidR="009E6D97">
        <w:rPr>
          <w:lang w:bidi="he-IL"/>
        </w:rPr>
        <w:t>reception of</w:t>
      </w:r>
      <w:r w:rsidR="00CB1EE6">
        <w:rPr>
          <w:lang w:bidi="he-IL"/>
        </w:rPr>
        <w:t xml:space="preserve"> those carrying the paralytic and </w:t>
      </w:r>
      <w:r w:rsidR="009E6D97">
        <w:rPr>
          <w:lang w:bidi="he-IL"/>
        </w:rPr>
        <w:t xml:space="preserve">his statement to </w:t>
      </w:r>
      <w:r w:rsidR="00CB1EE6">
        <w:rPr>
          <w:lang w:bidi="he-IL"/>
        </w:rPr>
        <w:t>the paralytic himself</w:t>
      </w:r>
      <w:r w:rsidR="00A000FE">
        <w:rPr>
          <w:lang w:bidi="he-IL"/>
        </w:rPr>
        <w:t>. Each gospel author records to some degree</w:t>
      </w:r>
      <w:r w:rsidR="004200B5">
        <w:rPr>
          <w:lang w:bidi="he-IL"/>
        </w:rPr>
        <w:t>,</w:t>
      </w:r>
      <w:r w:rsidR="00A000FE">
        <w:rPr>
          <w:lang w:bidi="he-IL"/>
        </w:rPr>
        <w:t xml:space="preserve"> </w:t>
      </w:r>
      <w:r w:rsidR="00A64FFF">
        <w:rPr>
          <w:lang w:val="el-GR" w:bidi="he-IL"/>
        </w:rPr>
        <w:t>και</w:t>
      </w:r>
      <w:r w:rsidR="00A64FFF" w:rsidRPr="00172F64">
        <w:rPr>
          <w:lang w:bidi="he-IL"/>
        </w:rPr>
        <w:t xml:space="preserve">̀ </w:t>
      </w:r>
      <w:r w:rsidR="00A64FFF">
        <w:rPr>
          <w:lang w:val="el-GR" w:bidi="he-IL"/>
        </w:rPr>
        <w:t>ι</w:t>
      </w:r>
      <w:r w:rsidR="00A64FFF" w:rsidRPr="00172F64">
        <w:rPr>
          <w:lang w:bidi="he-IL"/>
        </w:rPr>
        <w:t>̓</w:t>
      </w:r>
      <w:r w:rsidR="00A64FFF">
        <w:rPr>
          <w:lang w:val="el-GR" w:bidi="he-IL"/>
        </w:rPr>
        <w:t>δω</w:t>
      </w:r>
      <w:r w:rsidR="00A64FFF" w:rsidRPr="00172F64">
        <w:rPr>
          <w:lang w:bidi="he-IL"/>
        </w:rPr>
        <w:t>̀</w:t>
      </w:r>
      <w:r w:rsidR="00A64FFF">
        <w:rPr>
          <w:lang w:val="el-GR" w:bidi="he-IL"/>
        </w:rPr>
        <w:t>ν</w:t>
      </w:r>
      <w:r w:rsidR="00A64FFF" w:rsidRPr="00172F64">
        <w:rPr>
          <w:lang w:bidi="he-IL"/>
        </w:rPr>
        <w:t xml:space="preserve"> </w:t>
      </w:r>
      <w:r w:rsidR="00172F64">
        <w:rPr>
          <w:lang w:val="el-GR" w:bidi="he-IL"/>
        </w:rPr>
        <w:t>ο</w:t>
      </w:r>
      <w:r w:rsidR="00172F64" w:rsidRPr="00172F64">
        <w:rPr>
          <w:lang w:bidi="he-IL"/>
        </w:rPr>
        <w:t xml:space="preserve">̔ </w:t>
      </w:r>
      <w:r w:rsidR="00172F64">
        <w:rPr>
          <w:lang w:val="el-GR" w:bidi="he-IL"/>
        </w:rPr>
        <w:t>Ι</w:t>
      </w:r>
      <w:r w:rsidR="00172F64" w:rsidRPr="00172F64">
        <w:rPr>
          <w:lang w:bidi="he-IL"/>
        </w:rPr>
        <w:t>̓</w:t>
      </w:r>
      <w:r w:rsidR="00172F64">
        <w:rPr>
          <w:lang w:val="el-GR" w:bidi="he-IL"/>
        </w:rPr>
        <w:t>ησου</w:t>
      </w:r>
      <w:r w:rsidR="00172F64" w:rsidRPr="00172F64">
        <w:rPr>
          <w:lang w:bidi="he-IL"/>
        </w:rPr>
        <w:t>͂</w:t>
      </w:r>
      <w:r w:rsidR="00172F64">
        <w:rPr>
          <w:lang w:val="el-GR" w:bidi="he-IL"/>
        </w:rPr>
        <w:t>ς</w:t>
      </w:r>
      <w:r w:rsidR="00172F64" w:rsidRPr="00172F64">
        <w:rPr>
          <w:lang w:bidi="he-IL"/>
        </w:rPr>
        <w:t xml:space="preserve"> </w:t>
      </w:r>
      <w:r w:rsidR="00172F64">
        <w:rPr>
          <w:lang w:val="el-GR" w:bidi="he-IL"/>
        </w:rPr>
        <w:t>τη</w:t>
      </w:r>
      <w:r w:rsidR="00172F64" w:rsidRPr="00172F64">
        <w:rPr>
          <w:lang w:bidi="he-IL"/>
        </w:rPr>
        <w:t>̀</w:t>
      </w:r>
      <w:r w:rsidR="00172F64">
        <w:rPr>
          <w:lang w:val="el-GR" w:bidi="he-IL"/>
        </w:rPr>
        <w:t>ν</w:t>
      </w:r>
      <w:r w:rsidR="00172F64" w:rsidRPr="00172F64">
        <w:rPr>
          <w:lang w:bidi="he-IL"/>
        </w:rPr>
        <w:t xml:space="preserve"> </w:t>
      </w:r>
      <w:r w:rsidR="00172F64">
        <w:rPr>
          <w:lang w:val="el-GR" w:bidi="he-IL"/>
        </w:rPr>
        <w:t>πι</w:t>
      </w:r>
      <w:r w:rsidR="00172F64" w:rsidRPr="00172F64">
        <w:rPr>
          <w:lang w:bidi="he-IL"/>
        </w:rPr>
        <w:t>́</w:t>
      </w:r>
      <w:r w:rsidR="00172F64">
        <w:rPr>
          <w:lang w:val="el-GR" w:bidi="he-IL"/>
        </w:rPr>
        <w:t>στιν</w:t>
      </w:r>
      <w:r w:rsidR="00172F64" w:rsidRPr="00172F64">
        <w:rPr>
          <w:lang w:bidi="he-IL"/>
        </w:rPr>
        <w:t xml:space="preserve"> </w:t>
      </w:r>
      <w:r w:rsidR="00172F64">
        <w:rPr>
          <w:lang w:val="el-GR" w:bidi="he-IL"/>
        </w:rPr>
        <w:t>αυ</w:t>
      </w:r>
      <w:r w:rsidR="00172F64" w:rsidRPr="00172F64">
        <w:rPr>
          <w:lang w:bidi="he-IL"/>
        </w:rPr>
        <w:t>̓</w:t>
      </w:r>
      <w:r w:rsidR="00172F64">
        <w:rPr>
          <w:lang w:val="el-GR" w:bidi="he-IL"/>
        </w:rPr>
        <w:t>τω</w:t>
      </w:r>
      <w:r w:rsidR="00172F64" w:rsidRPr="00172F64">
        <w:rPr>
          <w:lang w:bidi="he-IL"/>
        </w:rPr>
        <w:t>͂</w:t>
      </w:r>
      <w:r w:rsidR="00172F64">
        <w:rPr>
          <w:lang w:val="el-GR" w:bidi="he-IL"/>
        </w:rPr>
        <w:t>ν</w:t>
      </w:r>
      <w:r w:rsidR="001C4D21" w:rsidRPr="001C4D21">
        <w:rPr>
          <w:lang w:bidi="he-IL"/>
        </w:rPr>
        <w:t xml:space="preserve"> </w:t>
      </w:r>
      <w:r w:rsidR="001C4D21">
        <w:rPr>
          <w:lang w:bidi="he-IL"/>
        </w:rPr>
        <w:t>(</w:t>
      </w:r>
      <w:r w:rsidR="00B71699">
        <w:rPr>
          <w:lang w:bidi="he-IL"/>
        </w:rPr>
        <w:t>and when Jesus saw their faith</w:t>
      </w:r>
      <w:r w:rsidR="006E1D99">
        <w:rPr>
          <w:lang w:bidi="he-IL"/>
        </w:rPr>
        <w:t xml:space="preserve"> [Mt 9:2; Mk 2:5; cf. Lk</w:t>
      </w:r>
      <w:r w:rsidR="00CA1E9B">
        <w:rPr>
          <w:lang w:bidi="he-IL"/>
        </w:rPr>
        <w:t xml:space="preserve"> 5:20]</w:t>
      </w:r>
      <w:r w:rsidR="00B71699">
        <w:rPr>
          <w:lang w:bidi="he-IL"/>
        </w:rPr>
        <w:t>)</w:t>
      </w:r>
      <w:r w:rsidR="00722C17">
        <w:rPr>
          <w:rStyle w:val="FootnoteReference"/>
          <w:lang w:bidi="he-IL"/>
        </w:rPr>
        <w:footnoteReference w:id="69"/>
      </w:r>
      <w:r w:rsidR="00B71699">
        <w:rPr>
          <w:lang w:bidi="he-IL"/>
        </w:rPr>
        <w:t xml:space="preserve"> followed </w:t>
      </w:r>
      <w:r w:rsidR="00785A91">
        <w:rPr>
          <w:lang w:bidi="he-IL"/>
        </w:rPr>
        <w:t xml:space="preserve">by Jesus telling the paralytic </w:t>
      </w:r>
      <w:r w:rsidR="000A26D8">
        <w:rPr>
          <w:lang w:val="el-GR" w:bidi="he-IL"/>
        </w:rPr>
        <w:t>α</w:t>
      </w:r>
      <w:r w:rsidR="000A26D8" w:rsidRPr="000A26D8">
        <w:rPr>
          <w:lang w:bidi="he-IL"/>
        </w:rPr>
        <w:t>̓</w:t>
      </w:r>
      <w:r w:rsidR="000A26D8">
        <w:rPr>
          <w:lang w:val="el-GR" w:bidi="he-IL"/>
        </w:rPr>
        <w:t>φι</w:t>
      </w:r>
      <w:r w:rsidR="000A26D8" w:rsidRPr="000A26D8">
        <w:rPr>
          <w:lang w:bidi="he-IL"/>
        </w:rPr>
        <w:t>́</w:t>
      </w:r>
      <w:r w:rsidR="000A26D8">
        <w:rPr>
          <w:lang w:val="el-GR" w:bidi="he-IL"/>
        </w:rPr>
        <w:t>ενται</w:t>
      </w:r>
      <w:r w:rsidR="000A26D8" w:rsidRPr="000A26D8">
        <w:rPr>
          <w:lang w:bidi="he-IL"/>
        </w:rPr>
        <w:t xml:space="preserve">́ </w:t>
      </w:r>
      <w:r w:rsidR="000A26D8">
        <w:rPr>
          <w:lang w:val="el-GR" w:bidi="he-IL"/>
        </w:rPr>
        <w:t>σου</w:t>
      </w:r>
      <w:r w:rsidR="000A26D8" w:rsidRPr="000A26D8">
        <w:rPr>
          <w:lang w:bidi="he-IL"/>
        </w:rPr>
        <w:t xml:space="preserve"> </w:t>
      </w:r>
      <w:r w:rsidR="000A26D8">
        <w:rPr>
          <w:lang w:val="el-GR" w:bidi="he-IL"/>
        </w:rPr>
        <w:t>αι</w:t>
      </w:r>
      <w:r w:rsidR="000A26D8" w:rsidRPr="000A26D8">
        <w:rPr>
          <w:lang w:bidi="he-IL"/>
        </w:rPr>
        <w:t xml:space="preserve">̔ </w:t>
      </w:r>
      <w:r w:rsidR="000A26D8">
        <w:rPr>
          <w:lang w:val="el-GR" w:bidi="he-IL"/>
        </w:rPr>
        <w:t>α</w:t>
      </w:r>
      <w:r w:rsidR="000A26D8" w:rsidRPr="000A26D8">
        <w:rPr>
          <w:lang w:bidi="he-IL"/>
        </w:rPr>
        <w:t>̔</w:t>
      </w:r>
      <w:r w:rsidR="000A26D8">
        <w:rPr>
          <w:lang w:val="el-GR" w:bidi="he-IL"/>
        </w:rPr>
        <w:t>μαρτι</w:t>
      </w:r>
      <w:r w:rsidR="000A26D8" w:rsidRPr="000A26D8">
        <w:rPr>
          <w:lang w:bidi="he-IL"/>
        </w:rPr>
        <w:t>́</w:t>
      </w:r>
      <w:r w:rsidR="000A26D8">
        <w:rPr>
          <w:lang w:val="el-GR" w:bidi="he-IL"/>
        </w:rPr>
        <w:t>αι</w:t>
      </w:r>
      <w:r w:rsidR="000A26D8" w:rsidRPr="000A26D8">
        <w:rPr>
          <w:lang w:bidi="he-IL"/>
        </w:rPr>
        <w:t xml:space="preserve"> </w:t>
      </w:r>
      <w:r w:rsidR="000A26D8">
        <w:rPr>
          <w:lang w:bidi="he-IL"/>
        </w:rPr>
        <w:t>(your sins are forgiven</w:t>
      </w:r>
      <w:r w:rsidR="00283E60">
        <w:rPr>
          <w:lang w:bidi="he-IL"/>
        </w:rPr>
        <w:t xml:space="preserve"> [Mt 9:2; Mk 2:5; cf. Lk 5:20</w:t>
      </w:r>
      <w:r w:rsidR="00935B55">
        <w:rPr>
          <w:lang w:bidi="he-IL"/>
        </w:rPr>
        <w:t>]</w:t>
      </w:r>
      <w:r w:rsidR="000A26D8">
        <w:rPr>
          <w:lang w:bidi="he-IL"/>
        </w:rPr>
        <w:t>).</w:t>
      </w:r>
      <w:r w:rsidR="00935B55">
        <w:rPr>
          <w:rStyle w:val="FootnoteReference"/>
          <w:lang w:bidi="he-IL"/>
        </w:rPr>
        <w:footnoteReference w:id="70"/>
      </w:r>
      <w:r w:rsidR="00583765">
        <w:rPr>
          <w:lang w:bidi="he-IL"/>
        </w:rPr>
        <w:t xml:space="preserve"> </w:t>
      </w:r>
      <w:r w:rsidR="004A4D70">
        <w:rPr>
          <w:lang w:bidi="he-IL"/>
        </w:rPr>
        <w:t>The second point</w:t>
      </w:r>
      <w:r w:rsidR="009E5128">
        <w:rPr>
          <w:lang w:bidi="he-IL"/>
        </w:rPr>
        <w:t xml:space="preserve"> is Jesus’ question about what is easier to say to the paralytic</w:t>
      </w:r>
      <w:r w:rsidR="00747AB6">
        <w:rPr>
          <w:lang w:bidi="he-IL"/>
        </w:rPr>
        <w:t xml:space="preserve"> and his statement </w:t>
      </w:r>
      <w:r w:rsidR="007F4915">
        <w:rPr>
          <w:lang w:bidi="he-IL"/>
        </w:rPr>
        <w:t>on how he will demonstrate his authority to forgive sins (Mt 9:5–6; Mk 2:</w:t>
      </w:r>
      <w:r w:rsidR="003407FD">
        <w:rPr>
          <w:lang w:bidi="he-IL"/>
        </w:rPr>
        <w:t>9–10; Lk 5:23–24).</w:t>
      </w:r>
      <w:r w:rsidR="004E7209">
        <w:rPr>
          <w:lang w:bidi="he-IL"/>
        </w:rPr>
        <w:t xml:space="preserve"> </w:t>
      </w:r>
      <w:r w:rsidR="002076F9">
        <w:rPr>
          <w:lang w:bidi="he-IL"/>
        </w:rPr>
        <w:t>In both these instances the key subjects at hand are forgiveness and sins</w:t>
      </w:r>
      <w:r w:rsidR="00D15115">
        <w:rPr>
          <w:lang w:bidi="he-IL"/>
        </w:rPr>
        <w:t>, as well as the Son of Man</w:t>
      </w:r>
      <w:r w:rsidR="002076F9">
        <w:rPr>
          <w:lang w:bidi="he-IL"/>
        </w:rPr>
        <w:t>.</w:t>
      </w:r>
    </w:p>
    <w:p w14:paraId="7CE2ACB8" w14:textId="31C46829" w:rsidR="00223167" w:rsidRDefault="00223167" w:rsidP="0056171D">
      <w:pPr>
        <w:ind w:firstLine="720"/>
        <w:rPr>
          <w:lang w:bidi="he-IL"/>
        </w:rPr>
      </w:pPr>
      <w:r>
        <w:rPr>
          <w:lang w:bidi="he-IL"/>
        </w:rPr>
        <w:lastRenderedPageBreak/>
        <w:t>Given the positive association between Matthew and Luke based on the contingency table and t</w:t>
      </w:r>
      <w:r w:rsidR="00F1038D">
        <w:rPr>
          <w:lang w:bidi="he-IL"/>
        </w:rPr>
        <w:t>he</w:t>
      </w:r>
      <w:r>
        <w:rPr>
          <w:lang w:bidi="he-IL"/>
        </w:rPr>
        <w:t xml:space="preserve"> observation </w:t>
      </w:r>
      <w:r w:rsidR="001F6641">
        <w:rPr>
          <w:lang w:bidi="he-IL"/>
        </w:rPr>
        <w:t xml:space="preserve">of two textual features on the forgiveness of sins </w:t>
      </w:r>
      <w:r>
        <w:rPr>
          <w:lang w:bidi="he-IL"/>
        </w:rPr>
        <w:t>derived from visualizing the texts</w:t>
      </w:r>
      <w:r w:rsidR="00797EB7">
        <w:rPr>
          <w:lang w:bidi="he-IL"/>
        </w:rPr>
        <w:t xml:space="preserve"> </w:t>
      </w:r>
      <w:r w:rsidR="00946E9D">
        <w:rPr>
          <w:lang w:bidi="he-IL"/>
        </w:rPr>
        <w:t>a</w:t>
      </w:r>
      <w:r w:rsidR="00797EB7">
        <w:rPr>
          <w:lang w:bidi="he-IL"/>
        </w:rPr>
        <w:t xml:space="preserve"> question opens up</w:t>
      </w:r>
      <w:r w:rsidR="00E86CFA" w:rsidRPr="00C44F7F">
        <w:rPr>
          <w:lang w:bidi="he-IL"/>
        </w:rPr>
        <w:t xml:space="preserve">: </w:t>
      </w:r>
      <w:r w:rsidR="004E77D5" w:rsidRPr="00C44F7F">
        <w:rPr>
          <w:lang w:bidi="he-IL"/>
        </w:rPr>
        <w:t xml:space="preserve">what might cause Matthew and Luke to persevere a statement from Jesus </w:t>
      </w:r>
      <w:r w:rsidR="002C66E2">
        <w:rPr>
          <w:lang w:bidi="he-IL"/>
        </w:rPr>
        <w:t xml:space="preserve">found in Mark </w:t>
      </w:r>
      <w:r w:rsidR="004E77D5" w:rsidRPr="00C44F7F">
        <w:rPr>
          <w:lang w:bidi="he-IL"/>
        </w:rPr>
        <w:t xml:space="preserve">about the forgiveness of sins </w:t>
      </w:r>
      <w:r w:rsidR="0069713A" w:rsidRPr="00C44F7F">
        <w:rPr>
          <w:lang w:bidi="he-IL"/>
        </w:rPr>
        <w:t>with such a high level of</w:t>
      </w:r>
      <w:r w:rsidR="003013A3" w:rsidRPr="00C44F7F">
        <w:rPr>
          <w:lang w:bidi="he-IL"/>
        </w:rPr>
        <w:t xml:space="preserve"> shared material</w:t>
      </w:r>
      <w:r w:rsidR="00F1038D" w:rsidRPr="00C44F7F">
        <w:rPr>
          <w:lang w:bidi="he-IL"/>
        </w:rPr>
        <w:t>?</w:t>
      </w:r>
      <w:r w:rsidR="00F1038D">
        <w:rPr>
          <w:lang w:bidi="he-IL"/>
        </w:rPr>
        <w:t xml:space="preserve"> </w:t>
      </w:r>
    </w:p>
    <w:p w14:paraId="069663CD" w14:textId="3A90010B" w:rsidR="00F27AEF" w:rsidRDefault="00F27AEF" w:rsidP="00F27AEF">
      <w:pPr>
        <w:rPr>
          <w:i/>
          <w:iCs/>
          <w:lang w:bidi="he-IL"/>
        </w:rPr>
      </w:pPr>
      <w:r w:rsidRPr="00874BCE">
        <w:rPr>
          <w:i/>
          <w:iCs/>
          <w:lang w:bidi="he-IL"/>
        </w:rPr>
        <w:t xml:space="preserve">Interpretation </w:t>
      </w:r>
    </w:p>
    <w:p w14:paraId="4F3B6E8C" w14:textId="51F7D3BD" w:rsidR="00405A4C" w:rsidRDefault="004F32D6" w:rsidP="00541DF4">
      <w:pPr>
        <w:rPr>
          <w:lang w:bidi="he-IL"/>
        </w:rPr>
      </w:pPr>
      <w:r>
        <w:rPr>
          <w:lang w:bidi="he-IL"/>
        </w:rPr>
        <w:tab/>
      </w:r>
      <w:r w:rsidR="00E45E8C">
        <w:rPr>
          <w:lang w:bidi="he-IL"/>
        </w:rPr>
        <w:t>T</w:t>
      </w:r>
      <w:r w:rsidR="00541DF4">
        <w:rPr>
          <w:lang w:bidi="he-IL"/>
        </w:rPr>
        <w:t xml:space="preserve">o </w:t>
      </w:r>
      <w:r w:rsidR="00E45E8C">
        <w:rPr>
          <w:lang w:bidi="he-IL"/>
        </w:rPr>
        <w:t xml:space="preserve">examine this </w:t>
      </w:r>
      <w:r w:rsidR="00541DF4">
        <w:rPr>
          <w:lang w:bidi="he-IL"/>
        </w:rPr>
        <w:t>question,</w:t>
      </w:r>
      <w:r w:rsidR="00E45E8C">
        <w:rPr>
          <w:lang w:bidi="he-IL"/>
        </w:rPr>
        <w:t xml:space="preserve"> I </w:t>
      </w:r>
      <w:r w:rsidR="00541DF4">
        <w:rPr>
          <w:lang w:bidi="he-IL"/>
        </w:rPr>
        <w:t xml:space="preserve">follow three steps. </w:t>
      </w:r>
      <w:r>
        <w:rPr>
          <w:lang w:bidi="he-IL"/>
        </w:rPr>
        <w:t>Fi</w:t>
      </w:r>
      <w:r w:rsidR="00541DF4">
        <w:rPr>
          <w:lang w:bidi="he-IL"/>
        </w:rPr>
        <w:t>r</w:t>
      </w:r>
      <w:r>
        <w:rPr>
          <w:lang w:bidi="he-IL"/>
        </w:rPr>
        <w:t xml:space="preserve">st, I consider the roll of “sins” in Matthew’s and Luke’s accounts. </w:t>
      </w:r>
      <w:r w:rsidR="00FD23E9">
        <w:rPr>
          <w:lang w:bidi="he-IL"/>
        </w:rPr>
        <w:t xml:space="preserve">Next, I move on to consider the motif of forgiveness as it appears in Matthew and Luke. </w:t>
      </w:r>
      <w:r w:rsidR="00405A4C" w:rsidRPr="00EE3AD2">
        <w:rPr>
          <w:lang w:bidi="he-IL"/>
        </w:rPr>
        <w:t xml:space="preserve">Finally, I bring Matthew’s and Luke’s statements about “sins” and “forgiveness” together in light of their </w:t>
      </w:r>
      <w:r w:rsidR="002103C7" w:rsidRPr="00EE3AD2">
        <w:rPr>
          <w:lang w:bidi="he-IL"/>
        </w:rPr>
        <w:t>larger</w:t>
      </w:r>
      <w:r w:rsidR="002103C7">
        <w:rPr>
          <w:lang w:bidi="he-IL"/>
        </w:rPr>
        <w:t xml:space="preserve"> literary agendas </w:t>
      </w:r>
      <w:r w:rsidR="00EE3AD2">
        <w:rPr>
          <w:lang w:bidi="he-IL"/>
        </w:rPr>
        <w:t>for designating Jesus as the fulfilment for the prophetic role of God’s Messiah</w:t>
      </w:r>
      <w:r w:rsidR="00405A4C">
        <w:rPr>
          <w:lang w:bidi="he-IL"/>
        </w:rPr>
        <w:t>.</w:t>
      </w:r>
    </w:p>
    <w:p w14:paraId="248CCC01" w14:textId="05DA5790" w:rsidR="00CC444C" w:rsidRDefault="004E1BEC" w:rsidP="00723B6C">
      <w:pPr>
        <w:rPr>
          <w:lang w:bidi="he-IL"/>
        </w:rPr>
      </w:pPr>
      <w:r>
        <w:rPr>
          <w:lang w:bidi="he-IL"/>
        </w:rPr>
        <w:tab/>
      </w:r>
      <w:r w:rsidR="00E64878">
        <w:rPr>
          <w:lang w:bidi="he-IL"/>
        </w:rPr>
        <w:t>Matthew and Luke both feature “sin” and “sinners” as motifs within their narratives</w:t>
      </w:r>
      <w:r w:rsidR="00513F5F">
        <w:rPr>
          <w:lang w:bidi="he-IL"/>
        </w:rPr>
        <w:t>.</w:t>
      </w:r>
      <w:r w:rsidR="00E07F55">
        <w:rPr>
          <w:rStyle w:val="FootnoteReference"/>
          <w:lang w:bidi="he-IL"/>
        </w:rPr>
        <w:footnoteReference w:id="71"/>
      </w:r>
      <w:r w:rsidR="00513F5F">
        <w:rPr>
          <w:lang w:bidi="he-IL"/>
        </w:rPr>
        <w:t xml:space="preserve"> However, these motifs are far more frequent within Luke’s account than Matthew</w:t>
      </w:r>
      <w:r w:rsidR="00403F11">
        <w:rPr>
          <w:lang w:bidi="he-IL"/>
        </w:rPr>
        <w:t>’s</w:t>
      </w:r>
      <w:r w:rsidR="00513F5F">
        <w:rPr>
          <w:lang w:bidi="he-IL"/>
        </w:rPr>
        <w:t>.</w:t>
      </w:r>
      <w:r w:rsidR="00513F5F">
        <w:rPr>
          <w:rStyle w:val="FootnoteReference"/>
          <w:lang w:bidi="he-IL"/>
        </w:rPr>
        <w:footnoteReference w:id="72"/>
      </w:r>
      <w:r w:rsidR="000114B4">
        <w:rPr>
          <w:lang w:bidi="he-IL"/>
        </w:rPr>
        <w:t xml:space="preserve"> </w:t>
      </w:r>
      <w:r w:rsidR="009A4F27">
        <w:rPr>
          <w:lang w:bidi="he-IL"/>
        </w:rPr>
        <w:t xml:space="preserve">The largest concentration of sin and sinners in Matthew </w:t>
      </w:r>
      <w:r w:rsidR="003F46BC">
        <w:rPr>
          <w:lang w:bidi="he-IL"/>
        </w:rPr>
        <w:t>appear</w:t>
      </w:r>
      <w:r w:rsidR="0051351B">
        <w:rPr>
          <w:lang w:bidi="he-IL"/>
        </w:rPr>
        <w:t>s</w:t>
      </w:r>
      <w:r w:rsidR="003F46BC">
        <w:rPr>
          <w:lang w:bidi="he-IL"/>
        </w:rPr>
        <w:t xml:space="preserve"> in the Healing of the Paralytic and the subsequent Call of Matthew (</w:t>
      </w:r>
      <w:r w:rsidR="00B34A0C">
        <w:rPr>
          <w:lang w:bidi="he-IL"/>
        </w:rPr>
        <w:t xml:space="preserve">Mt </w:t>
      </w:r>
      <w:r w:rsidR="003F46BC">
        <w:rPr>
          <w:lang w:bidi="he-IL"/>
        </w:rPr>
        <w:t>9:1</w:t>
      </w:r>
      <w:r w:rsidR="00B34A0C">
        <w:rPr>
          <w:lang w:bidi="he-IL"/>
        </w:rPr>
        <w:t>–13; cf. Mk 2:1</w:t>
      </w:r>
      <w:r w:rsidR="00AB6EA9">
        <w:rPr>
          <w:lang w:bidi="he-IL"/>
        </w:rPr>
        <w:t>–17; Lk 5:17–32).</w:t>
      </w:r>
      <w:r w:rsidR="007C477B">
        <w:rPr>
          <w:lang w:bidi="he-IL"/>
        </w:rPr>
        <w:t xml:space="preserve"> </w:t>
      </w:r>
      <w:r w:rsidR="00B0310A">
        <w:rPr>
          <w:lang w:bidi="he-IL"/>
        </w:rPr>
        <w:t>Addionally</w:t>
      </w:r>
      <w:r w:rsidR="007C477B">
        <w:rPr>
          <w:lang w:bidi="he-IL"/>
        </w:rPr>
        <w:t xml:space="preserve">, the Healing of the Paralytic is the only </w:t>
      </w:r>
      <w:r w:rsidR="00B0310A">
        <w:rPr>
          <w:lang w:bidi="he-IL"/>
        </w:rPr>
        <w:t>instance</w:t>
      </w:r>
      <w:r w:rsidR="003A2585">
        <w:rPr>
          <w:lang w:bidi="he-IL"/>
        </w:rPr>
        <w:t xml:space="preserve"> outside of the Last Supper</w:t>
      </w:r>
      <w:r w:rsidR="00DC2B89">
        <w:rPr>
          <w:lang w:bidi="he-IL"/>
        </w:rPr>
        <w:t xml:space="preserve"> </w:t>
      </w:r>
      <w:r w:rsidR="00B0310A">
        <w:rPr>
          <w:lang w:bidi="he-IL"/>
        </w:rPr>
        <w:t>in Matthew</w:t>
      </w:r>
      <w:r w:rsidR="00D31183">
        <w:rPr>
          <w:lang w:bidi="he-IL"/>
        </w:rPr>
        <w:t xml:space="preserve"> (26:28)</w:t>
      </w:r>
      <w:r w:rsidR="00B0310A">
        <w:rPr>
          <w:lang w:bidi="he-IL"/>
        </w:rPr>
        <w:t xml:space="preserve"> where Jesus actively </w:t>
      </w:r>
      <w:r w:rsidR="000E63FC">
        <w:rPr>
          <w:lang w:bidi="he-IL"/>
        </w:rPr>
        <w:t>involves himself in forgiving sins</w:t>
      </w:r>
      <w:r w:rsidR="002C1D2C">
        <w:rPr>
          <w:lang w:bidi="he-IL"/>
        </w:rPr>
        <w:t>.</w:t>
      </w:r>
      <w:r w:rsidR="002C1D2C">
        <w:rPr>
          <w:rStyle w:val="FootnoteReference"/>
          <w:lang w:bidi="he-IL"/>
        </w:rPr>
        <w:footnoteReference w:id="73"/>
      </w:r>
      <w:r w:rsidR="00E01718">
        <w:rPr>
          <w:lang w:bidi="he-IL"/>
        </w:rPr>
        <w:t xml:space="preserve"> </w:t>
      </w:r>
      <w:r w:rsidR="00D10868">
        <w:rPr>
          <w:lang w:bidi="he-IL"/>
        </w:rPr>
        <w:t xml:space="preserve">It is interesting to note that Matthew </w:t>
      </w:r>
      <w:r w:rsidR="00625BC0">
        <w:rPr>
          <w:lang w:bidi="he-IL"/>
        </w:rPr>
        <w:t xml:space="preserve">does not engage with sin frequently given that he introduces the motif </w:t>
      </w:r>
      <w:r w:rsidR="00016239">
        <w:rPr>
          <w:lang w:bidi="he-IL"/>
        </w:rPr>
        <w:t xml:space="preserve">as a programmatic </w:t>
      </w:r>
      <w:r w:rsidR="00187CE4">
        <w:rPr>
          <w:lang w:bidi="he-IL"/>
        </w:rPr>
        <w:t>confirmation</w:t>
      </w:r>
      <w:r w:rsidR="00016239">
        <w:rPr>
          <w:lang w:bidi="he-IL"/>
        </w:rPr>
        <w:t xml:space="preserve"> of Jesus’ </w:t>
      </w:r>
      <w:r w:rsidR="00EB173A">
        <w:rPr>
          <w:lang w:bidi="he-IL"/>
        </w:rPr>
        <w:t>m</w:t>
      </w:r>
      <w:r w:rsidR="00016239">
        <w:rPr>
          <w:lang w:bidi="he-IL"/>
        </w:rPr>
        <w:t>essianic identity</w:t>
      </w:r>
      <w:r w:rsidR="008B4052">
        <w:rPr>
          <w:lang w:bidi="he-IL"/>
        </w:rPr>
        <w:t xml:space="preserve"> in the birth narrative (1:18</w:t>
      </w:r>
      <w:r w:rsidR="00BD2D9A">
        <w:rPr>
          <w:lang w:bidi="he-IL"/>
        </w:rPr>
        <w:t>–25).</w:t>
      </w:r>
      <w:r w:rsidR="001624EF">
        <w:rPr>
          <w:rStyle w:val="FootnoteReference"/>
          <w:lang w:bidi="he-IL"/>
        </w:rPr>
        <w:footnoteReference w:id="74"/>
      </w:r>
      <w:r w:rsidR="00E11EC7">
        <w:rPr>
          <w:lang w:bidi="he-IL"/>
        </w:rPr>
        <w:t xml:space="preserve"> </w:t>
      </w:r>
      <w:r w:rsidR="00A306BB">
        <w:rPr>
          <w:lang w:bidi="he-IL"/>
        </w:rPr>
        <w:t xml:space="preserve">Specifically, the angel </w:t>
      </w:r>
      <w:r w:rsidR="00462D3C">
        <w:rPr>
          <w:lang w:bidi="he-IL"/>
        </w:rPr>
        <w:t>that</w:t>
      </w:r>
      <w:r w:rsidR="001065A6">
        <w:rPr>
          <w:lang w:bidi="he-IL"/>
        </w:rPr>
        <w:t xml:space="preserve"> appears to Joseph </w:t>
      </w:r>
      <w:r w:rsidR="001C5A87">
        <w:rPr>
          <w:lang w:bidi="he-IL"/>
        </w:rPr>
        <w:t xml:space="preserve">tells him to name </w:t>
      </w:r>
      <w:r w:rsidR="00A11672">
        <w:rPr>
          <w:lang w:bidi="he-IL"/>
        </w:rPr>
        <w:t>the child Jesus</w:t>
      </w:r>
      <w:r w:rsidR="00B52A84">
        <w:rPr>
          <w:lang w:bidi="he-IL"/>
        </w:rPr>
        <w:t xml:space="preserve">, </w:t>
      </w:r>
      <w:r w:rsidR="00B52A84" w:rsidRPr="00B52A84">
        <w:rPr>
          <w:lang w:val="el-GR" w:bidi="he-IL"/>
        </w:rPr>
        <w:t>αὐτὸς</w:t>
      </w:r>
      <w:r w:rsidR="00B52A84" w:rsidRPr="00B52A84">
        <w:rPr>
          <w:lang w:bidi="he-IL"/>
        </w:rPr>
        <w:t xml:space="preserve"> </w:t>
      </w:r>
      <w:r w:rsidR="00B52A84" w:rsidRPr="00B52A84">
        <w:rPr>
          <w:lang w:val="el-GR" w:bidi="he-IL"/>
        </w:rPr>
        <w:t>γὰρ</w:t>
      </w:r>
      <w:r w:rsidR="00B52A84" w:rsidRPr="00B52A84">
        <w:rPr>
          <w:lang w:bidi="he-IL"/>
        </w:rPr>
        <w:t xml:space="preserve"> </w:t>
      </w:r>
      <w:r w:rsidR="00B52A84" w:rsidRPr="00B52A84">
        <w:rPr>
          <w:lang w:val="el-GR" w:bidi="he-IL"/>
        </w:rPr>
        <w:t>σώσει</w:t>
      </w:r>
      <w:r w:rsidR="00B52A84" w:rsidRPr="00B52A84">
        <w:rPr>
          <w:lang w:bidi="he-IL"/>
        </w:rPr>
        <w:t xml:space="preserve"> </w:t>
      </w:r>
      <w:r w:rsidR="00B52A84" w:rsidRPr="00B52A84">
        <w:rPr>
          <w:lang w:val="el-GR" w:bidi="he-IL"/>
        </w:rPr>
        <w:t>τὸν</w:t>
      </w:r>
      <w:r w:rsidR="00B52A84" w:rsidRPr="00B52A84">
        <w:rPr>
          <w:lang w:bidi="he-IL"/>
        </w:rPr>
        <w:t xml:space="preserve"> </w:t>
      </w:r>
      <w:r w:rsidR="00B52A84" w:rsidRPr="00B52A84">
        <w:rPr>
          <w:lang w:val="el-GR" w:bidi="he-IL"/>
        </w:rPr>
        <w:t>λαὸν</w:t>
      </w:r>
      <w:r w:rsidR="00B52A84" w:rsidRPr="00B52A84">
        <w:rPr>
          <w:lang w:bidi="he-IL"/>
        </w:rPr>
        <w:t xml:space="preserve"> </w:t>
      </w:r>
      <w:r w:rsidR="00B52A84" w:rsidRPr="00B52A84">
        <w:rPr>
          <w:lang w:val="el-GR" w:bidi="he-IL"/>
        </w:rPr>
        <w:t>αὐτοῦ</w:t>
      </w:r>
      <w:r w:rsidR="00B52A84" w:rsidRPr="00B52A84">
        <w:rPr>
          <w:lang w:bidi="he-IL"/>
        </w:rPr>
        <w:t xml:space="preserve"> </w:t>
      </w:r>
      <w:r w:rsidR="00B52A84" w:rsidRPr="00B52A84">
        <w:rPr>
          <w:lang w:val="el-GR" w:bidi="he-IL"/>
        </w:rPr>
        <w:t>ἀπὸ</w:t>
      </w:r>
      <w:r w:rsidR="00B52A84" w:rsidRPr="00B52A84">
        <w:rPr>
          <w:lang w:bidi="he-IL"/>
        </w:rPr>
        <w:t xml:space="preserve"> </w:t>
      </w:r>
      <w:r w:rsidR="00B52A84" w:rsidRPr="00B52A84">
        <w:rPr>
          <w:lang w:val="el-GR" w:bidi="he-IL"/>
        </w:rPr>
        <w:t>τῶν</w:t>
      </w:r>
      <w:r w:rsidR="00B52A84" w:rsidRPr="00B52A84">
        <w:rPr>
          <w:lang w:bidi="he-IL"/>
        </w:rPr>
        <w:t xml:space="preserve"> </w:t>
      </w:r>
      <w:r w:rsidR="00B52A84" w:rsidRPr="00B52A84">
        <w:rPr>
          <w:lang w:val="el-GR" w:bidi="he-IL"/>
        </w:rPr>
        <w:t>ἁμαρτιῶν</w:t>
      </w:r>
      <w:r w:rsidR="00B52A84" w:rsidRPr="00B52A84">
        <w:rPr>
          <w:lang w:bidi="he-IL"/>
        </w:rPr>
        <w:t xml:space="preserve"> </w:t>
      </w:r>
      <w:r w:rsidR="00B52A84" w:rsidRPr="00B52A84">
        <w:rPr>
          <w:lang w:val="el-GR" w:bidi="he-IL"/>
        </w:rPr>
        <w:lastRenderedPageBreak/>
        <w:t>αὐτῶν</w:t>
      </w:r>
      <w:r w:rsidR="00B52A84">
        <w:rPr>
          <w:lang w:bidi="he-IL"/>
        </w:rPr>
        <w:t xml:space="preserve"> (1:21).</w:t>
      </w:r>
      <w:r w:rsidR="00B52A84">
        <w:rPr>
          <w:rStyle w:val="FootnoteReference"/>
          <w:lang w:bidi="he-IL"/>
        </w:rPr>
        <w:footnoteReference w:id="75"/>
      </w:r>
      <w:r w:rsidR="00FC36F4">
        <w:rPr>
          <w:lang w:bidi="he-IL"/>
        </w:rPr>
        <w:t xml:space="preserve"> </w:t>
      </w:r>
      <w:r w:rsidR="00577A92">
        <w:rPr>
          <w:lang w:bidi="he-IL"/>
        </w:rPr>
        <w:t xml:space="preserve">Matthew then sets up his </w:t>
      </w:r>
      <w:r w:rsidR="00647A54">
        <w:rPr>
          <w:lang w:bidi="he-IL"/>
        </w:rPr>
        <w:t xml:space="preserve">programmatic identity motif for Jesus by </w:t>
      </w:r>
      <w:r w:rsidR="004E431E">
        <w:rPr>
          <w:lang w:bidi="he-IL"/>
        </w:rPr>
        <w:t>pairing the angel’s command to Joseph with a prophetic fulfillment statement</w:t>
      </w:r>
      <w:r w:rsidR="00647A54">
        <w:rPr>
          <w:lang w:bidi="he-IL"/>
        </w:rPr>
        <w:t xml:space="preserve"> </w:t>
      </w:r>
      <w:r w:rsidR="00672EB8">
        <w:rPr>
          <w:lang w:bidi="he-IL"/>
        </w:rPr>
        <w:t xml:space="preserve">about Jesus </w:t>
      </w:r>
      <w:r w:rsidR="003F2E9D">
        <w:rPr>
          <w:lang w:bidi="he-IL"/>
        </w:rPr>
        <w:t xml:space="preserve">being </w:t>
      </w:r>
      <w:r w:rsidR="003F2E9D" w:rsidRPr="003F2E9D">
        <w:rPr>
          <w:lang w:val="el-GR" w:bidi="he-IL"/>
        </w:rPr>
        <w:t>Ἐμμανουήλ</w:t>
      </w:r>
      <w:r w:rsidR="003F2E9D" w:rsidRPr="003F2E9D">
        <w:rPr>
          <w:lang w:bidi="he-IL"/>
        </w:rPr>
        <w:t xml:space="preserve"> </w:t>
      </w:r>
      <w:r w:rsidR="003F2E9D">
        <w:rPr>
          <w:lang w:bidi="he-IL"/>
        </w:rPr>
        <w:t>(Emmanuel)</w:t>
      </w:r>
      <w:r w:rsidR="0003088E">
        <w:rPr>
          <w:lang w:bidi="he-IL"/>
        </w:rPr>
        <w:t>, or “God with us” (1:23; cf. Isa 7:14).</w:t>
      </w:r>
      <w:r w:rsidR="00C011FD">
        <w:rPr>
          <w:rStyle w:val="FootnoteReference"/>
          <w:lang w:bidi="he-IL"/>
        </w:rPr>
        <w:footnoteReference w:id="76"/>
      </w:r>
      <w:r w:rsidR="00C011FD">
        <w:rPr>
          <w:lang w:bidi="he-IL"/>
        </w:rPr>
        <w:t xml:space="preserve"> </w:t>
      </w:r>
      <w:r w:rsidR="00E75C40">
        <w:rPr>
          <w:lang w:bidi="he-IL"/>
        </w:rPr>
        <w:t xml:space="preserve">In this manner, Matthew sets up the expectation that Jesus’ interactions with sin </w:t>
      </w:r>
      <w:r w:rsidR="00D5762A">
        <w:rPr>
          <w:lang w:bidi="he-IL"/>
        </w:rPr>
        <w:t>a</w:t>
      </w:r>
      <w:r w:rsidR="001A228D">
        <w:rPr>
          <w:lang w:bidi="he-IL"/>
        </w:rPr>
        <w:t>re</w:t>
      </w:r>
      <w:r w:rsidR="00D5762A">
        <w:rPr>
          <w:lang w:bidi="he-IL"/>
        </w:rPr>
        <w:t xml:space="preserve"> related to his </w:t>
      </w:r>
      <w:r w:rsidR="00EB173A">
        <w:rPr>
          <w:lang w:bidi="he-IL"/>
        </w:rPr>
        <w:t>m</w:t>
      </w:r>
      <w:r w:rsidR="00D5762A">
        <w:rPr>
          <w:lang w:bidi="he-IL"/>
        </w:rPr>
        <w:t>essianic identity</w:t>
      </w:r>
      <w:r w:rsidR="00A04C6E">
        <w:rPr>
          <w:lang w:bidi="he-IL"/>
        </w:rPr>
        <w:t xml:space="preserve"> </w:t>
      </w:r>
      <w:r w:rsidR="00A376E3">
        <w:rPr>
          <w:lang w:bidi="he-IL"/>
        </w:rPr>
        <w:t>as</w:t>
      </w:r>
      <w:r w:rsidR="00A04C6E">
        <w:rPr>
          <w:lang w:bidi="he-IL"/>
        </w:rPr>
        <w:t xml:space="preserve"> God dwelling among people</w:t>
      </w:r>
      <w:r w:rsidR="00D5762A">
        <w:rPr>
          <w:lang w:bidi="he-IL"/>
        </w:rPr>
        <w:t>.</w:t>
      </w:r>
      <w:r w:rsidR="00A04C6E">
        <w:rPr>
          <w:lang w:bidi="he-IL"/>
        </w:rPr>
        <w:t xml:space="preserve"> Matthew bookends </w:t>
      </w:r>
      <w:r w:rsidR="00702E17">
        <w:rPr>
          <w:lang w:bidi="he-IL"/>
        </w:rPr>
        <w:t>this</w:t>
      </w:r>
      <w:r w:rsidR="007630FE">
        <w:rPr>
          <w:lang w:bidi="he-IL"/>
        </w:rPr>
        <w:t xml:space="preserve"> expectation at the close of his gospel in commissioning the disciples, stating: </w:t>
      </w:r>
      <w:r w:rsidR="00C4106C" w:rsidRPr="00C4106C">
        <w:rPr>
          <w:lang w:val="el-GR" w:bidi="he-IL"/>
        </w:rPr>
        <w:t>καὶ</w:t>
      </w:r>
      <w:r w:rsidR="00C4106C" w:rsidRPr="00C4106C">
        <w:rPr>
          <w:lang w:bidi="he-IL"/>
        </w:rPr>
        <w:t xml:space="preserve"> </w:t>
      </w:r>
      <w:r w:rsidR="00C4106C" w:rsidRPr="00C4106C">
        <w:rPr>
          <w:lang w:val="el-GR" w:bidi="he-IL"/>
        </w:rPr>
        <w:t>ἰδοὺ</w:t>
      </w:r>
      <w:r w:rsidR="00C4106C" w:rsidRPr="00C4106C">
        <w:rPr>
          <w:lang w:bidi="he-IL"/>
        </w:rPr>
        <w:t xml:space="preserve"> </w:t>
      </w:r>
      <w:r w:rsidR="00C4106C" w:rsidRPr="00C4106C">
        <w:rPr>
          <w:lang w:val="el-GR" w:bidi="he-IL"/>
        </w:rPr>
        <w:t>ἐγὼ</w:t>
      </w:r>
      <w:r w:rsidR="00C4106C" w:rsidRPr="00C4106C">
        <w:rPr>
          <w:lang w:bidi="he-IL"/>
        </w:rPr>
        <w:t xml:space="preserve"> </w:t>
      </w:r>
      <w:r w:rsidR="00C4106C" w:rsidRPr="00C4106C">
        <w:rPr>
          <w:lang w:val="el-GR" w:bidi="he-IL"/>
        </w:rPr>
        <w:t>μεθ᾽</w:t>
      </w:r>
      <w:r w:rsidR="00C4106C" w:rsidRPr="00C4106C">
        <w:rPr>
          <w:lang w:bidi="he-IL"/>
        </w:rPr>
        <w:t xml:space="preserve"> </w:t>
      </w:r>
      <w:r w:rsidR="00C4106C" w:rsidRPr="00C4106C">
        <w:rPr>
          <w:lang w:val="el-GR" w:bidi="he-IL"/>
        </w:rPr>
        <w:t>ὑμῶν</w:t>
      </w:r>
      <w:r w:rsidR="00C4106C" w:rsidRPr="00C4106C">
        <w:rPr>
          <w:lang w:bidi="he-IL"/>
        </w:rPr>
        <w:t xml:space="preserve"> </w:t>
      </w:r>
      <w:r w:rsidR="00C4106C" w:rsidRPr="00C4106C">
        <w:rPr>
          <w:lang w:val="el-GR" w:bidi="he-IL"/>
        </w:rPr>
        <w:t>εἰμι</w:t>
      </w:r>
      <w:r w:rsidR="00C4106C" w:rsidRPr="00C4106C">
        <w:rPr>
          <w:lang w:bidi="he-IL"/>
        </w:rPr>
        <w:t xml:space="preserve"> </w:t>
      </w:r>
      <w:r w:rsidR="00C4106C" w:rsidRPr="00C4106C">
        <w:rPr>
          <w:lang w:val="el-GR" w:bidi="he-IL"/>
        </w:rPr>
        <w:t>πάσας</w:t>
      </w:r>
      <w:r w:rsidR="00C4106C" w:rsidRPr="00C4106C">
        <w:rPr>
          <w:lang w:bidi="he-IL"/>
        </w:rPr>
        <w:t xml:space="preserve"> </w:t>
      </w:r>
      <w:r w:rsidR="00C4106C" w:rsidRPr="00C4106C">
        <w:rPr>
          <w:lang w:val="el-GR" w:bidi="he-IL"/>
        </w:rPr>
        <w:t>τὰς</w:t>
      </w:r>
      <w:r w:rsidR="00C4106C" w:rsidRPr="00C4106C">
        <w:rPr>
          <w:lang w:bidi="he-IL"/>
        </w:rPr>
        <w:t xml:space="preserve"> </w:t>
      </w:r>
      <w:r w:rsidR="00C4106C" w:rsidRPr="00C4106C">
        <w:rPr>
          <w:lang w:val="el-GR" w:bidi="he-IL"/>
        </w:rPr>
        <w:t>ἡμέρας</w:t>
      </w:r>
      <w:r w:rsidR="00C4106C" w:rsidRPr="00C4106C">
        <w:rPr>
          <w:lang w:bidi="he-IL"/>
        </w:rPr>
        <w:t xml:space="preserve"> </w:t>
      </w:r>
      <w:r w:rsidR="00C4106C" w:rsidRPr="00C4106C">
        <w:rPr>
          <w:lang w:val="el-GR" w:bidi="he-IL"/>
        </w:rPr>
        <w:t>ἕως</w:t>
      </w:r>
      <w:r w:rsidR="00C4106C" w:rsidRPr="00C4106C">
        <w:rPr>
          <w:lang w:bidi="he-IL"/>
        </w:rPr>
        <w:t xml:space="preserve"> </w:t>
      </w:r>
      <w:r w:rsidR="00C4106C" w:rsidRPr="00C4106C">
        <w:rPr>
          <w:lang w:val="el-GR" w:bidi="he-IL"/>
        </w:rPr>
        <w:t>τῆς</w:t>
      </w:r>
      <w:r w:rsidR="00C4106C" w:rsidRPr="00C4106C">
        <w:rPr>
          <w:lang w:bidi="he-IL"/>
        </w:rPr>
        <w:t xml:space="preserve"> </w:t>
      </w:r>
      <w:r w:rsidR="00C4106C" w:rsidRPr="00C4106C">
        <w:rPr>
          <w:lang w:val="el-GR" w:bidi="he-IL"/>
        </w:rPr>
        <w:t>συντελείας</w:t>
      </w:r>
      <w:r w:rsidR="00C4106C" w:rsidRPr="00C4106C">
        <w:rPr>
          <w:lang w:bidi="he-IL"/>
        </w:rPr>
        <w:t xml:space="preserve"> </w:t>
      </w:r>
      <w:r w:rsidR="00C4106C" w:rsidRPr="00C4106C">
        <w:rPr>
          <w:lang w:val="el-GR" w:bidi="he-IL"/>
        </w:rPr>
        <w:t>τοῦ</w:t>
      </w:r>
      <w:r w:rsidR="00C4106C" w:rsidRPr="00C4106C">
        <w:rPr>
          <w:lang w:bidi="he-IL"/>
        </w:rPr>
        <w:t xml:space="preserve"> </w:t>
      </w:r>
      <w:r w:rsidR="00C4106C" w:rsidRPr="00C4106C">
        <w:rPr>
          <w:lang w:val="el-GR" w:bidi="he-IL"/>
        </w:rPr>
        <w:t>αἰῶνος</w:t>
      </w:r>
      <w:r w:rsidR="00C4106C">
        <w:rPr>
          <w:lang w:bidi="he-IL"/>
        </w:rPr>
        <w:t xml:space="preserve"> (Mt 28:20).</w:t>
      </w:r>
      <w:r w:rsidR="00C4106C">
        <w:rPr>
          <w:rStyle w:val="FootnoteReference"/>
          <w:lang w:bidi="he-IL"/>
        </w:rPr>
        <w:footnoteReference w:id="77"/>
      </w:r>
      <w:r w:rsidR="008102C4">
        <w:rPr>
          <w:lang w:bidi="he-IL"/>
        </w:rPr>
        <w:t xml:space="preserve"> The bookends in Matthew 1:21</w:t>
      </w:r>
      <w:r w:rsidR="00F36452">
        <w:rPr>
          <w:lang w:bidi="he-IL"/>
        </w:rPr>
        <w:t xml:space="preserve">–23 and 28:20 frame Matthew’s narrative </w:t>
      </w:r>
      <w:r w:rsidR="00E933DA">
        <w:rPr>
          <w:lang w:bidi="he-IL"/>
        </w:rPr>
        <w:t xml:space="preserve">to point to Jesus’ messianic identity as </w:t>
      </w:r>
      <w:r w:rsidR="00723B6C">
        <w:rPr>
          <w:lang w:bidi="he-IL"/>
        </w:rPr>
        <w:t>God being with people.</w:t>
      </w:r>
      <w:r w:rsidR="00D5762A">
        <w:rPr>
          <w:lang w:bidi="he-IL"/>
        </w:rPr>
        <w:t xml:space="preserve"> </w:t>
      </w:r>
    </w:p>
    <w:p w14:paraId="64F37484" w14:textId="2B695448" w:rsidR="003B29CC" w:rsidRDefault="00C44926" w:rsidP="00241C43">
      <w:pPr>
        <w:ind w:firstLine="720"/>
        <w:rPr>
          <w:lang w:bidi="he-IL"/>
        </w:rPr>
      </w:pPr>
      <w:r>
        <w:rPr>
          <w:lang w:bidi="he-IL"/>
        </w:rPr>
        <w:t xml:space="preserve">We </w:t>
      </w:r>
      <w:r w:rsidR="00723B6C">
        <w:rPr>
          <w:lang w:bidi="he-IL"/>
        </w:rPr>
        <w:t xml:space="preserve">also </w:t>
      </w:r>
      <w:r>
        <w:rPr>
          <w:lang w:bidi="he-IL"/>
        </w:rPr>
        <w:t xml:space="preserve">see this </w:t>
      </w:r>
      <w:r w:rsidR="00723B6C">
        <w:rPr>
          <w:lang w:bidi="he-IL"/>
        </w:rPr>
        <w:t xml:space="preserve">programmatic </w:t>
      </w:r>
      <w:r>
        <w:rPr>
          <w:lang w:bidi="he-IL"/>
        </w:rPr>
        <w:t xml:space="preserve">expectation fulfilled in the way </w:t>
      </w:r>
      <w:r w:rsidR="00712B39">
        <w:rPr>
          <w:lang w:bidi="he-IL"/>
        </w:rPr>
        <w:t xml:space="preserve">Matthew </w:t>
      </w:r>
      <w:r>
        <w:rPr>
          <w:lang w:bidi="he-IL"/>
        </w:rPr>
        <w:t>presents the Healing of the Paralytic</w:t>
      </w:r>
      <w:r w:rsidR="00E048F9">
        <w:rPr>
          <w:lang w:bidi="he-IL"/>
        </w:rPr>
        <w:t xml:space="preserve">, specifically in how the crowds respond to Jesus forgiving the sins of the paralytic and restoring his ability to walk. </w:t>
      </w:r>
      <w:r w:rsidR="006C4CCD">
        <w:rPr>
          <w:lang w:bidi="he-IL"/>
        </w:rPr>
        <w:t>All three synoptic</w:t>
      </w:r>
      <w:r w:rsidR="00F3428C">
        <w:rPr>
          <w:lang w:bidi="he-IL"/>
        </w:rPr>
        <w:t>s</w:t>
      </w:r>
      <w:r w:rsidR="009A663D">
        <w:rPr>
          <w:lang w:bidi="he-IL"/>
        </w:rPr>
        <w:t>, to some effect, tell how the people who saw the miracle were amazed and glorified God</w:t>
      </w:r>
      <w:r w:rsidR="00CF0A70">
        <w:rPr>
          <w:lang w:bidi="he-IL"/>
        </w:rPr>
        <w:t xml:space="preserve"> (Mt 9:8; Mk 2:12b; Lk 5:</w:t>
      </w:r>
      <w:r w:rsidR="00EF481C">
        <w:rPr>
          <w:lang w:bidi="he-IL"/>
        </w:rPr>
        <w:t>26). Matthew</w:t>
      </w:r>
      <w:r w:rsidR="00CC2AC5">
        <w:rPr>
          <w:lang w:bidi="he-IL"/>
        </w:rPr>
        <w:t>, however, does not record what the people said as do Mark and Luke. Instead, he qualif</w:t>
      </w:r>
      <w:r w:rsidR="007A6088">
        <w:rPr>
          <w:lang w:bidi="he-IL"/>
        </w:rPr>
        <w:t>ies</w:t>
      </w:r>
      <w:r w:rsidR="00CC2AC5">
        <w:rPr>
          <w:lang w:bidi="he-IL"/>
        </w:rPr>
        <w:t xml:space="preserve"> the description of God</w:t>
      </w:r>
      <w:r w:rsidR="002E27BD">
        <w:rPr>
          <w:lang w:bidi="he-IL"/>
        </w:rPr>
        <w:t xml:space="preserve"> with an attributive statement</w:t>
      </w:r>
      <w:r w:rsidR="0006344E">
        <w:rPr>
          <w:lang w:bidi="he-IL"/>
        </w:rPr>
        <w:t xml:space="preserve">; he writes, </w:t>
      </w:r>
      <w:r w:rsidR="0006344E" w:rsidRPr="0006344E">
        <w:rPr>
          <w:lang w:val="el-GR" w:bidi="he-IL"/>
        </w:rPr>
        <w:t>καὶ</w:t>
      </w:r>
      <w:r w:rsidR="0006344E" w:rsidRPr="0006344E">
        <w:rPr>
          <w:lang w:bidi="he-IL"/>
        </w:rPr>
        <w:t xml:space="preserve"> </w:t>
      </w:r>
      <w:r w:rsidR="0006344E" w:rsidRPr="0006344E">
        <w:rPr>
          <w:lang w:val="el-GR" w:bidi="he-IL"/>
        </w:rPr>
        <w:t>ἐδόξασαν</w:t>
      </w:r>
      <w:r w:rsidR="0006344E" w:rsidRPr="0006344E">
        <w:rPr>
          <w:lang w:bidi="he-IL"/>
        </w:rPr>
        <w:t xml:space="preserve"> </w:t>
      </w:r>
      <w:r w:rsidR="0006344E" w:rsidRPr="0006344E">
        <w:rPr>
          <w:lang w:val="el-GR" w:bidi="he-IL"/>
        </w:rPr>
        <w:t>τὸν</w:t>
      </w:r>
      <w:r w:rsidR="0006344E" w:rsidRPr="0006344E">
        <w:rPr>
          <w:lang w:bidi="he-IL"/>
        </w:rPr>
        <w:t xml:space="preserve"> </w:t>
      </w:r>
      <w:r w:rsidR="0006344E" w:rsidRPr="0006344E">
        <w:rPr>
          <w:lang w:val="el-GR" w:bidi="he-IL"/>
        </w:rPr>
        <w:t>θεὸν</w:t>
      </w:r>
      <w:r w:rsidR="0006344E" w:rsidRPr="0006344E">
        <w:rPr>
          <w:lang w:bidi="he-IL"/>
        </w:rPr>
        <w:t xml:space="preserve"> </w:t>
      </w:r>
      <w:r w:rsidR="0006344E" w:rsidRPr="0006344E">
        <w:rPr>
          <w:lang w:val="el-GR" w:bidi="he-IL"/>
        </w:rPr>
        <w:t>τὸν</w:t>
      </w:r>
      <w:r w:rsidR="0006344E" w:rsidRPr="0006344E">
        <w:rPr>
          <w:lang w:bidi="he-IL"/>
        </w:rPr>
        <w:t xml:space="preserve"> </w:t>
      </w:r>
      <w:r w:rsidR="0006344E" w:rsidRPr="0006344E">
        <w:rPr>
          <w:lang w:val="el-GR" w:bidi="he-IL"/>
        </w:rPr>
        <w:t>δόντα</w:t>
      </w:r>
      <w:r w:rsidR="0006344E" w:rsidRPr="0006344E">
        <w:rPr>
          <w:lang w:bidi="he-IL"/>
        </w:rPr>
        <w:t xml:space="preserve"> </w:t>
      </w:r>
      <w:r w:rsidR="0006344E" w:rsidRPr="0006344E">
        <w:rPr>
          <w:lang w:val="el-GR" w:bidi="he-IL"/>
        </w:rPr>
        <w:t>ἐξουσίαν</w:t>
      </w:r>
      <w:r w:rsidR="0006344E" w:rsidRPr="0006344E">
        <w:rPr>
          <w:lang w:bidi="he-IL"/>
        </w:rPr>
        <w:t xml:space="preserve"> </w:t>
      </w:r>
      <w:r w:rsidR="0006344E" w:rsidRPr="0006344E">
        <w:rPr>
          <w:lang w:val="el-GR" w:bidi="he-IL"/>
        </w:rPr>
        <w:t>τοιαύτην</w:t>
      </w:r>
      <w:r w:rsidR="0006344E" w:rsidRPr="0006344E">
        <w:rPr>
          <w:lang w:bidi="he-IL"/>
        </w:rPr>
        <w:t xml:space="preserve"> </w:t>
      </w:r>
      <w:r w:rsidR="0006344E" w:rsidRPr="0006344E">
        <w:rPr>
          <w:lang w:val="el-GR" w:bidi="he-IL"/>
        </w:rPr>
        <w:t>τοῖς</w:t>
      </w:r>
      <w:r w:rsidR="0006344E" w:rsidRPr="0006344E">
        <w:rPr>
          <w:lang w:bidi="he-IL"/>
        </w:rPr>
        <w:t xml:space="preserve"> </w:t>
      </w:r>
      <w:r w:rsidR="0006344E" w:rsidRPr="0006344E">
        <w:rPr>
          <w:lang w:val="el-GR" w:bidi="he-IL"/>
        </w:rPr>
        <w:t>ἀνθρώποις</w:t>
      </w:r>
      <w:r w:rsidR="00460629">
        <w:rPr>
          <w:lang w:bidi="he-IL"/>
        </w:rPr>
        <w:t xml:space="preserve"> (Mt 9:8).</w:t>
      </w:r>
      <w:r w:rsidR="00A37EB9">
        <w:rPr>
          <w:rStyle w:val="FootnoteReference"/>
          <w:lang w:bidi="he-IL"/>
        </w:rPr>
        <w:footnoteReference w:id="78"/>
      </w:r>
      <w:r w:rsidR="001D5891">
        <w:rPr>
          <w:lang w:bidi="he-IL"/>
        </w:rPr>
        <w:t xml:space="preserve"> </w:t>
      </w:r>
      <w:r w:rsidR="002E4B9E">
        <w:rPr>
          <w:lang w:bidi="he-IL"/>
        </w:rPr>
        <w:t>Two</w:t>
      </w:r>
      <w:r w:rsidR="00280828">
        <w:rPr>
          <w:lang w:bidi="he-IL"/>
        </w:rPr>
        <w:t xml:space="preserve"> points of</w:t>
      </w:r>
      <w:r w:rsidR="004F6289">
        <w:rPr>
          <w:lang w:bidi="he-IL"/>
        </w:rPr>
        <w:t xml:space="preserve"> syntax </w:t>
      </w:r>
      <w:r w:rsidR="00280828">
        <w:rPr>
          <w:lang w:bidi="he-IL"/>
        </w:rPr>
        <w:t>in</w:t>
      </w:r>
      <w:r w:rsidR="004F6289">
        <w:rPr>
          <w:lang w:bidi="he-IL"/>
        </w:rPr>
        <w:t xml:space="preserve"> this statement </w:t>
      </w:r>
      <w:r w:rsidR="00280828">
        <w:rPr>
          <w:lang w:bidi="he-IL"/>
        </w:rPr>
        <w:t>are</w:t>
      </w:r>
      <w:r w:rsidR="004F6289">
        <w:rPr>
          <w:lang w:bidi="he-IL"/>
        </w:rPr>
        <w:t xml:space="preserve"> worth unpacking. </w:t>
      </w:r>
      <w:r w:rsidR="00280828">
        <w:rPr>
          <w:lang w:bidi="he-IL"/>
        </w:rPr>
        <w:t>First, the demonstrative pronoun</w:t>
      </w:r>
      <w:r w:rsidR="006A5FAC">
        <w:rPr>
          <w:lang w:bidi="he-IL"/>
        </w:rPr>
        <w:t xml:space="preserve"> </w:t>
      </w:r>
      <w:r w:rsidR="006A5FAC" w:rsidRPr="0006344E">
        <w:rPr>
          <w:lang w:val="el-GR" w:bidi="he-IL"/>
        </w:rPr>
        <w:t>τοιαύτην</w:t>
      </w:r>
      <w:r w:rsidR="006A5FAC">
        <w:rPr>
          <w:lang w:bidi="he-IL"/>
        </w:rPr>
        <w:t xml:space="preserve"> (</w:t>
      </w:r>
      <w:r w:rsidR="00D073E7">
        <w:rPr>
          <w:lang w:bidi="he-IL"/>
        </w:rPr>
        <w:t>this/such)</w:t>
      </w:r>
      <w:r w:rsidR="001F6254">
        <w:rPr>
          <w:lang w:bidi="he-IL"/>
        </w:rPr>
        <w:t xml:space="preserve"> qualifies the </w:t>
      </w:r>
      <w:r w:rsidR="00B27599">
        <w:rPr>
          <w:lang w:bidi="he-IL"/>
        </w:rPr>
        <w:t>object</w:t>
      </w:r>
      <w:r w:rsidR="001F6254">
        <w:rPr>
          <w:lang w:bidi="he-IL"/>
        </w:rPr>
        <w:t xml:space="preserve"> of the attributive participle </w:t>
      </w:r>
      <w:r w:rsidR="00B27599">
        <w:rPr>
          <w:lang w:bidi="he-IL"/>
        </w:rPr>
        <w:t xml:space="preserve">phrase, </w:t>
      </w:r>
      <w:r w:rsidR="00B27599" w:rsidRPr="0006344E">
        <w:rPr>
          <w:lang w:val="el-GR" w:bidi="he-IL"/>
        </w:rPr>
        <w:t>ἐξουσίαν</w:t>
      </w:r>
      <w:r w:rsidR="00B27599">
        <w:rPr>
          <w:lang w:bidi="he-IL"/>
        </w:rPr>
        <w:t xml:space="preserve"> (authority). </w:t>
      </w:r>
      <w:r w:rsidR="00632481">
        <w:rPr>
          <w:lang w:bidi="he-IL"/>
        </w:rPr>
        <w:t xml:space="preserve">“This </w:t>
      </w:r>
      <w:r w:rsidR="00D92D11">
        <w:rPr>
          <w:lang w:bidi="he-IL"/>
        </w:rPr>
        <w:t>authority” is the same authority that Jesus exhibits over the paralytic by healing him and forgiving his sins (M</w:t>
      </w:r>
      <w:r w:rsidR="00B328D7">
        <w:rPr>
          <w:lang w:bidi="he-IL"/>
        </w:rPr>
        <w:t>t 9:6).</w:t>
      </w:r>
      <w:r w:rsidR="00C565B7">
        <w:rPr>
          <w:lang w:bidi="he-IL"/>
        </w:rPr>
        <w:t xml:space="preserve"> However, the </w:t>
      </w:r>
      <w:r w:rsidR="00C565B7">
        <w:rPr>
          <w:lang w:bidi="he-IL"/>
        </w:rPr>
        <w:lastRenderedPageBreak/>
        <w:t>authority that Jesus exhibits is not separate from himself</w:t>
      </w:r>
      <w:r w:rsidR="00695423">
        <w:rPr>
          <w:lang w:bidi="he-IL"/>
        </w:rPr>
        <w:t xml:space="preserve"> because he </w:t>
      </w:r>
      <w:r w:rsidR="00A5082E">
        <w:rPr>
          <w:lang w:bidi="he-IL"/>
        </w:rPr>
        <w:t>wields</w:t>
      </w:r>
      <w:r w:rsidR="00695423">
        <w:rPr>
          <w:lang w:bidi="he-IL"/>
        </w:rPr>
        <w:t xml:space="preserve"> it</w:t>
      </w:r>
      <w:r w:rsidR="00750A66">
        <w:rPr>
          <w:lang w:bidi="he-IL"/>
        </w:rPr>
        <w:t xml:space="preserve"> as the Son of Man (</w:t>
      </w:r>
      <w:r w:rsidR="0090645D" w:rsidRPr="0090645D">
        <w:rPr>
          <w:lang w:val="el-GR" w:bidi="he-IL"/>
        </w:rPr>
        <w:t>ἐξουσίαν</w:t>
      </w:r>
      <w:r w:rsidR="0090645D" w:rsidRPr="0090645D">
        <w:rPr>
          <w:lang w:bidi="he-IL"/>
        </w:rPr>
        <w:t xml:space="preserve"> </w:t>
      </w:r>
      <w:r w:rsidR="0090645D" w:rsidRPr="0090645D">
        <w:rPr>
          <w:lang w:val="el-GR" w:bidi="he-IL"/>
        </w:rPr>
        <w:t>ἔχει</w:t>
      </w:r>
      <w:r w:rsidR="0090645D" w:rsidRPr="0090645D">
        <w:rPr>
          <w:lang w:bidi="he-IL"/>
        </w:rPr>
        <w:t xml:space="preserve"> </w:t>
      </w:r>
      <w:r w:rsidR="0090645D" w:rsidRPr="0090645D">
        <w:rPr>
          <w:lang w:val="el-GR" w:bidi="he-IL"/>
        </w:rPr>
        <w:t>ὁ</w:t>
      </w:r>
      <w:r w:rsidR="0090645D" w:rsidRPr="0090645D">
        <w:rPr>
          <w:lang w:bidi="he-IL"/>
        </w:rPr>
        <w:t xml:space="preserve"> </w:t>
      </w:r>
      <w:r w:rsidR="0090645D" w:rsidRPr="0090645D">
        <w:rPr>
          <w:lang w:val="el-GR" w:bidi="he-IL"/>
        </w:rPr>
        <w:t>υἱὸς</w:t>
      </w:r>
      <w:r w:rsidR="0090645D" w:rsidRPr="0090645D">
        <w:rPr>
          <w:lang w:bidi="he-IL"/>
        </w:rPr>
        <w:t xml:space="preserve"> </w:t>
      </w:r>
      <w:r w:rsidR="0090645D" w:rsidRPr="0090645D">
        <w:rPr>
          <w:lang w:val="el-GR" w:bidi="he-IL"/>
        </w:rPr>
        <w:t>τοῦ</w:t>
      </w:r>
      <w:r w:rsidR="0090645D" w:rsidRPr="0090645D">
        <w:rPr>
          <w:lang w:bidi="he-IL"/>
        </w:rPr>
        <w:t xml:space="preserve"> </w:t>
      </w:r>
      <w:r w:rsidR="0090645D" w:rsidRPr="0090645D">
        <w:rPr>
          <w:lang w:val="el-GR" w:bidi="he-IL"/>
        </w:rPr>
        <w:t>ἀνθρώπου</w:t>
      </w:r>
      <w:r w:rsidR="00066E39">
        <w:rPr>
          <w:lang w:bidi="he-IL"/>
        </w:rPr>
        <w:t>).</w:t>
      </w:r>
      <w:r w:rsidR="00066E39">
        <w:rPr>
          <w:rStyle w:val="FootnoteReference"/>
          <w:lang w:bidi="he-IL"/>
        </w:rPr>
        <w:footnoteReference w:id="79"/>
      </w:r>
      <w:r w:rsidR="00F75F23">
        <w:rPr>
          <w:lang w:bidi="he-IL"/>
        </w:rPr>
        <w:t xml:space="preserve"> </w:t>
      </w:r>
      <w:r w:rsidR="00A26FAE">
        <w:rPr>
          <w:lang w:bidi="he-IL"/>
        </w:rPr>
        <w:t xml:space="preserve">In this way, Jesus both </w:t>
      </w:r>
      <w:r w:rsidR="000D0403">
        <w:rPr>
          <w:lang w:bidi="he-IL"/>
        </w:rPr>
        <w:t>wields the authority and is the authority given by God which the crowd marvel</w:t>
      </w:r>
      <w:r w:rsidR="002D502D">
        <w:rPr>
          <w:lang w:bidi="he-IL"/>
        </w:rPr>
        <w:t>s at in this pericope.</w:t>
      </w:r>
      <w:r w:rsidR="0019181D">
        <w:rPr>
          <w:rStyle w:val="FootnoteReference"/>
          <w:lang w:bidi="he-IL"/>
        </w:rPr>
        <w:footnoteReference w:id="80"/>
      </w:r>
      <w:r w:rsidR="00241C43">
        <w:rPr>
          <w:lang w:bidi="he-IL"/>
        </w:rPr>
        <w:t xml:space="preserve"> </w:t>
      </w:r>
      <w:r w:rsidR="002D502D">
        <w:rPr>
          <w:lang w:bidi="he-IL"/>
        </w:rPr>
        <w:t>Second, t</w:t>
      </w:r>
      <w:r w:rsidR="001725EE">
        <w:rPr>
          <w:lang w:bidi="he-IL"/>
        </w:rPr>
        <w:t xml:space="preserve">he dative </w:t>
      </w:r>
      <w:r w:rsidR="001725EE" w:rsidRPr="0006344E">
        <w:rPr>
          <w:lang w:val="el-GR" w:bidi="he-IL"/>
        </w:rPr>
        <w:t>τοῖς</w:t>
      </w:r>
      <w:r w:rsidR="001725EE" w:rsidRPr="0006344E">
        <w:rPr>
          <w:lang w:bidi="he-IL"/>
        </w:rPr>
        <w:t xml:space="preserve"> </w:t>
      </w:r>
      <w:r w:rsidR="001725EE" w:rsidRPr="0006344E">
        <w:rPr>
          <w:lang w:val="el-GR" w:bidi="he-IL"/>
        </w:rPr>
        <w:t>ἀνθρώποις</w:t>
      </w:r>
      <w:r w:rsidR="001725EE">
        <w:rPr>
          <w:lang w:bidi="he-IL"/>
        </w:rPr>
        <w:t xml:space="preserve"> </w:t>
      </w:r>
      <w:r w:rsidR="00D67301">
        <w:rPr>
          <w:lang w:bidi="he-IL"/>
        </w:rPr>
        <w:t>is an indirect object, which could be rendered “to humans</w:t>
      </w:r>
      <w:r w:rsidR="00F52EA6">
        <w:rPr>
          <w:lang w:bidi="he-IL"/>
        </w:rPr>
        <w:t>.”</w:t>
      </w:r>
      <w:r w:rsidR="00C979B4">
        <w:rPr>
          <w:rStyle w:val="FootnoteReference"/>
          <w:lang w:bidi="he-IL"/>
        </w:rPr>
        <w:footnoteReference w:id="81"/>
      </w:r>
      <w:r w:rsidR="00F52EA6">
        <w:rPr>
          <w:lang w:bidi="he-IL"/>
        </w:rPr>
        <w:t xml:space="preserve"> </w:t>
      </w:r>
      <w:r w:rsidR="00AC5528">
        <w:rPr>
          <w:lang w:bidi="he-IL"/>
        </w:rPr>
        <w:t xml:space="preserve">Because </w:t>
      </w:r>
      <w:r w:rsidR="00AC5528" w:rsidRPr="0006344E">
        <w:rPr>
          <w:lang w:val="el-GR" w:bidi="he-IL"/>
        </w:rPr>
        <w:t>τοῖς</w:t>
      </w:r>
      <w:r w:rsidR="00AC5528" w:rsidRPr="0006344E">
        <w:rPr>
          <w:lang w:bidi="he-IL"/>
        </w:rPr>
        <w:t xml:space="preserve"> </w:t>
      </w:r>
      <w:r w:rsidR="00AC5528" w:rsidRPr="0006344E">
        <w:rPr>
          <w:lang w:val="el-GR" w:bidi="he-IL"/>
        </w:rPr>
        <w:t>ἀνθρώποις</w:t>
      </w:r>
      <w:r w:rsidR="00AC5528">
        <w:rPr>
          <w:lang w:bidi="he-IL"/>
        </w:rPr>
        <w:t xml:space="preserve"> is plural</w:t>
      </w:r>
      <w:r w:rsidR="00E229B0">
        <w:rPr>
          <w:lang w:bidi="he-IL"/>
        </w:rPr>
        <w:t xml:space="preserve"> and because the object </w:t>
      </w:r>
      <w:r w:rsidR="00E229B0" w:rsidRPr="0006344E">
        <w:rPr>
          <w:lang w:val="el-GR" w:bidi="he-IL"/>
        </w:rPr>
        <w:t>ἐξουσίαν</w:t>
      </w:r>
      <w:r w:rsidR="00E229B0" w:rsidRPr="0006344E">
        <w:rPr>
          <w:lang w:bidi="he-IL"/>
        </w:rPr>
        <w:t xml:space="preserve"> </w:t>
      </w:r>
      <w:r w:rsidR="00E229B0" w:rsidRPr="0006344E">
        <w:rPr>
          <w:lang w:val="el-GR" w:bidi="he-IL"/>
        </w:rPr>
        <w:t>τοιαύτην</w:t>
      </w:r>
      <w:r w:rsidR="00E229B0">
        <w:rPr>
          <w:lang w:bidi="he-IL"/>
        </w:rPr>
        <w:t xml:space="preserve"> </w:t>
      </w:r>
      <w:r w:rsidR="00F16529">
        <w:rPr>
          <w:lang w:bidi="he-IL"/>
        </w:rPr>
        <w:t xml:space="preserve">(this authority) </w:t>
      </w:r>
      <w:r w:rsidR="00B77625">
        <w:rPr>
          <w:lang w:bidi="he-IL"/>
        </w:rPr>
        <w:t xml:space="preserve">refers to Jesus </w:t>
      </w:r>
      <w:r w:rsidR="004F58C3">
        <w:rPr>
          <w:lang w:bidi="he-IL"/>
        </w:rPr>
        <w:t>as</w:t>
      </w:r>
      <w:r w:rsidR="00B77625">
        <w:rPr>
          <w:lang w:bidi="he-IL"/>
        </w:rPr>
        <w:t xml:space="preserve"> the wielder of authority and the authority itself</w:t>
      </w:r>
      <w:r w:rsidR="00CB4E25">
        <w:rPr>
          <w:lang w:bidi="he-IL"/>
        </w:rPr>
        <w:t xml:space="preserve">, </w:t>
      </w:r>
      <w:r w:rsidR="00F33054">
        <w:rPr>
          <w:lang w:bidi="he-IL"/>
        </w:rPr>
        <w:t>the indirect object in this case cannot be Jesus</w:t>
      </w:r>
      <w:r w:rsidR="00EE6BCA">
        <w:rPr>
          <w:lang w:bidi="he-IL"/>
        </w:rPr>
        <w:t>.</w:t>
      </w:r>
      <w:r w:rsidR="00EE6BCA">
        <w:rPr>
          <w:rStyle w:val="FootnoteReference"/>
          <w:lang w:bidi="he-IL"/>
        </w:rPr>
        <w:footnoteReference w:id="82"/>
      </w:r>
      <w:r w:rsidR="00890126">
        <w:rPr>
          <w:lang w:bidi="he-IL"/>
        </w:rPr>
        <w:t xml:space="preserve"> </w:t>
      </w:r>
      <w:r w:rsidR="00F433E5">
        <w:rPr>
          <w:lang w:bidi="he-IL"/>
        </w:rPr>
        <w:t xml:space="preserve">The </w:t>
      </w:r>
      <w:r w:rsidR="005A7A6A">
        <w:rPr>
          <w:lang w:bidi="he-IL"/>
        </w:rPr>
        <w:t xml:space="preserve">dative </w:t>
      </w:r>
      <w:r w:rsidR="00F433E5">
        <w:rPr>
          <w:lang w:bidi="he-IL"/>
        </w:rPr>
        <w:t xml:space="preserve">plural </w:t>
      </w:r>
      <w:r w:rsidR="00F433E5" w:rsidRPr="0006344E">
        <w:rPr>
          <w:lang w:val="el-GR" w:bidi="he-IL"/>
        </w:rPr>
        <w:t>τοῖς</w:t>
      </w:r>
      <w:r w:rsidR="00F433E5" w:rsidRPr="0006344E">
        <w:rPr>
          <w:lang w:bidi="he-IL"/>
        </w:rPr>
        <w:t xml:space="preserve"> </w:t>
      </w:r>
      <w:r w:rsidR="00F433E5" w:rsidRPr="0006344E">
        <w:rPr>
          <w:lang w:val="el-GR" w:bidi="he-IL"/>
        </w:rPr>
        <w:t>ἀνθρώποις</w:t>
      </w:r>
      <w:r w:rsidR="00F433E5">
        <w:rPr>
          <w:lang w:bidi="he-IL"/>
        </w:rPr>
        <w:t xml:space="preserve"> </w:t>
      </w:r>
      <w:r w:rsidR="00166871">
        <w:rPr>
          <w:lang w:bidi="he-IL"/>
        </w:rPr>
        <w:t>thus refers to the communal designation of mankind,</w:t>
      </w:r>
      <w:r w:rsidR="00F176E0">
        <w:rPr>
          <w:lang w:bidi="he-IL"/>
        </w:rPr>
        <w:t xml:space="preserve"> </w:t>
      </w:r>
      <w:r w:rsidR="00166871">
        <w:rPr>
          <w:lang w:bidi="he-IL"/>
        </w:rPr>
        <w:t>or even better, humanity</w:t>
      </w:r>
      <w:r w:rsidR="00D33A0D">
        <w:rPr>
          <w:lang w:bidi="he-IL"/>
        </w:rPr>
        <w:t xml:space="preserve"> or human beings</w:t>
      </w:r>
      <w:r w:rsidR="00AF48C5">
        <w:rPr>
          <w:lang w:bidi="he-IL"/>
        </w:rPr>
        <w:t>,</w:t>
      </w:r>
      <w:r w:rsidR="00F176E0">
        <w:rPr>
          <w:rStyle w:val="FootnoteReference"/>
          <w:lang w:bidi="he-IL"/>
        </w:rPr>
        <w:footnoteReference w:id="83"/>
      </w:r>
      <w:r w:rsidR="00AF48C5">
        <w:rPr>
          <w:lang w:bidi="he-IL"/>
        </w:rPr>
        <w:t xml:space="preserve"> as the recipients</w:t>
      </w:r>
      <w:r w:rsidR="009E50DB">
        <w:rPr>
          <w:lang w:bidi="he-IL"/>
        </w:rPr>
        <w:t xml:space="preserve"> and benefactors of God’s </w:t>
      </w:r>
      <w:r w:rsidR="000D4DEE">
        <w:rPr>
          <w:lang w:bidi="he-IL"/>
        </w:rPr>
        <w:t>authority</w:t>
      </w:r>
      <w:r w:rsidR="00B01D56">
        <w:rPr>
          <w:lang w:bidi="he-IL"/>
        </w:rPr>
        <w:t>, though humanity itself does not wield this authority itself per se.</w:t>
      </w:r>
      <w:r w:rsidR="00414616">
        <w:rPr>
          <w:rStyle w:val="FootnoteReference"/>
          <w:lang w:bidi="he-IL"/>
        </w:rPr>
        <w:footnoteReference w:id="84"/>
      </w:r>
      <w:r w:rsidR="00414616">
        <w:rPr>
          <w:lang w:bidi="he-IL"/>
        </w:rPr>
        <w:t xml:space="preserve"> </w:t>
      </w:r>
      <w:r w:rsidR="00813B58">
        <w:rPr>
          <w:lang w:bidi="he-IL"/>
        </w:rPr>
        <w:t xml:space="preserve">The entire phase </w:t>
      </w:r>
      <w:r w:rsidR="000C18B8">
        <w:rPr>
          <w:lang w:bidi="he-IL"/>
        </w:rPr>
        <w:t>can thus be translated, “An</w:t>
      </w:r>
      <w:r w:rsidR="00D33A0D">
        <w:rPr>
          <w:lang w:bidi="he-IL"/>
        </w:rPr>
        <w:t>d</w:t>
      </w:r>
      <w:r w:rsidR="000C18B8">
        <w:rPr>
          <w:lang w:bidi="he-IL"/>
        </w:rPr>
        <w:t xml:space="preserve"> the</w:t>
      </w:r>
      <w:r w:rsidR="00D33A0D">
        <w:rPr>
          <w:lang w:bidi="he-IL"/>
        </w:rPr>
        <w:t>y</w:t>
      </w:r>
      <w:r w:rsidR="000C18B8">
        <w:rPr>
          <w:lang w:bidi="he-IL"/>
        </w:rPr>
        <w:t xml:space="preserve"> glorified God who had given such authority to </w:t>
      </w:r>
      <w:r w:rsidR="00D33A0D">
        <w:rPr>
          <w:lang w:bidi="he-IL"/>
        </w:rPr>
        <w:t>humans.”</w:t>
      </w:r>
      <w:r w:rsidR="00C931D0">
        <w:rPr>
          <w:lang w:bidi="he-IL"/>
        </w:rPr>
        <w:t xml:space="preserve"> </w:t>
      </w:r>
      <w:r w:rsidR="00CB5975">
        <w:rPr>
          <w:lang w:bidi="he-IL"/>
        </w:rPr>
        <w:t xml:space="preserve">The statement </w:t>
      </w:r>
      <w:r w:rsidR="00CB5975" w:rsidRPr="0006344E">
        <w:rPr>
          <w:lang w:val="el-GR" w:bidi="he-IL"/>
        </w:rPr>
        <w:t>τοῖς</w:t>
      </w:r>
      <w:r w:rsidR="00CB5975" w:rsidRPr="0006344E">
        <w:rPr>
          <w:lang w:bidi="he-IL"/>
        </w:rPr>
        <w:t xml:space="preserve"> </w:t>
      </w:r>
      <w:r w:rsidR="00CB5975" w:rsidRPr="0006344E">
        <w:rPr>
          <w:lang w:val="el-GR" w:bidi="he-IL"/>
        </w:rPr>
        <w:t>ἀνθρώποις</w:t>
      </w:r>
      <w:r w:rsidR="00CB5975">
        <w:rPr>
          <w:lang w:bidi="he-IL"/>
        </w:rPr>
        <w:t xml:space="preserve"> (</w:t>
      </w:r>
      <w:r w:rsidR="00C931D0">
        <w:rPr>
          <w:lang w:bidi="he-IL"/>
        </w:rPr>
        <w:t>to</w:t>
      </w:r>
      <w:r w:rsidR="00CB5975">
        <w:rPr>
          <w:lang w:bidi="he-IL"/>
        </w:rPr>
        <w:t xml:space="preserve"> humans)</w:t>
      </w:r>
      <w:r w:rsidR="00062FD9">
        <w:rPr>
          <w:lang w:bidi="he-IL"/>
        </w:rPr>
        <w:t xml:space="preserve"> </w:t>
      </w:r>
      <w:r w:rsidR="00CB5975">
        <w:rPr>
          <w:lang w:bidi="he-IL"/>
        </w:rPr>
        <w:t xml:space="preserve">evokes Matthew’s earlier </w:t>
      </w:r>
      <w:r w:rsidR="00BD5446">
        <w:rPr>
          <w:lang w:bidi="he-IL"/>
        </w:rPr>
        <w:t>messianic fulfilment text from Isaiah 7:14</w:t>
      </w:r>
      <w:r w:rsidR="003A2B72">
        <w:rPr>
          <w:lang w:bidi="he-IL"/>
        </w:rPr>
        <w:t xml:space="preserve"> (cf. Mt 1:</w:t>
      </w:r>
      <w:r w:rsidR="0026307E">
        <w:rPr>
          <w:lang w:bidi="he-IL"/>
        </w:rPr>
        <w:t>21–23)</w:t>
      </w:r>
      <w:r w:rsidR="00D167D7">
        <w:rPr>
          <w:lang w:bidi="he-IL"/>
        </w:rPr>
        <w:t xml:space="preserve">, </w:t>
      </w:r>
      <w:r w:rsidR="00CC470B">
        <w:rPr>
          <w:lang w:bidi="he-IL"/>
        </w:rPr>
        <w:t>God sent his Messiah to human beings as Emmanuel</w:t>
      </w:r>
      <w:r w:rsidR="00F34A1C">
        <w:rPr>
          <w:lang w:bidi="he-IL"/>
        </w:rPr>
        <w:t xml:space="preserve"> (God with us)</w:t>
      </w:r>
      <w:r w:rsidR="00CC470B">
        <w:rPr>
          <w:lang w:bidi="he-IL"/>
        </w:rPr>
        <w:t xml:space="preserve"> and he saves people from their sins</w:t>
      </w:r>
      <w:r w:rsidR="00D167D7">
        <w:rPr>
          <w:lang w:bidi="he-IL"/>
        </w:rPr>
        <w:t xml:space="preserve">. </w:t>
      </w:r>
      <w:r w:rsidR="00817CB9">
        <w:rPr>
          <w:lang w:bidi="he-IL"/>
        </w:rPr>
        <w:t xml:space="preserve">Matthew’s version of the Healing of the Paralytic, therefore, serves </w:t>
      </w:r>
      <w:r w:rsidR="009840AF">
        <w:rPr>
          <w:lang w:bidi="he-IL"/>
        </w:rPr>
        <w:t>as a confirmation of Jesus’ messianic identity</w:t>
      </w:r>
      <w:r w:rsidR="002D0638">
        <w:rPr>
          <w:lang w:bidi="he-IL"/>
        </w:rPr>
        <w:t xml:space="preserve"> namely, as</w:t>
      </w:r>
      <w:r w:rsidR="004872A6">
        <w:rPr>
          <w:lang w:bidi="he-IL"/>
        </w:rPr>
        <w:t xml:space="preserve"> God’s Messiah </w:t>
      </w:r>
      <w:r w:rsidR="002D0638">
        <w:rPr>
          <w:lang w:bidi="he-IL"/>
        </w:rPr>
        <w:t xml:space="preserve">who </w:t>
      </w:r>
      <w:r w:rsidR="004872A6">
        <w:rPr>
          <w:lang w:bidi="he-IL"/>
        </w:rPr>
        <w:t>dwells among human beings and forgives sins.</w:t>
      </w:r>
      <w:r w:rsidR="004654E0">
        <w:rPr>
          <w:rStyle w:val="FootnoteReference"/>
          <w:lang w:bidi="he-IL"/>
        </w:rPr>
        <w:footnoteReference w:id="85"/>
      </w:r>
    </w:p>
    <w:p w14:paraId="5E32AF1C" w14:textId="0149B0B3" w:rsidR="00842B32" w:rsidRPr="00A1376A" w:rsidRDefault="0095406B" w:rsidP="00600988">
      <w:pPr>
        <w:ind w:firstLine="720"/>
        <w:rPr>
          <w:lang w:bidi="he-IL"/>
        </w:rPr>
      </w:pPr>
      <w:r>
        <w:rPr>
          <w:lang w:bidi="he-IL"/>
        </w:rPr>
        <w:lastRenderedPageBreak/>
        <w:t>Luke engages with sin and sinners far more often in his narrative</w:t>
      </w:r>
      <w:r w:rsidR="00E14E69">
        <w:rPr>
          <w:lang w:bidi="he-IL"/>
        </w:rPr>
        <w:t xml:space="preserve"> than Matthew</w:t>
      </w:r>
      <w:r>
        <w:rPr>
          <w:lang w:bidi="he-IL"/>
        </w:rPr>
        <w:t>. In addition to the</w:t>
      </w:r>
      <w:r w:rsidR="005E3151">
        <w:rPr>
          <w:lang w:bidi="he-IL"/>
        </w:rPr>
        <w:t xml:space="preserve"> occurrence of “sins” in the Healing of the Paralytic, Luke </w:t>
      </w:r>
      <w:r w:rsidR="00136C6B">
        <w:rPr>
          <w:lang w:bidi="he-IL"/>
        </w:rPr>
        <w:t>includes</w:t>
      </w:r>
      <w:r w:rsidR="005E3151">
        <w:rPr>
          <w:lang w:bidi="he-IL"/>
        </w:rPr>
        <w:t xml:space="preserve"> </w:t>
      </w:r>
      <w:r w:rsidR="00166351">
        <w:rPr>
          <w:lang w:bidi="he-IL"/>
        </w:rPr>
        <w:t>several</w:t>
      </w:r>
      <w:r w:rsidR="005E3151">
        <w:rPr>
          <w:lang w:bidi="he-IL"/>
        </w:rPr>
        <w:t xml:space="preserve"> </w:t>
      </w:r>
      <w:r w:rsidR="00166351">
        <w:rPr>
          <w:lang w:bidi="he-IL"/>
        </w:rPr>
        <w:t>pericopae</w:t>
      </w:r>
      <w:r w:rsidR="005E3151">
        <w:rPr>
          <w:lang w:bidi="he-IL"/>
        </w:rPr>
        <w:t xml:space="preserve"> </w:t>
      </w:r>
      <w:r w:rsidR="00572253">
        <w:rPr>
          <w:lang w:bidi="he-IL"/>
        </w:rPr>
        <w:t xml:space="preserve">in his account </w:t>
      </w:r>
      <w:r w:rsidR="00166351">
        <w:rPr>
          <w:lang w:bidi="he-IL"/>
        </w:rPr>
        <w:t>where sins and sinners play a prominent role</w:t>
      </w:r>
      <w:r w:rsidR="00DF2405">
        <w:rPr>
          <w:lang w:bidi="he-IL"/>
        </w:rPr>
        <w:t xml:space="preserve">: </w:t>
      </w:r>
      <w:r w:rsidR="005F479C">
        <w:rPr>
          <w:lang w:bidi="he-IL"/>
        </w:rPr>
        <w:t xml:space="preserve">The Woman with </w:t>
      </w:r>
      <w:r w:rsidR="00402228">
        <w:rPr>
          <w:lang w:bidi="he-IL"/>
        </w:rPr>
        <w:t>the Ointment (Lk 7:36–50; cf. Mt 26:6–13; Mk 14:3–9)</w:t>
      </w:r>
      <w:r w:rsidR="00FB1E0E">
        <w:rPr>
          <w:lang w:bidi="he-IL"/>
        </w:rPr>
        <w:t xml:space="preserve">, </w:t>
      </w:r>
      <w:r w:rsidR="00EF0009">
        <w:rPr>
          <w:lang w:bidi="he-IL"/>
        </w:rPr>
        <w:t>t</w:t>
      </w:r>
      <w:r w:rsidR="00067F22">
        <w:rPr>
          <w:lang w:bidi="he-IL"/>
        </w:rPr>
        <w:t xml:space="preserve">he </w:t>
      </w:r>
      <w:r w:rsidR="00EF0009">
        <w:rPr>
          <w:lang w:bidi="he-IL"/>
        </w:rPr>
        <w:t>p</w:t>
      </w:r>
      <w:r w:rsidR="00067F22">
        <w:rPr>
          <w:lang w:bidi="he-IL"/>
        </w:rPr>
        <w:t>arables of the Lost and Found (Lk 15:1</w:t>
      </w:r>
      <w:r w:rsidR="003D0E22">
        <w:rPr>
          <w:lang w:bidi="he-IL"/>
        </w:rPr>
        <w:t>–32)</w:t>
      </w:r>
      <w:r w:rsidR="00916A71">
        <w:rPr>
          <w:lang w:bidi="he-IL"/>
        </w:rPr>
        <w:t>, and the story of Zacchaeus (</w:t>
      </w:r>
      <w:r w:rsidR="000C6926">
        <w:rPr>
          <w:lang w:bidi="he-IL"/>
        </w:rPr>
        <w:t>Lk 19:1–10).</w:t>
      </w:r>
      <w:r w:rsidR="000F709E">
        <w:rPr>
          <w:lang w:bidi="he-IL"/>
        </w:rPr>
        <w:t xml:space="preserve"> </w:t>
      </w:r>
      <w:r w:rsidR="00572253">
        <w:rPr>
          <w:lang w:bidi="he-IL"/>
        </w:rPr>
        <w:t>Like Matthew</w:t>
      </w:r>
      <w:r w:rsidR="00AB58B7">
        <w:rPr>
          <w:lang w:bidi="he-IL"/>
        </w:rPr>
        <w:t xml:space="preserve">, </w:t>
      </w:r>
      <w:r w:rsidR="00450896">
        <w:rPr>
          <w:lang w:bidi="he-IL"/>
        </w:rPr>
        <w:t xml:space="preserve">Luke’s emphasis on sins </w:t>
      </w:r>
      <w:r w:rsidR="00AB58B7">
        <w:rPr>
          <w:lang w:bidi="he-IL"/>
        </w:rPr>
        <w:t xml:space="preserve">should be expected given that he </w:t>
      </w:r>
      <w:r w:rsidR="003A0AED">
        <w:rPr>
          <w:lang w:bidi="he-IL"/>
        </w:rPr>
        <w:t xml:space="preserve">introduces </w:t>
      </w:r>
      <w:r w:rsidR="00EC1653">
        <w:rPr>
          <w:lang w:bidi="he-IL"/>
        </w:rPr>
        <w:t xml:space="preserve">it </w:t>
      </w:r>
      <w:r w:rsidR="003A0AED">
        <w:rPr>
          <w:lang w:bidi="he-IL"/>
        </w:rPr>
        <w:t>a</w:t>
      </w:r>
      <w:r w:rsidR="00E704FE">
        <w:rPr>
          <w:lang w:bidi="he-IL"/>
        </w:rPr>
        <w:t>s</w:t>
      </w:r>
      <w:r w:rsidR="003A0AED">
        <w:rPr>
          <w:lang w:bidi="he-IL"/>
        </w:rPr>
        <w:t xml:space="preserve"> programmatic motif </w:t>
      </w:r>
      <w:r w:rsidR="006822E4">
        <w:rPr>
          <w:lang w:bidi="he-IL"/>
        </w:rPr>
        <w:t>in the opening sections of his gospel account</w:t>
      </w:r>
      <w:r w:rsidR="00E704FE">
        <w:rPr>
          <w:lang w:bidi="he-IL"/>
        </w:rPr>
        <w:t xml:space="preserve"> (e.g. 1:77)</w:t>
      </w:r>
      <w:r w:rsidR="006822E4">
        <w:rPr>
          <w:lang w:bidi="he-IL"/>
        </w:rPr>
        <w:t xml:space="preserve"> and Jesus’ sermon at Nazareth (4:</w:t>
      </w:r>
      <w:r w:rsidR="00E704FE">
        <w:rPr>
          <w:lang w:bidi="he-IL"/>
        </w:rPr>
        <w:t>1</w:t>
      </w:r>
      <w:r w:rsidR="00272AF1">
        <w:rPr>
          <w:lang w:bidi="he-IL"/>
        </w:rPr>
        <w:t>4</w:t>
      </w:r>
      <w:r w:rsidR="00E704FE">
        <w:rPr>
          <w:lang w:bidi="he-IL"/>
        </w:rPr>
        <w:t>–</w:t>
      </w:r>
      <w:r w:rsidR="00272AF1">
        <w:rPr>
          <w:lang w:bidi="he-IL"/>
        </w:rPr>
        <w:t>30</w:t>
      </w:r>
      <w:r w:rsidR="00E704FE">
        <w:rPr>
          <w:lang w:bidi="he-IL"/>
        </w:rPr>
        <w:t>)</w:t>
      </w:r>
      <w:r w:rsidR="00783059">
        <w:rPr>
          <w:lang w:bidi="he-IL"/>
        </w:rPr>
        <w:t xml:space="preserve">, which are later </w:t>
      </w:r>
      <w:r w:rsidR="002527E3">
        <w:rPr>
          <w:lang w:bidi="he-IL"/>
        </w:rPr>
        <w:t>bookended</w:t>
      </w:r>
      <w:r w:rsidR="00783059">
        <w:rPr>
          <w:lang w:bidi="he-IL"/>
        </w:rPr>
        <w:t xml:space="preserve"> </w:t>
      </w:r>
      <w:r w:rsidR="00CF71EA">
        <w:rPr>
          <w:lang w:bidi="he-IL"/>
        </w:rPr>
        <w:t xml:space="preserve">by a commission </w:t>
      </w:r>
      <w:r w:rsidR="00791E98">
        <w:rPr>
          <w:lang w:bidi="he-IL"/>
        </w:rPr>
        <w:t xml:space="preserve">to proclaim </w:t>
      </w:r>
      <w:r w:rsidR="002527E3">
        <w:rPr>
          <w:lang w:bidi="he-IL"/>
        </w:rPr>
        <w:t>forgiveness</w:t>
      </w:r>
      <w:r w:rsidR="009F7FB7">
        <w:rPr>
          <w:lang w:bidi="he-IL"/>
        </w:rPr>
        <w:t xml:space="preserve"> of sins to all nations at the close of the account (24:47).</w:t>
      </w:r>
      <w:r w:rsidR="007D2FD2">
        <w:rPr>
          <w:lang w:bidi="he-IL"/>
        </w:rPr>
        <w:t xml:space="preserve"> </w:t>
      </w:r>
      <w:r w:rsidR="00237976">
        <w:rPr>
          <w:lang w:bidi="he-IL"/>
        </w:rPr>
        <w:t>These programmatic statements in Luke also include the forgiveness of sins or the release of captives.</w:t>
      </w:r>
      <w:r w:rsidR="00D77F24">
        <w:rPr>
          <w:rStyle w:val="FootnoteReference"/>
          <w:lang w:bidi="he-IL"/>
        </w:rPr>
        <w:footnoteReference w:id="86"/>
      </w:r>
      <w:r w:rsidR="00237976">
        <w:rPr>
          <w:lang w:bidi="he-IL"/>
        </w:rPr>
        <w:t xml:space="preserve"> </w:t>
      </w:r>
      <w:r w:rsidR="00462140">
        <w:rPr>
          <w:lang w:bidi="he-IL"/>
        </w:rPr>
        <w:t xml:space="preserve">In particular, </w:t>
      </w:r>
      <w:r w:rsidR="00AF55CD">
        <w:rPr>
          <w:lang w:bidi="he-IL"/>
        </w:rPr>
        <w:t>the</w:t>
      </w:r>
      <w:r w:rsidR="00462140">
        <w:rPr>
          <w:lang w:bidi="he-IL"/>
        </w:rPr>
        <w:t xml:space="preserve"> sermon at Nazareth serves </w:t>
      </w:r>
      <w:r w:rsidR="007D11DF">
        <w:rPr>
          <w:lang w:bidi="he-IL"/>
        </w:rPr>
        <w:t>as a summary statement for Jesus’ later ministry</w:t>
      </w:r>
      <w:r w:rsidR="00726FA9">
        <w:rPr>
          <w:lang w:bidi="he-IL"/>
        </w:rPr>
        <w:t xml:space="preserve"> </w:t>
      </w:r>
      <w:r w:rsidR="006816EC">
        <w:rPr>
          <w:lang w:bidi="he-IL"/>
        </w:rPr>
        <w:t xml:space="preserve">that will </w:t>
      </w:r>
      <w:r w:rsidR="00726FA9">
        <w:rPr>
          <w:lang w:bidi="he-IL"/>
        </w:rPr>
        <w:t xml:space="preserve">bring good news to the poor and </w:t>
      </w:r>
      <w:r w:rsidR="003F00D7">
        <w:rPr>
          <w:lang w:bidi="he-IL"/>
        </w:rPr>
        <w:t>release to captives</w:t>
      </w:r>
      <w:r w:rsidR="006816EC">
        <w:rPr>
          <w:lang w:bidi="he-IL"/>
        </w:rPr>
        <w:t xml:space="preserve"> (</w:t>
      </w:r>
      <w:r w:rsidR="00272AF1">
        <w:rPr>
          <w:lang w:bidi="he-IL"/>
        </w:rPr>
        <w:t>4:18)</w:t>
      </w:r>
      <w:r w:rsidR="00237976">
        <w:rPr>
          <w:lang w:bidi="he-IL"/>
        </w:rPr>
        <w:t>.</w:t>
      </w:r>
      <w:r w:rsidR="00B77DF0">
        <w:rPr>
          <w:rStyle w:val="FootnoteReference"/>
          <w:lang w:bidi="he-IL"/>
        </w:rPr>
        <w:footnoteReference w:id="87"/>
      </w:r>
      <w:r w:rsidR="00237976">
        <w:rPr>
          <w:lang w:bidi="he-IL"/>
        </w:rPr>
        <w:t xml:space="preserve"> Like Matthew, Luke includes a prophetic </w:t>
      </w:r>
      <w:r w:rsidR="00633C76">
        <w:rPr>
          <w:lang w:bidi="he-IL"/>
        </w:rPr>
        <w:t>fulfilment</w:t>
      </w:r>
      <w:r w:rsidR="00237976">
        <w:rPr>
          <w:lang w:bidi="he-IL"/>
        </w:rPr>
        <w:t xml:space="preserve"> statement from </w:t>
      </w:r>
      <w:r w:rsidR="00633C76">
        <w:rPr>
          <w:lang w:bidi="he-IL"/>
        </w:rPr>
        <w:t>Isaiah</w:t>
      </w:r>
      <w:r w:rsidR="001527CC">
        <w:rPr>
          <w:lang w:bidi="he-IL"/>
        </w:rPr>
        <w:t xml:space="preserve"> (</w:t>
      </w:r>
      <w:r w:rsidR="00EA6A96">
        <w:rPr>
          <w:lang w:bidi="he-IL"/>
        </w:rPr>
        <w:t xml:space="preserve">61:1–2) </w:t>
      </w:r>
      <w:r w:rsidR="00D7294E">
        <w:rPr>
          <w:lang w:bidi="he-IL"/>
        </w:rPr>
        <w:t xml:space="preserve">about Jesus’ program </w:t>
      </w:r>
      <w:r w:rsidR="00EA6A96">
        <w:rPr>
          <w:lang w:bidi="he-IL"/>
        </w:rPr>
        <w:t>but has Jesus himself proclaim its fulfilment</w:t>
      </w:r>
      <w:r w:rsidR="00D7294E">
        <w:rPr>
          <w:lang w:bidi="he-IL"/>
        </w:rPr>
        <w:t>:</w:t>
      </w:r>
      <w:r w:rsidR="00EA6A96">
        <w:rPr>
          <w:lang w:bidi="he-IL"/>
        </w:rPr>
        <w:t xml:space="preserve"> </w:t>
      </w:r>
      <w:r w:rsidR="00BB5B10" w:rsidRPr="00BB5B10">
        <w:rPr>
          <w:lang w:val="el-GR" w:bidi="he-IL"/>
        </w:rPr>
        <w:t>σήμερον</w:t>
      </w:r>
      <w:r w:rsidR="00BB5B10" w:rsidRPr="00BB5B10">
        <w:rPr>
          <w:lang w:bidi="he-IL"/>
        </w:rPr>
        <w:t xml:space="preserve"> </w:t>
      </w:r>
      <w:r w:rsidR="00BB5B10" w:rsidRPr="00BB5B10">
        <w:rPr>
          <w:lang w:val="el-GR" w:bidi="he-IL"/>
        </w:rPr>
        <w:t>πεπλήρωται</w:t>
      </w:r>
      <w:r w:rsidR="00BB5B10" w:rsidRPr="00BB5B10">
        <w:rPr>
          <w:lang w:bidi="he-IL"/>
        </w:rPr>
        <w:t xml:space="preserve"> </w:t>
      </w:r>
      <w:r w:rsidR="00BB5B10" w:rsidRPr="00BB5B10">
        <w:rPr>
          <w:lang w:val="el-GR" w:bidi="he-IL"/>
        </w:rPr>
        <w:t>ἡ</w:t>
      </w:r>
      <w:r w:rsidR="00BB5B10" w:rsidRPr="00BB5B10">
        <w:rPr>
          <w:lang w:bidi="he-IL"/>
        </w:rPr>
        <w:t xml:space="preserve"> </w:t>
      </w:r>
      <w:r w:rsidR="00BB5B10" w:rsidRPr="00BB5B10">
        <w:rPr>
          <w:lang w:val="el-GR" w:bidi="he-IL"/>
        </w:rPr>
        <w:t>γραφὴ</w:t>
      </w:r>
      <w:r w:rsidR="00BB5B10" w:rsidRPr="00BB5B10">
        <w:rPr>
          <w:lang w:bidi="he-IL"/>
        </w:rPr>
        <w:t xml:space="preserve"> </w:t>
      </w:r>
      <w:r w:rsidR="00BB5B10" w:rsidRPr="00BB5B10">
        <w:rPr>
          <w:lang w:val="el-GR" w:bidi="he-IL"/>
        </w:rPr>
        <w:t>αὕτη</w:t>
      </w:r>
      <w:r w:rsidR="00BB5B10" w:rsidRPr="00BB5B10">
        <w:rPr>
          <w:lang w:bidi="he-IL"/>
        </w:rPr>
        <w:t xml:space="preserve"> </w:t>
      </w:r>
      <w:r w:rsidR="00BB5B10" w:rsidRPr="00BB5B10">
        <w:rPr>
          <w:lang w:val="el-GR" w:bidi="he-IL"/>
        </w:rPr>
        <w:t>ἐν</w:t>
      </w:r>
      <w:r w:rsidR="00BB5B10" w:rsidRPr="00BB5B10">
        <w:rPr>
          <w:lang w:bidi="he-IL"/>
        </w:rPr>
        <w:t xml:space="preserve"> </w:t>
      </w:r>
      <w:r w:rsidR="00BB5B10" w:rsidRPr="00BB5B10">
        <w:rPr>
          <w:lang w:val="el-GR" w:bidi="he-IL"/>
        </w:rPr>
        <w:t>τοῖς</w:t>
      </w:r>
      <w:r w:rsidR="00BB5B10" w:rsidRPr="00BB5B10">
        <w:rPr>
          <w:lang w:bidi="he-IL"/>
        </w:rPr>
        <w:t xml:space="preserve"> </w:t>
      </w:r>
      <w:r w:rsidR="00BB5B10" w:rsidRPr="00BB5B10">
        <w:rPr>
          <w:lang w:val="el-GR" w:bidi="he-IL"/>
        </w:rPr>
        <w:t>ὠσὶν</w:t>
      </w:r>
      <w:r w:rsidR="00BB5B10" w:rsidRPr="00BB5B10">
        <w:rPr>
          <w:lang w:bidi="he-IL"/>
        </w:rPr>
        <w:t xml:space="preserve"> </w:t>
      </w:r>
      <w:r w:rsidR="00BB5B10" w:rsidRPr="00BB5B10">
        <w:rPr>
          <w:lang w:val="el-GR" w:bidi="he-IL"/>
        </w:rPr>
        <w:t>ὑμῶν</w:t>
      </w:r>
      <w:r w:rsidR="00BB5B10">
        <w:rPr>
          <w:lang w:bidi="he-IL"/>
        </w:rPr>
        <w:t xml:space="preserve"> (Lk 4:21).</w:t>
      </w:r>
      <w:r w:rsidR="00BB5B10">
        <w:rPr>
          <w:rStyle w:val="FootnoteReference"/>
          <w:lang w:bidi="he-IL"/>
        </w:rPr>
        <w:footnoteReference w:id="88"/>
      </w:r>
      <w:r w:rsidR="00EA6A96">
        <w:rPr>
          <w:lang w:bidi="he-IL"/>
        </w:rPr>
        <w:t xml:space="preserve"> </w:t>
      </w:r>
      <w:r w:rsidR="005B21E0">
        <w:rPr>
          <w:lang w:bidi="he-IL"/>
        </w:rPr>
        <w:t xml:space="preserve">Jesus’ </w:t>
      </w:r>
      <w:r w:rsidR="00442125">
        <w:rPr>
          <w:lang w:bidi="he-IL"/>
        </w:rPr>
        <w:t xml:space="preserve">many interactions with “sin” </w:t>
      </w:r>
      <w:r w:rsidR="005B21E0">
        <w:rPr>
          <w:lang w:bidi="he-IL"/>
        </w:rPr>
        <w:t xml:space="preserve">in Luke </w:t>
      </w:r>
      <w:r w:rsidR="007D50C6">
        <w:rPr>
          <w:lang w:bidi="he-IL"/>
        </w:rPr>
        <w:t xml:space="preserve">thus </w:t>
      </w:r>
      <w:r w:rsidR="00442125">
        <w:rPr>
          <w:lang w:bidi="he-IL"/>
        </w:rPr>
        <w:t xml:space="preserve">serve to confirm the expectation of Jesus procuring release for captives through the forgiveness of sins. </w:t>
      </w:r>
      <w:r w:rsidR="005071CE">
        <w:rPr>
          <w:lang w:bidi="he-IL"/>
        </w:rPr>
        <w:t>We can see this Lukan emphasis in Luke’s account of the Healing of the Paralytic</w:t>
      </w:r>
      <w:r w:rsidR="00E8188F">
        <w:rPr>
          <w:lang w:bidi="he-IL"/>
        </w:rPr>
        <w:t>, specifically</w:t>
      </w:r>
      <w:r w:rsidR="002E19F9">
        <w:rPr>
          <w:lang w:bidi="he-IL"/>
        </w:rPr>
        <w:t>, like Matthew,</w:t>
      </w:r>
      <w:r w:rsidR="00E8188F">
        <w:rPr>
          <w:lang w:bidi="he-IL"/>
        </w:rPr>
        <w:t xml:space="preserve"> in how Luke closes out the episode.</w:t>
      </w:r>
      <w:r w:rsidR="005C4E16">
        <w:rPr>
          <w:lang w:bidi="he-IL"/>
        </w:rPr>
        <w:t xml:space="preserve"> In additional to describing the </w:t>
      </w:r>
      <w:r w:rsidR="00E16F1B">
        <w:rPr>
          <w:lang w:bidi="he-IL"/>
        </w:rPr>
        <w:t>witnesses of the miracle being seized with amazement and glorifying God</w:t>
      </w:r>
      <w:r w:rsidR="00587AFE">
        <w:rPr>
          <w:lang w:bidi="he-IL"/>
        </w:rPr>
        <w:t>,</w:t>
      </w:r>
      <w:r w:rsidR="00226A5B">
        <w:rPr>
          <w:lang w:bidi="he-IL"/>
        </w:rPr>
        <w:t xml:space="preserve"> Luke has them say, </w:t>
      </w:r>
      <w:r w:rsidR="00AC1F8B" w:rsidRPr="00AC1F8B">
        <w:rPr>
          <w:lang w:val="el-GR" w:bidi="he-IL"/>
        </w:rPr>
        <w:t>εἴδομεν</w:t>
      </w:r>
      <w:r w:rsidR="00AC1F8B" w:rsidRPr="00AC1F8B">
        <w:rPr>
          <w:lang w:bidi="he-IL"/>
        </w:rPr>
        <w:t xml:space="preserve"> </w:t>
      </w:r>
      <w:r w:rsidR="00AC1F8B" w:rsidRPr="00AC1F8B">
        <w:rPr>
          <w:lang w:val="el-GR" w:bidi="he-IL"/>
        </w:rPr>
        <w:t>παράδοξα</w:t>
      </w:r>
      <w:r w:rsidR="00AC1F8B" w:rsidRPr="00AC1F8B">
        <w:rPr>
          <w:lang w:bidi="he-IL"/>
        </w:rPr>
        <w:t xml:space="preserve"> </w:t>
      </w:r>
      <w:r w:rsidR="00AC1F8B" w:rsidRPr="00AC1F8B">
        <w:rPr>
          <w:lang w:val="el-GR" w:bidi="he-IL"/>
        </w:rPr>
        <w:lastRenderedPageBreak/>
        <w:t>σήμερον</w:t>
      </w:r>
      <w:r w:rsidR="00AC1F8B">
        <w:rPr>
          <w:lang w:bidi="he-IL"/>
        </w:rPr>
        <w:t xml:space="preserve"> (Lk 5:26).</w:t>
      </w:r>
      <w:r w:rsidR="00AC1F8B">
        <w:rPr>
          <w:rStyle w:val="FootnoteReference"/>
          <w:lang w:bidi="he-IL"/>
        </w:rPr>
        <w:footnoteReference w:id="89"/>
      </w:r>
      <w:r w:rsidR="00A952AB">
        <w:rPr>
          <w:lang w:bidi="he-IL"/>
        </w:rPr>
        <w:t xml:space="preserve"> The word </w:t>
      </w:r>
      <w:r w:rsidR="00224AAA" w:rsidRPr="00AC1F8B">
        <w:rPr>
          <w:lang w:val="el-GR" w:bidi="he-IL"/>
        </w:rPr>
        <w:t>σήμερον</w:t>
      </w:r>
      <w:r w:rsidR="00224AAA">
        <w:rPr>
          <w:lang w:bidi="he-IL"/>
        </w:rPr>
        <w:t xml:space="preserve"> (today) here evokes Jesus’ prior statement about </w:t>
      </w:r>
      <w:r w:rsidR="00A1376A">
        <w:rPr>
          <w:lang w:bidi="he-IL"/>
        </w:rPr>
        <w:t>his reading of Isaiah</w:t>
      </w:r>
      <w:r w:rsidR="00AC639E">
        <w:rPr>
          <w:lang w:bidi="he-IL"/>
        </w:rPr>
        <w:t xml:space="preserve"> in the Na</w:t>
      </w:r>
      <w:r w:rsidR="00BE15BE">
        <w:rPr>
          <w:lang w:bidi="he-IL"/>
        </w:rPr>
        <w:t>zareth synagogue as</w:t>
      </w:r>
      <w:r w:rsidR="00A1376A">
        <w:rPr>
          <w:lang w:bidi="he-IL"/>
        </w:rPr>
        <w:t xml:space="preserve"> being fulfilled </w:t>
      </w:r>
      <w:r w:rsidR="00A1376A" w:rsidRPr="00AC1F8B">
        <w:rPr>
          <w:lang w:val="el-GR" w:bidi="he-IL"/>
        </w:rPr>
        <w:t>σήμερον</w:t>
      </w:r>
      <w:r w:rsidR="00A1376A">
        <w:rPr>
          <w:lang w:bidi="he-IL"/>
        </w:rPr>
        <w:t xml:space="preserve"> (today</w:t>
      </w:r>
      <w:r w:rsidR="00047716">
        <w:rPr>
          <w:lang w:bidi="he-IL"/>
        </w:rPr>
        <w:t>) (Lk 5:26; cf. 4:</w:t>
      </w:r>
      <w:r w:rsidR="00820215">
        <w:rPr>
          <w:lang w:bidi="he-IL"/>
        </w:rPr>
        <w:t>21).</w:t>
      </w:r>
      <w:r w:rsidR="00534115">
        <w:rPr>
          <w:lang w:bidi="he-IL"/>
        </w:rPr>
        <w:t xml:space="preserve"> </w:t>
      </w:r>
      <w:r w:rsidR="00111B28">
        <w:rPr>
          <w:lang w:bidi="he-IL"/>
        </w:rPr>
        <w:t xml:space="preserve">The word </w:t>
      </w:r>
      <w:r w:rsidR="00111B28" w:rsidRPr="00AC1F8B">
        <w:rPr>
          <w:lang w:val="el-GR" w:bidi="he-IL"/>
        </w:rPr>
        <w:t>σήμερον</w:t>
      </w:r>
      <w:r w:rsidR="00111B28">
        <w:rPr>
          <w:lang w:bidi="he-IL"/>
        </w:rPr>
        <w:t xml:space="preserve"> plays a </w:t>
      </w:r>
      <w:r w:rsidR="00AE1F3F">
        <w:rPr>
          <w:lang w:bidi="he-IL"/>
        </w:rPr>
        <w:t>vital role in proclaiming the presence of Jesus’ messianic fulfilment within Luke’s gospel</w:t>
      </w:r>
      <w:r w:rsidR="00247C34">
        <w:rPr>
          <w:lang w:bidi="he-IL"/>
        </w:rPr>
        <w:t>;</w:t>
      </w:r>
      <w:r w:rsidR="00AE1F3F">
        <w:rPr>
          <w:lang w:bidi="he-IL"/>
        </w:rPr>
        <w:t xml:space="preserve"> it appears </w:t>
      </w:r>
      <w:r w:rsidR="0086082F">
        <w:rPr>
          <w:lang w:bidi="he-IL"/>
        </w:rPr>
        <w:t>in Luke</w:t>
      </w:r>
      <w:r w:rsidR="00247C34">
        <w:rPr>
          <w:lang w:bidi="he-IL"/>
        </w:rPr>
        <w:t>’s</w:t>
      </w:r>
      <w:r w:rsidR="0086082F">
        <w:rPr>
          <w:lang w:bidi="he-IL"/>
        </w:rPr>
        <w:t xml:space="preserve"> nativity scene (2:11), </w:t>
      </w:r>
      <w:r w:rsidR="000F5E65">
        <w:rPr>
          <w:lang w:bidi="he-IL"/>
        </w:rPr>
        <w:t>the sermon at Nazareth (4:21), the Healing of the Paralytic (5:26),</w:t>
      </w:r>
      <w:r w:rsidR="00111B28">
        <w:rPr>
          <w:lang w:bidi="he-IL"/>
        </w:rPr>
        <w:t xml:space="preserve"> </w:t>
      </w:r>
      <w:r w:rsidR="0075176F">
        <w:rPr>
          <w:lang w:bidi="he-IL"/>
        </w:rPr>
        <w:t>the episode with Zacchaeus (19:5, 9)</w:t>
      </w:r>
      <w:r w:rsidR="003E0551">
        <w:rPr>
          <w:lang w:bidi="he-IL"/>
        </w:rPr>
        <w:t xml:space="preserve">, and </w:t>
      </w:r>
      <w:r w:rsidR="00292E34">
        <w:rPr>
          <w:lang w:bidi="he-IL"/>
        </w:rPr>
        <w:t>Jesus’ statement to the thief on the cross (23:43).</w:t>
      </w:r>
      <w:r w:rsidR="0008768B">
        <w:rPr>
          <w:rStyle w:val="FootnoteReference"/>
          <w:lang w:bidi="he-IL"/>
        </w:rPr>
        <w:footnoteReference w:id="90"/>
      </w:r>
      <w:r w:rsidR="00247C34">
        <w:rPr>
          <w:lang w:bidi="he-IL"/>
        </w:rPr>
        <w:t xml:space="preserve"> </w:t>
      </w:r>
      <w:r w:rsidR="007949EE">
        <w:rPr>
          <w:lang w:bidi="he-IL"/>
        </w:rPr>
        <w:t xml:space="preserve">By using </w:t>
      </w:r>
      <w:r w:rsidR="007949EE" w:rsidRPr="00AC1F8B">
        <w:rPr>
          <w:lang w:val="el-GR" w:bidi="he-IL"/>
        </w:rPr>
        <w:t>σήμερον</w:t>
      </w:r>
      <w:r w:rsidR="007949EE">
        <w:rPr>
          <w:lang w:bidi="he-IL"/>
        </w:rPr>
        <w:t xml:space="preserve"> in this pericope</w:t>
      </w:r>
      <w:r w:rsidR="006C0EF3">
        <w:rPr>
          <w:lang w:bidi="he-IL"/>
        </w:rPr>
        <w:t xml:space="preserve">, </w:t>
      </w:r>
      <w:r w:rsidR="00E41A9B">
        <w:rPr>
          <w:lang w:bidi="he-IL"/>
        </w:rPr>
        <w:t xml:space="preserve">Luke thus sees </w:t>
      </w:r>
      <w:r w:rsidR="00341F86">
        <w:rPr>
          <w:lang w:bidi="he-IL"/>
        </w:rPr>
        <w:t>Jesus’</w:t>
      </w:r>
      <w:r w:rsidR="006C0EF3">
        <w:rPr>
          <w:lang w:bidi="he-IL"/>
        </w:rPr>
        <w:t xml:space="preserve"> </w:t>
      </w:r>
      <w:r w:rsidR="00341F86">
        <w:rPr>
          <w:lang w:bidi="he-IL"/>
        </w:rPr>
        <w:t xml:space="preserve">act of </w:t>
      </w:r>
      <w:r w:rsidR="006C0EF3">
        <w:rPr>
          <w:lang w:bidi="he-IL"/>
        </w:rPr>
        <w:t xml:space="preserve">healing the paralytic and </w:t>
      </w:r>
      <w:r w:rsidR="00341F86">
        <w:rPr>
          <w:lang w:bidi="he-IL"/>
        </w:rPr>
        <w:t xml:space="preserve">forgiving </w:t>
      </w:r>
      <w:r w:rsidR="006C0EF3">
        <w:rPr>
          <w:lang w:bidi="he-IL"/>
        </w:rPr>
        <w:t xml:space="preserve">his sins </w:t>
      </w:r>
      <w:r w:rsidR="00E41A9B">
        <w:rPr>
          <w:lang w:bidi="he-IL"/>
        </w:rPr>
        <w:t xml:space="preserve">as a confirmation </w:t>
      </w:r>
      <w:r w:rsidR="00DA071C">
        <w:rPr>
          <w:lang w:bidi="he-IL"/>
        </w:rPr>
        <w:t>and attribution of</w:t>
      </w:r>
      <w:r w:rsidR="006C0EF3">
        <w:rPr>
          <w:lang w:bidi="he-IL"/>
        </w:rPr>
        <w:t xml:space="preserve"> </w:t>
      </w:r>
      <w:r w:rsidR="00341F86">
        <w:rPr>
          <w:lang w:bidi="he-IL"/>
        </w:rPr>
        <w:t>his</w:t>
      </w:r>
      <w:r w:rsidR="00E622CA">
        <w:rPr>
          <w:lang w:bidi="he-IL"/>
        </w:rPr>
        <w:t xml:space="preserve"> messianic </w:t>
      </w:r>
      <w:r w:rsidR="008B76C1">
        <w:rPr>
          <w:lang w:bidi="he-IL"/>
        </w:rPr>
        <w:t xml:space="preserve">role as one who forgives sins through the release of captives, in this case </w:t>
      </w:r>
      <w:r w:rsidR="00DD6713">
        <w:rPr>
          <w:lang w:bidi="he-IL"/>
        </w:rPr>
        <w:t>that of paralysis.</w:t>
      </w:r>
    </w:p>
    <w:p w14:paraId="0287C389" w14:textId="0481D8FD" w:rsidR="000539F0" w:rsidRDefault="004371B4" w:rsidP="00DD6713">
      <w:pPr>
        <w:ind w:firstLine="720"/>
        <w:rPr>
          <w:lang w:bidi="he-IL"/>
        </w:rPr>
      </w:pPr>
      <w:r>
        <w:rPr>
          <w:lang w:bidi="he-IL"/>
        </w:rPr>
        <w:t xml:space="preserve">It </w:t>
      </w:r>
      <w:r w:rsidR="007E5E28">
        <w:rPr>
          <w:lang w:bidi="he-IL"/>
        </w:rPr>
        <w:t>is evident then, that sins and forgiveness have a role to play in both Matthew’s and Luke’s account</w:t>
      </w:r>
      <w:r w:rsidR="005D33F5">
        <w:rPr>
          <w:lang w:bidi="he-IL"/>
        </w:rPr>
        <w:t>s</w:t>
      </w:r>
      <w:r w:rsidR="007E5E28">
        <w:rPr>
          <w:lang w:bidi="he-IL"/>
        </w:rPr>
        <w:t xml:space="preserve"> given their </w:t>
      </w:r>
      <w:r w:rsidR="002D2344">
        <w:rPr>
          <w:lang w:bidi="he-IL"/>
        </w:rPr>
        <w:t>introductory material</w:t>
      </w:r>
      <w:r w:rsidR="00CE7FCD">
        <w:rPr>
          <w:lang w:bidi="he-IL"/>
        </w:rPr>
        <w:t xml:space="preserve">. </w:t>
      </w:r>
      <w:r w:rsidR="007577A7">
        <w:rPr>
          <w:lang w:bidi="he-IL"/>
        </w:rPr>
        <w:t>While the amount of material about sins differs drastically between Matthew and Luke</w:t>
      </w:r>
      <w:r w:rsidR="00090593">
        <w:rPr>
          <w:lang w:bidi="he-IL"/>
        </w:rPr>
        <w:t xml:space="preserve"> their use of “sin” in the Healing of the Paralytic serve</w:t>
      </w:r>
      <w:r w:rsidR="00A96B47">
        <w:rPr>
          <w:lang w:bidi="he-IL"/>
        </w:rPr>
        <w:t>s</w:t>
      </w:r>
      <w:r w:rsidR="00090593">
        <w:rPr>
          <w:lang w:bidi="he-IL"/>
        </w:rPr>
        <w:t xml:space="preserve"> </w:t>
      </w:r>
      <w:r w:rsidR="004A6DB8">
        <w:rPr>
          <w:lang w:bidi="he-IL"/>
        </w:rPr>
        <w:t>remarkably</w:t>
      </w:r>
      <w:r w:rsidR="00090593">
        <w:rPr>
          <w:lang w:bidi="he-IL"/>
        </w:rPr>
        <w:t xml:space="preserve"> similar goals. </w:t>
      </w:r>
      <w:r w:rsidR="000E4DEB">
        <w:rPr>
          <w:lang w:bidi="he-IL"/>
        </w:rPr>
        <w:t>In Matthew</w:t>
      </w:r>
      <w:r w:rsidR="008E6D59">
        <w:rPr>
          <w:lang w:bidi="he-IL"/>
        </w:rPr>
        <w:t xml:space="preserve">, Jesus’ interaction with “sin” </w:t>
      </w:r>
      <w:r w:rsidR="004D7E1E">
        <w:rPr>
          <w:lang w:bidi="he-IL"/>
        </w:rPr>
        <w:t xml:space="preserve">in the Healing of the Paralytic </w:t>
      </w:r>
      <w:r w:rsidR="00126E9D">
        <w:rPr>
          <w:lang w:bidi="he-IL"/>
        </w:rPr>
        <w:t>serve</w:t>
      </w:r>
      <w:r w:rsidR="004D7E1E">
        <w:rPr>
          <w:lang w:bidi="he-IL"/>
        </w:rPr>
        <w:t>s</w:t>
      </w:r>
      <w:r w:rsidR="009F245B">
        <w:rPr>
          <w:lang w:bidi="he-IL"/>
        </w:rPr>
        <w:t xml:space="preserve"> as</w:t>
      </w:r>
      <w:r w:rsidR="00642FA4">
        <w:rPr>
          <w:lang w:bidi="he-IL"/>
        </w:rPr>
        <w:t xml:space="preserve"> confirmation of his</w:t>
      </w:r>
      <w:r w:rsidR="00126E9D">
        <w:rPr>
          <w:lang w:bidi="he-IL"/>
        </w:rPr>
        <w:t xml:space="preserve"> Messianic identity</w:t>
      </w:r>
      <w:r w:rsidR="00FA07EE">
        <w:rPr>
          <w:lang w:bidi="he-IL"/>
        </w:rPr>
        <w:t xml:space="preserve"> </w:t>
      </w:r>
      <w:r w:rsidR="004D7E1E">
        <w:rPr>
          <w:lang w:bidi="he-IL"/>
        </w:rPr>
        <w:t>in conjunction with</w:t>
      </w:r>
      <w:r w:rsidR="003E38C4">
        <w:rPr>
          <w:lang w:bidi="he-IL"/>
        </w:rPr>
        <w:t xml:space="preserve"> the</w:t>
      </w:r>
      <w:r w:rsidR="00C94D3E">
        <w:rPr>
          <w:lang w:bidi="he-IL"/>
        </w:rPr>
        <w:t xml:space="preserve"> </w:t>
      </w:r>
      <w:r w:rsidR="00FA07EE">
        <w:rPr>
          <w:lang w:bidi="he-IL"/>
        </w:rPr>
        <w:t>prophetic fulfillment statement</w:t>
      </w:r>
      <w:r w:rsidR="003E38C4">
        <w:rPr>
          <w:lang w:bidi="he-IL"/>
        </w:rPr>
        <w:t xml:space="preserve"> in Isaiah 7:14</w:t>
      </w:r>
      <w:r w:rsidR="003775F9">
        <w:rPr>
          <w:lang w:bidi="he-IL"/>
        </w:rPr>
        <w:t>, namely that Jesus is Emmanuel</w:t>
      </w:r>
      <w:r w:rsidR="00461CEC">
        <w:rPr>
          <w:lang w:bidi="he-IL"/>
        </w:rPr>
        <w:t xml:space="preserve"> or God among human beings</w:t>
      </w:r>
      <w:r w:rsidR="00C94D3E">
        <w:rPr>
          <w:lang w:bidi="he-IL"/>
        </w:rPr>
        <w:t>.</w:t>
      </w:r>
      <w:r w:rsidR="00632664">
        <w:rPr>
          <w:lang w:bidi="he-IL"/>
        </w:rPr>
        <w:t xml:space="preserve"> </w:t>
      </w:r>
      <w:r w:rsidR="000539F0">
        <w:rPr>
          <w:lang w:bidi="he-IL"/>
        </w:rPr>
        <w:t xml:space="preserve">Likewise, the Healing of the Paralytic </w:t>
      </w:r>
      <w:r w:rsidR="00C61D11">
        <w:rPr>
          <w:lang w:bidi="he-IL"/>
        </w:rPr>
        <w:t>in Luke serves as a confirmation of Jesus’ messianic program of forgiveness and release</w:t>
      </w:r>
      <w:r w:rsidR="00A85F4F">
        <w:rPr>
          <w:lang w:bidi="he-IL"/>
        </w:rPr>
        <w:t xml:space="preserve"> as a fulfilment of Isaiah 61:1–2</w:t>
      </w:r>
      <w:r w:rsidR="00515D74">
        <w:rPr>
          <w:lang w:bidi="he-IL"/>
        </w:rPr>
        <w:t xml:space="preserve"> enacted presently, that is, today</w:t>
      </w:r>
      <w:r w:rsidR="00F80ECE">
        <w:rPr>
          <w:lang w:bidi="he-IL"/>
        </w:rPr>
        <w:t xml:space="preserve"> (</w:t>
      </w:r>
      <w:r w:rsidR="00F80ECE" w:rsidRPr="00AC1F8B">
        <w:rPr>
          <w:lang w:val="el-GR" w:bidi="he-IL"/>
        </w:rPr>
        <w:t>σήμερον</w:t>
      </w:r>
      <w:r w:rsidR="00F80ECE">
        <w:rPr>
          <w:lang w:bidi="he-IL"/>
        </w:rPr>
        <w:t>)</w:t>
      </w:r>
      <w:r w:rsidR="00515D74">
        <w:rPr>
          <w:lang w:bidi="he-IL"/>
        </w:rPr>
        <w:t>.</w:t>
      </w:r>
      <w:r w:rsidR="008B18A4">
        <w:rPr>
          <w:lang w:bidi="he-IL"/>
        </w:rPr>
        <w:t xml:space="preserve"> Both Matthew and Luke therefore use the Healing of the Paralytic as a confirmation of </w:t>
      </w:r>
      <w:r w:rsidR="00FD0E5B">
        <w:rPr>
          <w:lang w:bidi="he-IL"/>
        </w:rPr>
        <w:t xml:space="preserve">their programmatic </w:t>
      </w:r>
      <w:r w:rsidR="008B18A4">
        <w:rPr>
          <w:lang w:bidi="he-IL"/>
        </w:rPr>
        <w:t xml:space="preserve">messianic fulfilment </w:t>
      </w:r>
      <w:r w:rsidR="00004A0E">
        <w:rPr>
          <w:lang w:bidi="he-IL"/>
        </w:rPr>
        <w:t xml:space="preserve">passages </w:t>
      </w:r>
      <w:r w:rsidR="00704D76">
        <w:rPr>
          <w:lang w:bidi="he-IL"/>
        </w:rPr>
        <w:t xml:space="preserve">in relation to their respective </w:t>
      </w:r>
      <w:r w:rsidR="003749A1">
        <w:rPr>
          <w:lang w:bidi="he-IL"/>
        </w:rPr>
        <w:t>prophetic statements from Isaiah</w:t>
      </w:r>
      <w:r w:rsidR="00FA3E1C">
        <w:rPr>
          <w:lang w:bidi="he-IL"/>
        </w:rPr>
        <w:t>.</w:t>
      </w:r>
      <w:r w:rsidR="00ED04C5">
        <w:rPr>
          <w:lang w:bidi="he-IL"/>
        </w:rPr>
        <w:t xml:space="preserve"> Matthew’s and Luke’s </w:t>
      </w:r>
      <w:r w:rsidR="00694392">
        <w:rPr>
          <w:lang w:bidi="he-IL"/>
        </w:rPr>
        <w:t xml:space="preserve">parallel </w:t>
      </w:r>
      <w:r w:rsidR="00ED04C5">
        <w:rPr>
          <w:lang w:bidi="he-IL"/>
        </w:rPr>
        <w:t xml:space="preserve">engagement with </w:t>
      </w:r>
      <w:r w:rsidR="00375B5E">
        <w:rPr>
          <w:lang w:bidi="he-IL"/>
        </w:rPr>
        <w:t xml:space="preserve">“sin” </w:t>
      </w:r>
      <w:r w:rsidR="003D16E0">
        <w:rPr>
          <w:lang w:bidi="he-IL"/>
        </w:rPr>
        <w:t xml:space="preserve">in this pericope </w:t>
      </w:r>
      <w:r w:rsidR="00375B5E">
        <w:rPr>
          <w:lang w:bidi="he-IL"/>
        </w:rPr>
        <w:t>thus confirms a possible association between the two gospel accounts as suggested by</w:t>
      </w:r>
      <w:r w:rsidR="0034549A">
        <w:rPr>
          <w:lang w:bidi="he-IL"/>
        </w:rPr>
        <w:t xml:space="preserve"> the analysis of the contingency table.</w:t>
      </w:r>
    </w:p>
    <w:p w14:paraId="6C52BB24" w14:textId="19E3A0C8" w:rsidR="00E95B40" w:rsidRDefault="00F37DA4" w:rsidP="005D50CD">
      <w:pPr>
        <w:ind w:firstLine="720"/>
        <w:rPr>
          <w:lang w:bidi="he-IL"/>
        </w:rPr>
      </w:pPr>
      <w:r>
        <w:rPr>
          <w:lang w:bidi="he-IL"/>
        </w:rPr>
        <w:lastRenderedPageBreak/>
        <w:t xml:space="preserve">Because of Matthew’s limited references to “sin” in comparison with Luke, the Healing of the Paralytic is the largest point of contact between Matthew and Luke where we can leverage an assertion about how </w:t>
      </w:r>
      <w:r w:rsidR="00F816B2">
        <w:rPr>
          <w:lang w:bidi="he-IL"/>
        </w:rPr>
        <w:t>the two authors also</w:t>
      </w:r>
      <w:r>
        <w:rPr>
          <w:lang w:bidi="he-IL"/>
        </w:rPr>
        <w:t xml:space="preserve"> emphasize “forgiveness</w:t>
      </w:r>
      <w:r w:rsidR="00F839F4">
        <w:rPr>
          <w:lang w:bidi="he-IL"/>
        </w:rPr>
        <w:t>”</w:t>
      </w:r>
      <w:r w:rsidR="00F816B2">
        <w:rPr>
          <w:lang w:bidi="he-IL"/>
        </w:rPr>
        <w:t xml:space="preserve"> in relation to one another.</w:t>
      </w:r>
      <w:r w:rsidR="005D50CD">
        <w:rPr>
          <w:lang w:bidi="he-IL"/>
        </w:rPr>
        <w:t xml:space="preserve"> Here I </w:t>
      </w:r>
      <w:r w:rsidR="001B1B0B">
        <w:rPr>
          <w:lang w:bidi="he-IL"/>
        </w:rPr>
        <w:t xml:space="preserve">take a closer look at “forgiveness” </w:t>
      </w:r>
      <w:r w:rsidR="003C3D3E">
        <w:rPr>
          <w:lang w:bidi="he-IL"/>
        </w:rPr>
        <w:t>as it appear</w:t>
      </w:r>
      <w:r w:rsidR="005C08B7">
        <w:rPr>
          <w:lang w:bidi="he-IL"/>
        </w:rPr>
        <w:t>s</w:t>
      </w:r>
      <w:r w:rsidR="003C3D3E">
        <w:rPr>
          <w:lang w:bidi="he-IL"/>
        </w:rPr>
        <w:t xml:space="preserve"> in Matthew and Luke to see how it operates within the Healing of the Paralytic. </w:t>
      </w:r>
      <w:r w:rsidR="0023644F">
        <w:rPr>
          <w:lang w:bidi="he-IL"/>
        </w:rPr>
        <w:t xml:space="preserve">The noun </w:t>
      </w:r>
      <w:r w:rsidR="0023644F">
        <w:rPr>
          <w:lang w:val="el-GR" w:bidi="he-IL"/>
        </w:rPr>
        <w:t>α</w:t>
      </w:r>
      <w:r w:rsidR="0023644F" w:rsidRPr="00DC3E22">
        <w:rPr>
          <w:lang w:bidi="he-IL"/>
        </w:rPr>
        <w:t>̓́</w:t>
      </w:r>
      <w:r w:rsidR="0023644F">
        <w:rPr>
          <w:lang w:val="el-GR" w:bidi="he-IL"/>
        </w:rPr>
        <w:t>φεσις</w:t>
      </w:r>
      <w:r w:rsidR="00DE5CCF">
        <w:rPr>
          <w:lang w:bidi="he-IL"/>
        </w:rPr>
        <w:t xml:space="preserve"> (forgiveness)</w:t>
      </w:r>
      <w:r w:rsidR="0023644F" w:rsidRPr="00DC3E22">
        <w:rPr>
          <w:lang w:bidi="he-IL"/>
        </w:rPr>
        <w:t xml:space="preserve"> </w:t>
      </w:r>
      <w:r w:rsidR="00DC3E22">
        <w:rPr>
          <w:lang w:bidi="he-IL"/>
        </w:rPr>
        <w:t>occurs infrequently in both Matthew and Luke</w:t>
      </w:r>
      <w:r w:rsidR="0059370D">
        <w:rPr>
          <w:lang w:bidi="he-IL"/>
        </w:rPr>
        <w:t xml:space="preserve">; in Matthew it appears only in the context of the Last Supper (26:28), while in Luke </w:t>
      </w:r>
      <w:r w:rsidR="003A37BB">
        <w:rPr>
          <w:lang w:bidi="he-IL"/>
        </w:rPr>
        <w:t>it appears in the programmatic statements about forgiveness at the opening and close of the gospel account (1:77</w:t>
      </w:r>
      <w:r w:rsidR="00736C57">
        <w:rPr>
          <w:lang w:bidi="he-IL"/>
        </w:rPr>
        <w:t>; 3:3; 4:18; 24:47).</w:t>
      </w:r>
      <w:r w:rsidR="00A71015">
        <w:rPr>
          <w:rStyle w:val="FootnoteReference"/>
          <w:lang w:bidi="he-IL"/>
        </w:rPr>
        <w:footnoteReference w:id="91"/>
      </w:r>
      <w:r w:rsidR="007F7592">
        <w:rPr>
          <w:lang w:bidi="he-IL"/>
        </w:rPr>
        <w:t xml:space="preserve"> </w:t>
      </w:r>
      <w:r w:rsidR="004F2066">
        <w:rPr>
          <w:lang w:bidi="he-IL"/>
        </w:rPr>
        <w:t xml:space="preserve">The verbal form </w:t>
      </w:r>
      <w:r w:rsidR="00C135F1">
        <w:rPr>
          <w:lang w:val="el-GR" w:bidi="he-IL"/>
        </w:rPr>
        <w:t>α</w:t>
      </w:r>
      <w:r w:rsidR="00C135F1" w:rsidRPr="00593493">
        <w:rPr>
          <w:lang w:bidi="he-IL"/>
        </w:rPr>
        <w:t>̓</w:t>
      </w:r>
      <w:r w:rsidR="00C135F1">
        <w:rPr>
          <w:lang w:val="el-GR" w:bidi="he-IL"/>
        </w:rPr>
        <w:t>φι</w:t>
      </w:r>
      <w:r w:rsidR="00C135F1" w:rsidRPr="00593493">
        <w:rPr>
          <w:lang w:bidi="he-IL"/>
        </w:rPr>
        <w:t>́</w:t>
      </w:r>
      <w:r w:rsidR="00C135F1">
        <w:rPr>
          <w:lang w:val="el-GR" w:bidi="he-IL"/>
        </w:rPr>
        <w:t>ημι</w:t>
      </w:r>
      <w:r w:rsidR="00C135F1" w:rsidRPr="00593493">
        <w:rPr>
          <w:lang w:bidi="he-IL"/>
        </w:rPr>
        <w:t xml:space="preserve"> </w:t>
      </w:r>
      <w:r w:rsidR="00C135F1">
        <w:rPr>
          <w:lang w:bidi="he-IL"/>
        </w:rPr>
        <w:t>(forgive) is far more frequent</w:t>
      </w:r>
      <w:r w:rsidR="00593493">
        <w:rPr>
          <w:lang w:bidi="he-IL"/>
        </w:rPr>
        <w:t xml:space="preserve"> in Matthew and Luke. </w:t>
      </w:r>
      <w:r w:rsidR="008839A0">
        <w:rPr>
          <w:lang w:bidi="he-IL"/>
        </w:rPr>
        <w:t xml:space="preserve">While </w:t>
      </w:r>
      <w:r w:rsidR="008839A0">
        <w:rPr>
          <w:lang w:val="el-GR" w:bidi="he-IL"/>
        </w:rPr>
        <w:t>α</w:t>
      </w:r>
      <w:r w:rsidR="008839A0" w:rsidRPr="008839A0">
        <w:rPr>
          <w:lang w:bidi="he-IL"/>
        </w:rPr>
        <w:t>̓</w:t>
      </w:r>
      <w:r w:rsidR="008839A0">
        <w:rPr>
          <w:lang w:val="el-GR" w:bidi="he-IL"/>
        </w:rPr>
        <w:t>φι</w:t>
      </w:r>
      <w:r w:rsidR="008839A0" w:rsidRPr="008839A0">
        <w:rPr>
          <w:lang w:bidi="he-IL"/>
        </w:rPr>
        <w:t>́</w:t>
      </w:r>
      <w:r w:rsidR="008839A0">
        <w:rPr>
          <w:lang w:val="el-GR" w:bidi="he-IL"/>
        </w:rPr>
        <w:t>ημι</w:t>
      </w:r>
      <w:r w:rsidR="008839A0" w:rsidRPr="008839A0">
        <w:rPr>
          <w:lang w:bidi="he-IL"/>
        </w:rPr>
        <w:t xml:space="preserve"> </w:t>
      </w:r>
      <w:r w:rsidR="008839A0">
        <w:rPr>
          <w:lang w:bidi="he-IL"/>
        </w:rPr>
        <w:t xml:space="preserve">can be used in a variety of ways, </w:t>
      </w:r>
      <w:r w:rsidR="00375001">
        <w:rPr>
          <w:lang w:bidi="he-IL"/>
        </w:rPr>
        <w:t xml:space="preserve">in Matthew </w:t>
      </w:r>
      <w:r w:rsidR="008839A0">
        <w:rPr>
          <w:lang w:bidi="he-IL"/>
        </w:rPr>
        <w:t xml:space="preserve">its use designating an act of </w:t>
      </w:r>
      <w:r w:rsidR="00F85BA2">
        <w:rPr>
          <w:lang w:bidi="he-IL"/>
        </w:rPr>
        <w:t xml:space="preserve">forgiveness is commonly associated with </w:t>
      </w:r>
      <w:r w:rsidR="00F85BA2">
        <w:rPr>
          <w:lang w:val="el-GR" w:bidi="he-IL"/>
        </w:rPr>
        <w:t>α</w:t>
      </w:r>
      <w:r w:rsidR="00F85BA2" w:rsidRPr="00F85BA2">
        <w:rPr>
          <w:lang w:bidi="he-IL"/>
        </w:rPr>
        <w:t>̔</w:t>
      </w:r>
      <w:r w:rsidR="00F85BA2">
        <w:rPr>
          <w:lang w:val="el-GR" w:bidi="he-IL"/>
        </w:rPr>
        <w:t>μαρτι</w:t>
      </w:r>
      <w:r w:rsidR="00F85BA2" w:rsidRPr="00F85BA2">
        <w:rPr>
          <w:lang w:bidi="he-IL"/>
        </w:rPr>
        <w:t>́</w:t>
      </w:r>
      <w:r w:rsidR="00F85BA2">
        <w:rPr>
          <w:lang w:val="el-GR" w:bidi="he-IL"/>
        </w:rPr>
        <w:t>α</w:t>
      </w:r>
      <w:r w:rsidR="00F85BA2">
        <w:rPr>
          <w:lang w:bidi="he-IL"/>
        </w:rPr>
        <w:t xml:space="preserve"> (sin).</w:t>
      </w:r>
      <w:r w:rsidR="00F85BA2">
        <w:rPr>
          <w:rStyle w:val="FootnoteReference"/>
          <w:lang w:bidi="he-IL"/>
        </w:rPr>
        <w:footnoteReference w:id="92"/>
      </w:r>
      <w:r w:rsidR="001C3AE6">
        <w:rPr>
          <w:lang w:bidi="he-IL"/>
        </w:rPr>
        <w:t xml:space="preserve"> </w:t>
      </w:r>
      <w:r w:rsidR="00C229EE">
        <w:rPr>
          <w:lang w:bidi="he-IL"/>
        </w:rPr>
        <w:t xml:space="preserve">Likewise, Luke commonly uses the term alongside </w:t>
      </w:r>
      <w:r w:rsidR="00C229EE">
        <w:rPr>
          <w:lang w:val="el-GR" w:bidi="he-IL"/>
        </w:rPr>
        <w:t>α</w:t>
      </w:r>
      <w:r w:rsidR="00C229EE" w:rsidRPr="006D77DA">
        <w:rPr>
          <w:lang w:bidi="he-IL"/>
        </w:rPr>
        <w:t>̔</w:t>
      </w:r>
      <w:r w:rsidR="00C229EE">
        <w:rPr>
          <w:lang w:val="el-GR" w:bidi="he-IL"/>
        </w:rPr>
        <w:t>μαρτι</w:t>
      </w:r>
      <w:r w:rsidR="00C229EE" w:rsidRPr="006D77DA">
        <w:rPr>
          <w:lang w:bidi="he-IL"/>
        </w:rPr>
        <w:t>́</w:t>
      </w:r>
      <w:r w:rsidR="00C229EE">
        <w:rPr>
          <w:lang w:val="el-GR" w:bidi="he-IL"/>
        </w:rPr>
        <w:t>α</w:t>
      </w:r>
      <w:r w:rsidR="006D77DA">
        <w:rPr>
          <w:lang w:bidi="he-IL"/>
        </w:rPr>
        <w:t xml:space="preserve"> (e.g. Lk </w:t>
      </w:r>
      <w:r w:rsidR="002E71EF">
        <w:rPr>
          <w:lang w:bidi="he-IL"/>
        </w:rPr>
        <w:t>5:17–26; 7:47–49;</w:t>
      </w:r>
      <w:r w:rsidR="005C2E7E">
        <w:rPr>
          <w:lang w:bidi="he-IL"/>
        </w:rPr>
        <w:t xml:space="preserve"> 12:10).</w:t>
      </w:r>
      <w:r w:rsidR="00826932">
        <w:rPr>
          <w:rStyle w:val="FootnoteReference"/>
          <w:lang w:bidi="he-IL"/>
        </w:rPr>
        <w:footnoteReference w:id="93"/>
      </w:r>
      <w:r w:rsidR="00B84FFF">
        <w:rPr>
          <w:lang w:bidi="he-IL"/>
        </w:rPr>
        <w:t xml:space="preserve"> </w:t>
      </w:r>
      <w:r w:rsidR="00BE3D50">
        <w:rPr>
          <w:lang w:bidi="he-IL"/>
        </w:rPr>
        <w:t xml:space="preserve">Thus we can say that “forgiveness” as a motif in Matthew and Luke is closely associated with </w:t>
      </w:r>
      <w:r w:rsidR="00B37A8B">
        <w:rPr>
          <w:lang w:bidi="he-IL"/>
        </w:rPr>
        <w:t>“sin.”</w:t>
      </w:r>
      <w:r w:rsidR="002344E9">
        <w:rPr>
          <w:rStyle w:val="FootnoteReference"/>
          <w:lang w:bidi="he-IL"/>
        </w:rPr>
        <w:footnoteReference w:id="94"/>
      </w:r>
    </w:p>
    <w:p w14:paraId="4BAC8E01" w14:textId="6C23C4DB" w:rsidR="008B126E" w:rsidRDefault="002F34D7" w:rsidP="00226F22">
      <w:pPr>
        <w:rPr>
          <w:lang w:bidi="he-IL"/>
        </w:rPr>
      </w:pPr>
      <w:r>
        <w:rPr>
          <w:lang w:bidi="he-IL"/>
        </w:rPr>
        <w:tab/>
        <w:t xml:space="preserve">“Forgiveness” in the Healing of the Paralytic </w:t>
      </w:r>
      <w:r w:rsidR="00F10076">
        <w:rPr>
          <w:lang w:bidi="he-IL"/>
        </w:rPr>
        <w:t xml:space="preserve">appears in slightly different fashions between Matthew and Luke. </w:t>
      </w:r>
      <w:r w:rsidR="00861065">
        <w:rPr>
          <w:lang w:bidi="he-IL"/>
        </w:rPr>
        <w:t xml:space="preserve">Luke, in particular, renders </w:t>
      </w:r>
      <w:r w:rsidR="00861065">
        <w:rPr>
          <w:lang w:val="el-GR" w:bidi="he-IL"/>
        </w:rPr>
        <w:t>α</w:t>
      </w:r>
      <w:r w:rsidR="00861065" w:rsidRPr="00217452">
        <w:rPr>
          <w:lang w:bidi="he-IL"/>
        </w:rPr>
        <w:t>̓́</w:t>
      </w:r>
      <w:r w:rsidR="00861065">
        <w:rPr>
          <w:lang w:val="el-GR" w:bidi="he-IL"/>
        </w:rPr>
        <w:t>φιημι</w:t>
      </w:r>
      <w:r w:rsidR="00861065">
        <w:rPr>
          <w:lang w:bidi="he-IL"/>
        </w:rPr>
        <w:t xml:space="preserve"> in the perfect </w:t>
      </w:r>
      <w:r w:rsidR="00A52410">
        <w:rPr>
          <w:lang w:bidi="he-IL"/>
        </w:rPr>
        <w:t>(</w:t>
      </w:r>
      <w:r w:rsidR="00683FA4">
        <w:rPr>
          <w:lang w:val="el-GR" w:bidi="he-IL"/>
        </w:rPr>
        <w:t>α</w:t>
      </w:r>
      <w:r w:rsidR="00683FA4" w:rsidRPr="00217452">
        <w:rPr>
          <w:lang w:bidi="he-IL"/>
        </w:rPr>
        <w:t>̓</w:t>
      </w:r>
      <w:r w:rsidR="00683FA4">
        <w:rPr>
          <w:lang w:val="el-GR" w:bidi="he-IL"/>
        </w:rPr>
        <w:t>φε</w:t>
      </w:r>
      <w:r w:rsidR="00683FA4" w:rsidRPr="00217452">
        <w:rPr>
          <w:lang w:bidi="he-IL"/>
        </w:rPr>
        <w:t>́</w:t>
      </w:r>
      <w:r w:rsidR="00683FA4">
        <w:rPr>
          <w:lang w:val="el-GR" w:bidi="he-IL"/>
        </w:rPr>
        <w:t>ωνται</w:t>
      </w:r>
      <w:r w:rsidR="00683FA4" w:rsidRPr="00217452">
        <w:rPr>
          <w:lang w:bidi="he-IL"/>
        </w:rPr>
        <w:t>́</w:t>
      </w:r>
      <w:r w:rsidR="00217452">
        <w:rPr>
          <w:lang w:bidi="he-IL"/>
        </w:rPr>
        <w:t>, they have been forgiven</w:t>
      </w:r>
      <w:r w:rsidR="00EA3FBD">
        <w:rPr>
          <w:lang w:bidi="he-IL"/>
        </w:rPr>
        <w:t xml:space="preserve"> [</w:t>
      </w:r>
      <w:r w:rsidR="003A143C">
        <w:rPr>
          <w:lang w:bidi="he-IL"/>
        </w:rPr>
        <w:t>5</w:t>
      </w:r>
      <w:r w:rsidR="007F54B5">
        <w:rPr>
          <w:lang w:bidi="he-IL"/>
        </w:rPr>
        <w:t>:</w:t>
      </w:r>
      <w:r w:rsidR="003A143C">
        <w:rPr>
          <w:lang w:bidi="he-IL"/>
        </w:rPr>
        <w:t>20, 23]</w:t>
      </w:r>
      <w:r w:rsidR="00217452">
        <w:rPr>
          <w:lang w:bidi="he-IL"/>
        </w:rPr>
        <w:t>) while Matthew, following Mark, renders it in the present (</w:t>
      </w:r>
      <w:r w:rsidR="00EA3FBD">
        <w:rPr>
          <w:lang w:val="el-GR" w:bidi="he-IL"/>
        </w:rPr>
        <w:t>α</w:t>
      </w:r>
      <w:r w:rsidR="00EA3FBD" w:rsidRPr="00EA3FBD">
        <w:rPr>
          <w:lang w:bidi="he-IL"/>
        </w:rPr>
        <w:t>̓</w:t>
      </w:r>
      <w:r w:rsidR="00EA3FBD">
        <w:rPr>
          <w:lang w:val="el-GR" w:bidi="he-IL"/>
        </w:rPr>
        <w:t>φι</w:t>
      </w:r>
      <w:r w:rsidR="00EA3FBD" w:rsidRPr="00EA3FBD">
        <w:rPr>
          <w:lang w:bidi="he-IL"/>
        </w:rPr>
        <w:t>́</w:t>
      </w:r>
      <w:r w:rsidR="00EA3FBD">
        <w:rPr>
          <w:lang w:val="el-GR" w:bidi="he-IL"/>
        </w:rPr>
        <w:t>ενται</w:t>
      </w:r>
      <w:r w:rsidR="00EA3FBD" w:rsidRPr="00EA3FBD">
        <w:rPr>
          <w:lang w:bidi="he-IL"/>
        </w:rPr>
        <w:t>́</w:t>
      </w:r>
      <w:r w:rsidR="00EA3FBD">
        <w:rPr>
          <w:lang w:bidi="he-IL"/>
        </w:rPr>
        <w:t>, they are forgiven</w:t>
      </w:r>
      <w:r w:rsidR="003A143C">
        <w:rPr>
          <w:lang w:bidi="he-IL"/>
        </w:rPr>
        <w:t xml:space="preserve"> [Mt 9:</w:t>
      </w:r>
      <w:r w:rsidR="00226C38">
        <w:rPr>
          <w:lang w:bidi="he-IL"/>
        </w:rPr>
        <w:t>2, 5; cf. Mk 25, 9]</w:t>
      </w:r>
      <w:r w:rsidR="00EA3FBD">
        <w:rPr>
          <w:lang w:bidi="he-IL"/>
        </w:rPr>
        <w:t>).</w:t>
      </w:r>
      <w:r w:rsidR="000815B9">
        <w:rPr>
          <w:lang w:bidi="he-IL"/>
        </w:rPr>
        <w:t xml:space="preserve"> There are many possible reasons for this difference,</w:t>
      </w:r>
      <w:r w:rsidR="00265A61">
        <w:rPr>
          <w:rStyle w:val="FootnoteReference"/>
          <w:lang w:bidi="he-IL"/>
        </w:rPr>
        <w:footnoteReference w:id="95"/>
      </w:r>
      <w:r w:rsidR="000815B9">
        <w:rPr>
          <w:lang w:bidi="he-IL"/>
        </w:rPr>
        <w:t xml:space="preserve"> but I would like to postulate that </w:t>
      </w:r>
      <w:r w:rsidR="007D5A00">
        <w:rPr>
          <w:lang w:bidi="he-IL"/>
        </w:rPr>
        <w:t>the different renderin</w:t>
      </w:r>
      <w:r w:rsidR="00A379AC">
        <w:rPr>
          <w:lang w:bidi="he-IL"/>
        </w:rPr>
        <w:t xml:space="preserve">gs are </w:t>
      </w:r>
      <w:r w:rsidR="007D5A00">
        <w:rPr>
          <w:lang w:bidi="he-IL"/>
        </w:rPr>
        <w:t xml:space="preserve">the result of Matthew’s </w:t>
      </w:r>
      <w:r w:rsidR="007D5A00">
        <w:rPr>
          <w:lang w:bidi="he-IL"/>
        </w:rPr>
        <w:lastRenderedPageBreak/>
        <w:t xml:space="preserve">and Luke’s </w:t>
      </w:r>
      <w:r w:rsidR="00A42EB1">
        <w:rPr>
          <w:lang w:bidi="he-IL"/>
        </w:rPr>
        <w:t>opening programmatic statements</w:t>
      </w:r>
      <w:r w:rsidR="00A461C8">
        <w:rPr>
          <w:lang w:bidi="he-IL"/>
        </w:rPr>
        <w:t xml:space="preserve">, which seek to confirm Jesus’ messianic identity in similar yet altered ways. </w:t>
      </w:r>
      <w:r w:rsidR="00952F2F">
        <w:rPr>
          <w:lang w:bidi="he-IL"/>
        </w:rPr>
        <w:t xml:space="preserve">As stated previously, Matthew’s program for Jesus as Messiah is </w:t>
      </w:r>
      <w:r w:rsidR="00202221">
        <w:rPr>
          <w:lang w:bidi="he-IL"/>
        </w:rPr>
        <w:t>informed by the expectation that God dwells among human beings and forgives sins</w:t>
      </w:r>
      <w:r w:rsidR="00745D84">
        <w:rPr>
          <w:lang w:bidi="he-IL"/>
        </w:rPr>
        <w:t xml:space="preserve"> (Mt 1:21–23).</w:t>
      </w:r>
      <w:r w:rsidR="003D1FA9">
        <w:rPr>
          <w:lang w:bidi="he-IL"/>
        </w:rPr>
        <w:t xml:space="preserve"> As already argued, </w:t>
      </w:r>
      <w:r w:rsidR="00AE6F57">
        <w:rPr>
          <w:lang w:bidi="he-IL"/>
        </w:rPr>
        <w:t xml:space="preserve">Matthew’s inclusion of a qualified description of God </w:t>
      </w:r>
      <w:r w:rsidR="002C1C46">
        <w:rPr>
          <w:lang w:bidi="he-IL"/>
        </w:rPr>
        <w:t xml:space="preserve">who has given authority </w:t>
      </w:r>
      <w:r w:rsidR="002C1C46">
        <w:rPr>
          <w:lang w:val="el-GR" w:bidi="he-IL"/>
        </w:rPr>
        <w:t>τοι</w:t>
      </w:r>
      <w:r w:rsidR="002C1C46" w:rsidRPr="002C1C46">
        <w:rPr>
          <w:lang w:bidi="he-IL"/>
        </w:rPr>
        <w:t>͂</w:t>
      </w:r>
      <w:r w:rsidR="002C1C46">
        <w:rPr>
          <w:lang w:val="el-GR" w:bidi="he-IL"/>
        </w:rPr>
        <w:t>ς</w:t>
      </w:r>
      <w:r w:rsidR="002C1C46" w:rsidRPr="002C1C46">
        <w:rPr>
          <w:lang w:bidi="he-IL"/>
        </w:rPr>
        <w:t xml:space="preserve"> </w:t>
      </w:r>
      <w:r w:rsidR="002C1C46">
        <w:rPr>
          <w:lang w:val="el-GR" w:bidi="he-IL"/>
        </w:rPr>
        <w:t>α</w:t>
      </w:r>
      <w:r w:rsidR="002C1C46" w:rsidRPr="002C1C46">
        <w:rPr>
          <w:lang w:bidi="he-IL"/>
        </w:rPr>
        <w:t>̓</w:t>
      </w:r>
      <w:r w:rsidR="002C1C46">
        <w:rPr>
          <w:lang w:val="el-GR" w:bidi="he-IL"/>
        </w:rPr>
        <w:t>νθρω</w:t>
      </w:r>
      <w:r w:rsidR="002C1C46" w:rsidRPr="002C1C46">
        <w:rPr>
          <w:lang w:bidi="he-IL"/>
        </w:rPr>
        <w:t>́</w:t>
      </w:r>
      <w:r w:rsidR="002C1C46">
        <w:rPr>
          <w:lang w:val="el-GR" w:bidi="he-IL"/>
        </w:rPr>
        <w:t>ποις</w:t>
      </w:r>
      <w:r w:rsidR="002C1C46" w:rsidRPr="002C1C46">
        <w:rPr>
          <w:lang w:bidi="he-IL"/>
        </w:rPr>
        <w:t xml:space="preserve"> </w:t>
      </w:r>
      <w:r w:rsidR="002C1C46">
        <w:rPr>
          <w:lang w:bidi="he-IL"/>
        </w:rPr>
        <w:t>(</w:t>
      </w:r>
      <w:r w:rsidR="00704D84">
        <w:rPr>
          <w:lang w:bidi="he-IL"/>
        </w:rPr>
        <w:t>to</w:t>
      </w:r>
      <w:r w:rsidR="002C1C46">
        <w:rPr>
          <w:lang w:bidi="he-IL"/>
        </w:rPr>
        <w:t xml:space="preserve"> humans) </w:t>
      </w:r>
      <w:r w:rsidR="00AE6F57">
        <w:rPr>
          <w:lang w:bidi="he-IL"/>
        </w:rPr>
        <w:t xml:space="preserve">at the end of the </w:t>
      </w:r>
      <w:r w:rsidR="000953B9">
        <w:rPr>
          <w:lang w:bidi="he-IL"/>
        </w:rPr>
        <w:t>Healing of the Paralytic</w:t>
      </w:r>
      <w:r w:rsidR="002C1C46">
        <w:rPr>
          <w:lang w:bidi="he-IL"/>
        </w:rPr>
        <w:t xml:space="preserve"> is an indication of how he </w:t>
      </w:r>
      <w:r w:rsidR="00820187">
        <w:rPr>
          <w:lang w:bidi="he-IL"/>
        </w:rPr>
        <w:t xml:space="preserve">adapts his material to </w:t>
      </w:r>
      <w:r w:rsidR="00AB4234">
        <w:rPr>
          <w:lang w:bidi="he-IL"/>
        </w:rPr>
        <w:t>solidify the distinction of Jesus as Em</w:t>
      </w:r>
      <w:r w:rsidR="00C87F3C">
        <w:rPr>
          <w:lang w:bidi="he-IL"/>
        </w:rPr>
        <w:t>anue</w:t>
      </w:r>
      <w:r w:rsidR="00AB4234">
        <w:rPr>
          <w:lang w:bidi="he-IL"/>
        </w:rPr>
        <w:t>l, God among humans</w:t>
      </w:r>
      <w:r w:rsidR="00633C0C">
        <w:rPr>
          <w:lang w:bidi="he-IL"/>
        </w:rPr>
        <w:t xml:space="preserve"> (Mt 9</w:t>
      </w:r>
      <w:r w:rsidR="00DF1BFD">
        <w:rPr>
          <w:lang w:bidi="he-IL"/>
        </w:rPr>
        <w:t>:8)</w:t>
      </w:r>
      <w:r w:rsidR="00AB4234">
        <w:rPr>
          <w:lang w:bidi="he-IL"/>
        </w:rPr>
        <w:t xml:space="preserve">. </w:t>
      </w:r>
      <w:r w:rsidR="00644D84">
        <w:rPr>
          <w:lang w:bidi="he-IL"/>
        </w:rPr>
        <w:t xml:space="preserve">The present tense of </w:t>
      </w:r>
      <w:r w:rsidR="00644D84">
        <w:rPr>
          <w:lang w:val="el-GR" w:bidi="he-IL"/>
        </w:rPr>
        <w:t>α</w:t>
      </w:r>
      <w:r w:rsidR="00644D84" w:rsidRPr="00644D84">
        <w:rPr>
          <w:lang w:bidi="he-IL"/>
        </w:rPr>
        <w:t>̓</w:t>
      </w:r>
      <w:r w:rsidR="00644D84">
        <w:rPr>
          <w:lang w:val="el-GR" w:bidi="he-IL"/>
        </w:rPr>
        <w:t>φι</w:t>
      </w:r>
      <w:r w:rsidR="00644D84" w:rsidRPr="00644D84">
        <w:rPr>
          <w:lang w:bidi="he-IL"/>
        </w:rPr>
        <w:t>́</w:t>
      </w:r>
      <w:r w:rsidR="00644D84">
        <w:rPr>
          <w:lang w:val="el-GR" w:bidi="he-IL"/>
        </w:rPr>
        <w:t>ημι</w:t>
      </w:r>
      <w:r w:rsidR="00644D84">
        <w:rPr>
          <w:lang w:bidi="he-IL"/>
        </w:rPr>
        <w:t xml:space="preserve"> in the Matthean version of the Healing of the Paralytic </w:t>
      </w:r>
      <w:r w:rsidR="00F810A2">
        <w:rPr>
          <w:lang w:bidi="he-IL"/>
        </w:rPr>
        <w:t>also</w:t>
      </w:r>
      <w:r w:rsidR="00F974D2">
        <w:rPr>
          <w:lang w:bidi="he-IL"/>
        </w:rPr>
        <w:t xml:space="preserve"> aids Matthew’s</w:t>
      </w:r>
      <w:r w:rsidR="00E1661E">
        <w:rPr>
          <w:lang w:bidi="he-IL"/>
        </w:rPr>
        <w:t xml:space="preserve"> </w:t>
      </w:r>
      <w:r w:rsidR="00F810A2">
        <w:rPr>
          <w:lang w:bidi="he-IL"/>
        </w:rPr>
        <w:t>literary agenda in this regard</w:t>
      </w:r>
      <w:r w:rsidR="00E1661E">
        <w:rPr>
          <w:lang w:bidi="he-IL"/>
        </w:rPr>
        <w:t xml:space="preserve">. </w:t>
      </w:r>
      <w:r w:rsidR="0025539A">
        <w:rPr>
          <w:lang w:bidi="he-IL"/>
        </w:rPr>
        <w:t xml:space="preserve">Specifically, the continuous aspect of the present tense verb </w:t>
      </w:r>
      <w:r w:rsidR="008420C1">
        <w:rPr>
          <w:lang w:bidi="he-IL"/>
        </w:rPr>
        <w:t xml:space="preserve">draws attention to the presence of forgiveness among the onlookers and directed at the paralytic. </w:t>
      </w:r>
      <w:r w:rsidR="00F20204">
        <w:rPr>
          <w:lang w:bidi="he-IL"/>
        </w:rPr>
        <w:t xml:space="preserve">In other words, the present tense </w:t>
      </w:r>
      <w:r w:rsidR="00F20204">
        <w:rPr>
          <w:lang w:val="el-GR" w:bidi="he-IL"/>
        </w:rPr>
        <w:t>α</w:t>
      </w:r>
      <w:r w:rsidR="00F20204" w:rsidRPr="00D836BF">
        <w:rPr>
          <w:lang w:bidi="he-IL"/>
        </w:rPr>
        <w:t>̓</w:t>
      </w:r>
      <w:r w:rsidR="00F20204">
        <w:rPr>
          <w:lang w:val="el-GR" w:bidi="he-IL"/>
        </w:rPr>
        <w:t>φι</w:t>
      </w:r>
      <w:r w:rsidR="00F20204" w:rsidRPr="00D836BF">
        <w:rPr>
          <w:lang w:bidi="he-IL"/>
        </w:rPr>
        <w:t>́</w:t>
      </w:r>
      <w:r w:rsidR="00F20204">
        <w:rPr>
          <w:lang w:val="el-GR" w:bidi="he-IL"/>
        </w:rPr>
        <w:t>ενται</w:t>
      </w:r>
      <w:r w:rsidR="00F20204" w:rsidRPr="00D836BF">
        <w:rPr>
          <w:lang w:bidi="he-IL"/>
        </w:rPr>
        <w:t>́</w:t>
      </w:r>
      <w:r w:rsidR="00F20204">
        <w:rPr>
          <w:lang w:bidi="he-IL"/>
        </w:rPr>
        <w:t xml:space="preserve"> </w:t>
      </w:r>
      <w:r w:rsidR="00911ABB">
        <w:rPr>
          <w:lang w:bidi="he-IL"/>
        </w:rPr>
        <w:t>highlights</w:t>
      </w:r>
      <w:r w:rsidR="00D836BF">
        <w:rPr>
          <w:lang w:bidi="he-IL"/>
        </w:rPr>
        <w:t xml:space="preserve"> Jesus’ present actions within the story</w:t>
      </w:r>
      <w:r w:rsidR="00984B40">
        <w:rPr>
          <w:lang w:bidi="he-IL"/>
        </w:rPr>
        <w:t xml:space="preserve"> as an indication of his messianic identity </w:t>
      </w:r>
      <w:r w:rsidR="00EA3440">
        <w:rPr>
          <w:lang w:bidi="he-IL"/>
        </w:rPr>
        <w:t>connected to his presence among human beings</w:t>
      </w:r>
      <w:r w:rsidR="00B0343C">
        <w:rPr>
          <w:lang w:bidi="he-IL"/>
        </w:rPr>
        <w:t>: he is presently among them and heals and forgives sins.</w:t>
      </w:r>
      <w:r w:rsidR="00425CD3">
        <w:rPr>
          <w:rStyle w:val="FootnoteReference"/>
          <w:lang w:bidi="he-IL"/>
        </w:rPr>
        <w:footnoteReference w:id="96"/>
      </w:r>
      <w:r w:rsidR="008C7F81">
        <w:rPr>
          <w:lang w:bidi="he-IL"/>
        </w:rPr>
        <w:t xml:space="preserve"> Matthew’s retention of </w:t>
      </w:r>
      <w:r w:rsidR="00AE3F32">
        <w:rPr>
          <w:lang w:bidi="he-IL"/>
        </w:rPr>
        <w:t>the present tense from Mark is thus in keeping with his large</w:t>
      </w:r>
      <w:r w:rsidR="005F2EB1">
        <w:rPr>
          <w:lang w:bidi="he-IL"/>
        </w:rPr>
        <w:t>r</w:t>
      </w:r>
      <w:r w:rsidR="00AE3F32">
        <w:rPr>
          <w:lang w:bidi="he-IL"/>
        </w:rPr>
        <w:t xml:space="preserve"> thematic goals.</w:t>
      </w:r>
    </w:p>
    <w:p w14:paraId="0BB0177E" w14:textId="6D40E467" w:rsidR="00DB678C" w:rsidRDefault="008B126E" w:rsidP="00C25143">
      <w:pPr>
        <w:rPr>
          <w:lang w:bidi="he-IL"/>
        </w:rPr>
      </w:pPr>
      <w:r>
        <w:rPr>
          <w:lang w:bidi="he-IL"/>
        </w:rPr>
        <w:tab/>
        <w:t>Luke’s program for Jesu</w:t>
      </w:r>
      <w:r w:rsidR="00AF635C">
        <w:rPr>
          <w:lang w:bidi="he-IL"/>
        </w:rPr>
        <w:t>s,</w:t>
      </w:r>
      <w:r w:rsidR="001352DE">
        <w:rPr>
          <w:lang w:bidi="he-IL"/>
        </w:rPr>
        <w:t xml:space="preserve"> as stated earlier, </w:t>
      </w:r>
      <w:r w:rsidR="009C5F30">
        <w:rPr>
          <w:lang w:bidi="he-IL"/>
        </w:rPr>
        <w:t>is</w:t>
      </w:r>
      <w:r w:rsidR="001352DE">
        <w:rPr>
          <w:lang w:bidi="he-IL"/>
        </w:rPr>
        <w:t xml:space="preserve"> </w:t>
      </w:r>
      <w:r w:rsidR="009C5F30">
        <w:rPr>
          <w:lang w:bidi="he-IL"/>
        </w:rPr>
        <w:t xml:space="preserve">informed by the </w:t>
      </w:r>
      <w:r w:rsidR="00C72509">
        <w:rPr>
          <w:lang w:bidi="he-IL"/>
        </w:rPr>
        <w:t>past promise</w:t>
      </w:r>
      <w:r w:rsidR="009C5F30">
        <w:rPr>
          <w:lang w:bidi="he-IL"/>
        </w:rPr>
        <w:t xml:space="preserve"> of release for captives</w:t>
      </w:r>
      <w:r w:rsidR="00CA6CD4">
        <w:rPr>
          <w:lang w:bidi="he-IL"/>
        </w:rPr>
        <w:t xml:space="preserve"> </w:t>
      </w:r>
      <w:r w:rsidR="00AA224E">
        <w:rPr>
          <w:lang w:bidi="he-IL"/>
        </w:rPr>
        <w:t>found</w:t>
      </w:r>
      <w:r w:rsidR="00831716">
        <w:rPr>
          <w:lang w:bidi="he-IL"/>
        </w:rPr>
        <w:t xml:space="preserve"> in Isaiah </w:t>
      </w:r>
      <w:r w:rsidR="005213DC">
        <w:rPr>
          <w:lang w:bidi="he-IL"/>
        </w:rPr>
        <w:t xml:space="preserve">61:1–2 </w:t>
      </w:r>
      <w:r w:rsidR="0019465E">
        <w:rPr>
          <w:lang w:bidi="he-IL"/>
        </w:rPr>
        <w:t xml:space="preserve">and its fulfillment </w:t>
      </w:r>
      <w:r w:rsidR="00CF4D42">
        <w:rPr>
          <w:lang w:bidi="he-IL"/>
        </w:rPr>
        <w:t xml:space="preserve">at a specific time, today </w:t>
      </w:r>
      <w:r w:rsidR="009E4B82">
        <w:rPr>
          <w:lang w:bidi="he-IL"/>
        </w:rPr>
        <w:t>(</w:t>
      </w:r>
      <w:r w:rsidR="009E4B82" w:rsidRPr="00AC1F8B">
        <w:rPr>
          <w:lang w:val="el-GR" w:bidi="he-IL"/>
        </w:rPr>
        <w:t>σήμερον</w:t>
      </w:r>
      <w:r w:rsidR="009E4B82">
        <w:rPr>
          <w:lang w:bidi="he-IL"/>
        </w:rPr>
        <w:t>)</w:t>
      </w:r>
      <w:r w:rsidR="00026D0F">
        <w:rPr>
          <w:lang w:bidi="he-IL"/>
        </w:rPr>
        <w:t xml:space="preserve"> (Lk 4:18–19,</w:t>
      </w:r>
      <w:r w:rsidR="009E4B82">
        <w:rPr>
          <w:lang w:bidi="he-IL"/>
        </w:rPr>
        <w:t xml:space="preserve"> 21).</w:t>
      </w:r>
      <w:r w:rsidR="0055504F">
        <w:rPr>
          <w:lang w:bidi="he-IL"/>
        </w:rPr>
        <w:t xml:space="preserve"> </w:t>
      </w:r>
      <w:r w:rsidR="00022C80">
        <w:rPr>
          <w:lang w:bidi="he-IL"/>
        </w:rPr>
        <w:t xml:space="preserve">It is fitting, therefore, that Luke in the Healing of the Paralytic renders </w:t>
      </w:r>
      <w:r w:rsidR="00022C80">
        <w:rPr>
          <w:lang w:val="el-GR" w:bidi="he-IL"/>
        </w:rPr>
        <w:t>α</w:t>
      </w:r>
      <w:r w:rsidR="00022C80" w:rsidRPr="00022C80">
        <w:rPr>
          <w:lang w:bidi="he-IL"/>
        </w:rPr>
        <w:t>̓</w:t>
      </w:r>
      <w:r w:rsidR="00022C80">
        <w:rPr>
          <w:lang w:val="el-GR" w:bidi="he-IL"/>
        </w:rPr>
        <w:t>φι</w:t>
      </w:r>
      <w:r w:rsidR="00022C80" w:rsidRPr="00022C80">
        <w:rPr>
          <w:lang w:bidi="he-IL"/>
        </w:rPr>
        <w:t>́</w:t>
      </w:r>
      <w:r w:rsidR="00022C80">
        <w:rPr>
          <w:lang w:val="el-GR" w:bidi="he-IL"/>
        </w:rPr>
        <w:t>ημι</w:t>
      </w:r>
      <w:r w:rsidR="00022C80">
        <w:rPr>
          <w:lang w:bidi="he-IL"/>
        </w:rPr>
        <w:t xml:space="preserve"> in the perfect in order to reflect </w:t>
      </w:r>
      <w:r w:rsidR="007950FB">
        <w:rPr>
          <w:lang w:bidi="he-IL"/>
        </w:rPr>
        <w:t xml:space="preserve">the </w:t>
      </w:r>
      <w:r w:rsidR="0017429A">
        <w:rPr>
          <w:lang w:bidi="he-IL"/>
        </w:rPr>
        <w:t>completed</w:t>
      </w:r>
      <w:r w:rsidR="007950FB">
        <w:rPr>
          <w:lang w:bidi="he-IL"/>
        </w:rPr>
        <w:t xml:space="preserve"> state of a past action. </w:t>
      </w:r>
      <w:r w:rsidR="00757D1A">
        <w:rPr>
          <w:lang w:bidi="he-IL"/>
        </w:rPr>
        <w:t>The paralytic’s sins “have been forgiven” (</w:t>
      </w:r>
      <w:r w:rsidR="00757D1A">
        <w:rPr>
          <w:lang w:val="el-GR" w:bidi="he-IL"/>
        </w:rPr>
        <w:t>α</w:t>
      </w:r>
      <w:r w:rsidR="00757D1A" w:rsidRPr="00256917">
        <w:rPr>
          <w:lang w:bidi="he-IL"/>
        </w:rPr>
        <w:t>̓</w:t>
      </w:r>
      <w:r w:rsidR="00A966EF">
        <w:rPr>
          <w:lang w:val="el-GR" w:bidi="he-IL"/>
        </w:rPr>
        <w:t>φε</w:t>
      </w:r>
      <w:r w:rsidR="00A966EF" w:rsidRPr="00256917">
        <w:rPr>
          <w:lang w:bidi="he-IL"/>
        </w:rPr>
        <w:t>́</w:t>
      </w:r>
      <w:r w:rsidR="00A966EF">
        <w:rPr>
          <w:lang w:val="el-GR" w:bidi="he-IL"/>
        </w:rPr>
        <w:t>ωνται</w:t>
      </w:r>
      <w:r w:rsidR="00A966EF" w:rsidRPr="00256917">
        <w:rPr>
          <w:lang w:bidi="he-IL"/>
        </w:rPr>
        <w:t>́</w:t>
      </w:r>
      <w:r w:rsidR="00A966EF">
        <w:rPr>
          <w:lang w:bidi="he-IL"/>
        </w:rPr>
        <w:t>)</w:t>
      </w:r>
      <w:r w:rsidR="00256917">
        <w:rPr>
          <w:lang w:bidi="he-IL"/>
        </w:rPr>
        <w:t xml:space="preserve"> because Jesus, in Luke, </w:t>
      </w:r>
      <w:r w:rsidR="007F6498">
        <w:rPr>
          <w:lang w:bidi="he-IL"/>
        </w:rPr>
        <w:t>has already fulfilled (</w:t>
      </w:r>
      <w:r w:rsidR="009018CE">
        <w:rPr>
          <w:lang w:val="el-GR" w:bidi="he-IL"/>
        </w:rPr>
        <w:t>π</w:t>
      </w:r>
      <w:r w:rsidR="00AC350C">
        <w:rPr>
          <w:lang w:val="el-GR" w:bidi="he-IL"/>
        </w:rPr>
        <w:t>επλη</w:t>
      </w:r>
      <w:r w:rsidR="00060665" w:rsidRPr="00060665">
        <w:rPr>
          <w:lang w:bidi="he-IL"/>
        </w:rPr>
        <w:t>́</w:t>
      </w:r>
      <w:r w:rsidR="00060665">
        <w:rPr>
          <w:lang w:val="el-GR" w:bidi="he-IL"/>
        </w:rPr>
        <w:t>ρωκεν</w:t>
      </w:r>
      <w:r w:rsidR="009018CE">
        <w:rPr>
          <w:lang w:bidi="he-IL"/>
        </w:rPr>
        <w:t>)</w:t>
      </w:r>
      <w:r w:rsidR="00060665" w:rsidRPr="00060665">
        <w:rPr>
          <w:lang w:bidi="he-IL"/>
        </w:rPr>
        <w:t xml:space="preserve"> </w:t>
      </w:r>
      <w:r w:rsidR="00060665">
        <w:rPr>
          <w:lang w:bidi="he-IL"/>
        </w:rPr>
        <w:t>the scripture promi</w:t>
      </w:r>
      <w:r w:rsidR="00DB081A">
        <w:rPr>
          <w:lang w:bidi="he-IL"/>
        </w:rPr>
        <w:t xml:space="preserve">sing </w:t>
      </w:r>
      <w:r w:rsidR="00AF06DD">
        <w:rPr>
          <w:lang w:bidi="he-IL"/>
        </w:rPr>
        <w:t>release (</w:t>
      </w:r>
      <w:r w:rsidR="00AF06DD">
        <w:rPr>
          <w:lang w:val="el-GR" w:bidi="he-IL"/>
        </w:rPr>
        <w:t>α</w:t>
      </w:r>
      <w:r w:rsidR="00AF06DD" w:rsidRPr="00AF06DD">
        <w:rPr>
          <w:lang w:bidi="he-IL"/>
        </w:rPr>
        <w:t>̓́</w:t>
      </w:r>
      <w:r w:rsidR="00AF06DD">
        <w:rPr>
          <w:lang w:val="el-GR" w:bidi="he-IL"/>
        </w:rPr>
        <w:t>φεσις</w:t>
      </w:r>
      <w:r w:rsidR="00EE3022">
        <w:rPr>
          <w:lang w:bidi="he-IL"/>
        </w:rPr>
        <w:t>) to captives (Lk 4:18–21).</w:t>
      </w:r>
      <w:r w:rsidR="00AD2FEB">
        <w:rPr>
          <w:rStyle w:val="FootnoteReference"/>
          <w:lang w:bidi="he-IL"/>
        </w:rPr>
        <w:footnoteReference w:id="97"/>
      </w:r>
      <w:r w:rsidR="00641864">
        <w:rPr>
          <w:lang w:bidi="he-IL"/>
        </w:rPr>
        <w:t xml:space="preserve"> </w:t>
      </w:r>
      <w:r w:rsidR="00C8340C">
        <w:rPr>
          <w:lang w:bidi="he-IL"/>
        </w:rPr>
        <w:t xml:space="preserve">Luke </w:t>
      </w:r>
      <w:r w:rsidR="00550CA3">
        <w:rPr>
          <w:lang w:bidi="he-IL"/>
        </w:rPr>
        <w:t xml:space="preserve">uses the perfect of </w:t>
      </w:r>
      <w:r w:rsidR="00550CA3">
        <w:rPr>
          <w:lang w:val="el-GR" w:bidi="he-IL"/>
        </w:rPr>
        <w:t>α</w:t>
      </w:r>
      <w:r w:rsidR="00550CA3" w:rsidRPr="00550CA3">
        <w:rPr>
          <w:lang w:bidi="he-IL"/>
        </w:rPr>
        <w:t>̓</w:t>
      </w:r>
      <w:r w:rsidR="00550CA3">
        <w:rPr>
          <w:lang w:val="el-GR" w:bidi="he-IL"/>
        </w:rPr>
        <w:t>φι</w:t>
      </w:r>
      <w:r w:rsidR="00550CA3" w:rsidRPr="00550CA3">
        <w:rPr>
          <w:lang w:bidi="he-IL"/>
        </w:rPr>
        <w:t>́</w:t>
      </w:r>
      <w:r w:rsidR="00550CA3">
        <w:rPr>
          <w:lang w:val="el-GR" w:bidi="he-IL"/>
        </w:rPr>
        <w:t>ημι</w:t>
      </w:r>
      <w:r w:rsidR="00550CA3">
        <w:rPr>
          <w:lang w:bidi="he-IL"/>
        </w:rPr>
        <w:t xml:space="preserve"> in a similar manner in the pericope about a woman anointing Jesus with ointment (Lk 7:</w:t>
      </w:r>
      <w:r w:rsidR="0017109A">
        <w:rPr>
          <w:lang w:bidi="he-IL"/>
        </w:rPr>
        <w:t>36–50).</w:t>
      </w:r>
      <w:r w:rsidR="00D56661">
        <w:rPr>
          <w:rStyle w:val="FootnoteReference"/>
          <w:lang w:bidi="he-IL"/>
        </w:rPr>
        <w:footnoteReference w:id="98"/>
      </w:r>
      <w:r w:rsidR="00BE6222">
        <w:rPr>
          <w:lang w:bidi="he-IL"/>
        </w:rPr>
        <w:t xml:space="preserve"> </w:t>
      </w:r>
      <w:r w:rsidR="004351A6">
        <w:rPr>
          <w:lang w:bidi="he-IL"/>
        </w:rPr>
        <w:lastRenderedPageBreak/>
        <w:t xml:space="preserve">After Jesus </w:t>
      </w:r>
      <w:r w:rsidR="007F114F">
        <w:rPr>
          <w:lang w:bidi="he-IL"/>
        </w:rPr>
        <w:t xml:space="preserve">has demonstrated to Simon the Pharisee that the woman who came to him </w:t>
      </w:r>
      <w:r w:rsidR="00694892">
        <w:rPr>
          <w:lang w:bidi="he-IL"/>
        </w:rPr>
        <w:t>fulfilled the role of a host and loved Jesus more than he did</w:t>
      </w:r>
      <w:r w:rsidR="00A53990">
        <w:rPr>
          <w:lang w:bidi="he-IL"/>
        </w:rPr>
        <w:t>,</w:t>
      </w:r>
      <w:r w:rsidR="00C45CF5">
        <w:rPr>
          <w:rStyle w:val="FootnoteReference"/>
          <w:lang w:bidi="he-IL"/>
        </w:rPr>
        <w:footnoteReference w:id="99"/>
      </w:r>
      <w:r w:rsidR="00694892">
        <w:rPr>
          <w:lang w:bidi="he-IL"/>
        </w:rPr>
        <w:t xml:space="preserve"> he states</w:t>
      </w:r>
      <w:r w:rsidR="00DB678C">
        <w:rPr>
          <w:lang w:bidi="he-IL"/>
        </w:rPr>
        <w:t xml:space="preserve">: </w:t>
      </w:r>
    </w:p>
    <w:p w14:paraId="686D3427" w14:textId="30638BED" w:rsidR="001D3C49" w:rsidRDefault="001D3C49" w:rsidP="00CF45F4">
      <w:pPr>
        <w:spacing w:line="240" w:lineRule="auto"/>
        <w:ind w:left="720" w:right="720"/>
        <w:rPr>
          <w:lang w:bidi="he-IL"/>
        </w:rPr>
      </w:pPr>
      <w:r w:rsidRPr="001D3C49">
        <w:rPr>
          <w:lang w:val="el-GR" w:bidi="he-IL"/>
        </w:rPr>
        <w:t>οὗ</w:t>
      </w:r>
      <w:r w:rsidRPr="001D3C49">
        <w:rPr>
          <w:lang w:bidi="he-IL"/>
        </w:rPr>
        <w:t xml:space="preserve"> </w:t>
      </w:r>
      <w:r w:rsidRPr="001D3C49">
        <w:rPr>
          <w:lang w:val="el-GR" w:bidi="he-IL"/>
        </w:rPr>
        <w:t>χάριν</w:t>
      </w:r>
      <w:r w:rsidRPr="001D3C49">
        <w:rPr>
          <w:lang w:bidi="he-IL"/>
        </w:rPr>
        <w:t xml:space="preserve"> </w:t>
      </w:r>
      <w:r w:rsidRPr="001D3C49">
        <w:rPr>
          <w:lang w:val="el-GR" w:bidi="he-IL"/>
        </w:rPr>
        <w:t>λέγω</w:t>
      </w:r>
      <w:r w:rsidRPr="001D3C49">
        <w:rPr>
          <w:lang w:bidi="he-IL"/>
        </w:rPr>
        <w:t xml:space="preserve"> </w:t>
      </w:r>
      <w:r w:rsidRPr="001D3C49">
        <w:rPr>
          <w:lang w:val="el-GR" w:bidi="he-IL"/>
        </w:rPr>
        <w:t>σοι</w:t>
      </w:r>
      <w:r w:rsidRPr="001D3C49">
        <w:rPr>
          <w:lang w:bidi="he-IL"/>
        </w:rPr>
        <w:t xml:space="preserve">, </w:t>
      </w:r>
      <w:r w:rsidRPr="001D3C49">
        <w:rPr>
          <w:lang w:val="el-GR" w:bidi="he-IL"/>
        </w:rPr>
        <w:t>ἀφέωνται</w:t>
      </w:r>
      <w:r w:rsidRPr="001D3C49">
        <w:rPr>
          <w:lang w:bidi="he-IL"/>
        </w:rPr>
        <w:t xml:space="preserve"> </w:t>
      </w:r>
      <w:r w:rsidRPr="001D3C49">
        <w:rPr>
          <w:lang w:val="el-GR" w:bidi="he-IL"/>
        </w:rPr>
        <w:t>αἱ</w:t>
      </w:r>
      <w:r w:rsidRPr="001D3C49">
        <w:rPr>
          <w:lang w:bidi="he-IL"/>
        </w:rPr>
        <w:t xml:space="preserve"> </w:t>
      </w:r>
      <w:r w:rsidRPr="001D3C49">
        <w:rPr>
          <w:lang w:val="el-GR" w:bidi="he-IL"/>
        </w:rPr>
        <w:t>ἁμαρτίαι</w:t>
      </w:r>
      <w:r w:rsidRPr="001D3C49">
        <w:rPr>
          <w:lang w:bidi="he-IL"/>
        </w:rPr>
        <w:t xml:space="preserve"> </w:t>
      </w:r>
      <w:r w:rsidRPr="001D3C49">
        <w:rPr>
          <w:lang w:val="el-GR" w:bidi="he-IL"/>
        </w:rPr>
        <w:t>αὐτῆς</w:t>
      </w:r>
      <w:r w:rsidRPr="001D3C49">
        <w:rPr>
          <w:lang w:bidi="he-IL"/>
        </w:rPr>
        <w:t xml:space="preserve"> </w:t>
      </w:r>
      <w:r w:rsidRPr="001D3C49">
        <w:rPr>
          <w:lang w:val="el-GR" w:bidi="he-IL"/>
        </w:rPr>
        <w:t>αἱ</w:t>
      </w:r>
      <w:r w:rsidRPr="001D3C49">
        <w:rPr>
          <w:lang w:bidi="he-IL"/>
        </w:rPr>
        <w:t xml:space="preserve"> </w:t>
      </w:r>
      <w:r w:rsidRPr="001D3C49">
        <w:rPr>
          <w:lang w:val="el-GR" w:bidi="he-IL"/>
        </w:rPr>
        <w:t>πολλαί</w:t>
      </w:r>
      <w:r w:rsidRPr="001D3C49">
        <w:rPr>
          <w:lang w:bidi="he-IL"/>
        </w:rPr>
        <w:t xml:space="preserve">, </w:t>
      </w:r>
      <w:r w:rsidRPr="001D3C49">
        <w:rPr>
          <w:lang w:val="el-GR" w:bidi="he-IL"/>
        </w:rPr>
        <w:t>ὅτι</w:t>
      </w:r>
      <w:r w:rsidRPr="001D3C49">
        <w:rPr>
          <w:lang w:bidi="he-IL"/>
        </w:rPr>
        <w:t xml:space="preserve"> </w:t>
      </w:r>
      <w:r w:rsidRPr="001D3C49">
        <w:rPr>
          <w:lang w:val="el-GR" w:bidi="he-IL"/>
        </w:rPr>
        <w:t>ἠγάπησεν</w:t>
      </w:r>
      <w:r w:rsidRPr="001D3C49">
        <w:rPr>
          <w:lang w:bidi="he-IL"/>
        </w:rPr>
        <w:t xml:space="preserve"> </w:t>
      </w:r>
      <w:r w:rsidRPr="001D3C49">
        <w:rPr>
          <w:lang w:val="el-GR" w:bidi="he-IL"/>
        </w:rPr>
        <w:t>πολύ</w:t>
      </w:r>
      <w:r w:rsidRPr="001D3C49">
        <w:rPr>
          <w:lang w:bidi="he-IL"/>
        </w:rPr>
        <w:t xml:space="preserve">· </w:t>
      </w:r>
      <w:r w:rsidRPr="001D3C49">
        <w:rPr>
          <w:lang w:val="el-GR" w:bidi="he-IL"/>
        </w:rPr>
        <w:t>ᾧ</w:t>
      </w:r>
      <w:r w:rsidRPr="001D3C49">
        <w:rPr>
          <w:lang w:bidi="he-IL"/>
        </w:rPr>
        <w:t xml:space="preserve"> </w:t>
      </w:r>
      <w:r w:rsidRPr="001D3C49">
        <w:rPr>
          <w:lang w:val="el-GR" w:bidi="he-IL"/>
        </w:rPr>
        <w:t>δὲ</w:t>
      </w:r>
      <w:r w:rsidRPr="001D3C49">
        <w:rPr>
          <w:lang w:bidi="he-IL"/>
        </w:rPr>
        <w:t xml:space="preserve"> </w:t>
      </w:r>
      <w:r w:rsidRPr="001D3C49">
        <w:rPr>
          <w:lang w:val="el-GR" w:bidi="he-IL"/>
        </w:rPr>
        <w:t>ὀλίγον</w:t>
      </w:r>
      <w:r w:rsidRPr="001D3C49">
        <w:rPr>
          <w:lang w:bidi="he-IL"/>
        </w:rPr>
        <w:t xml:space="preserve"> </w:t>
      </w:r>
      <w:r w:rsidRPr="001D3C49">
        <w:rPr>
          <w:lang w:val="el-GR" w:bidi="he-IL"/>
        </w:rPr>
        <w:t>ἀφίεται</w:t>
      </w:r>
      <w:r w:rsidRPr="001D3C49">
        <w:rPr>
          <w:lang w:bidi="he-IL"/>
        </w:rPr>
        <w:t xml:space="preserve">, </w:t>
      </w:r>
      <w:r w:rsidRPr="001D3C49">
        <w:rPr>
          <w:lang w:val="el-GR" w:bidi="he-IL"/>
        </w:rPr>
        <w:t>ὀλίγον</w:t>
      </w:r>
      <w:r w:rsidRPr="001D3C49">
        <w:rPr>
          <w:lang w:bidi="he-IL"/>
        </w:rPr>
        <w:t xml:space="preserve"> </w:t>
      </w:r>
      <w:r w:rsidRPr="001D3C49">
        <w:rPr>
          <w:lang w:val="el-GR" w:bidi="he-IL"/>
        </w:rPr>
        <w:t>ἀγαπᾷ</w:t>
      </w:r>
      <w:r w:rsidRPr="001D3C49">
        <w:rPr>
          <w:lang w:bidi="he-IL"/>
        </w:rPr>
        <w:t xml:space="preserve">. </w:t>
      </w:r>
      <w:r w:rsidR="000E5829" w:rsidRPr="000E5829">
        <w:rPr>
          <w:lang w:val="el-GR" w:bidi="he-IL"/>
        </w:rPr>
        <w:t>εἶπεν</w:t>
      </w:r>
      <w:r w:rsidR="000E5829" w:rsidRPr="000E5829">
        <w:rPr>
          <w:lang w:bidi="he-IL"/>
        </w:rPr>
        <w:t xml:space="preserve"> </w:t>
      </w:r>
      <w:r w:rsidR="000E5829" w:rsidRPr="000E5829">
        <w:rPr>
          <w:lang w:val="el-GR" w:bidi="he-IL"/>
        </w:rPr>
        <w:t>δὲ</w:t>
      </w:r>
      <w:r w:rsidR="000E5829" w:rsidRPr="000E5829">
        <w:rPr>
          <w:lang w:bidi="he-IL"/>
        </w:rPr>
        <w:t xml:space="preserve"> </w:t>
      </w:r>
      <w:r w:rsidR="000E5829" w:rsidRPr="000E5829">
        <w:rPr>
          <w:lang w:val="el-GR" w:bidi="he-IL"/>
        </w:rPr>
        <w:t>αὐτῇ</w:t>
      </w:r>
      <w:r w:rsidR="000E5829" w:rsidRPr="000E5829">
        <w:rPr>
          <w:lang w:bidi="he-IL"/>
        </w:rPr>
        <w:t xml:space="preserve">· </w:t>
      </w:r>
      <w:r w:rsidR="000E5829" w:rsidRPr="000E5829">
        <w:rPr>
          <w:lang w:val="el-GR" w:bidi="he-IL"/>
        </w:rPr>
        <w:t>ἀφέωνταί</w:t>
      </w:r>
      <w:r w:rsidR="000E5829" w:rsidRPr="000E5829">
        <w:rPr>
          <w:lang w:bidi="he-IL"/>
        </w:rPr>
        <w:t xml:space="preserve"> </w:t>
      </w:r>
      <w:r w:rsidR="000E5829" w:rsidRPr="000E5829">
        <w:rPr>
          <w:lang w:val="el-GR" w:bidi="he-IL"/>
        </w:rPr>
        <w:t>σου</w:t>
      </w:r>
      <w:r w:rsidR="000E5829" w:rsidRPr="000E5829">
        <w:rPr>
          <w:lang w:bidi="he-IL"/>
        </w:rPr>
        <w:t xml:space="preserve"> </w:t>
      </w:r>
      <w:r w:rsidR="000E5829" w:rsidRPr="000E5829">
        <w:rPr>
          <w:lang w:val="el-GR" w:bidi="he-IL"/>
        </w:rPr>
        <w:t>αἱ</w:t>
      </w:r>
      <w:r w:rsidR="000E5829" w:rsidRPr="000E5829">
        <w:rPr>
          <w:lang w:bidi="he-IL"/>
        </w:rPr>
        <w:t xml:space="preserve"> </w:t>
      </w:r>
      <w:r w:rsidR="000E5829" w:rsidRPr="000E5829">
        <w:rPr>
          <w:lang w:val="el-GR" w:bidi="he-IL"/>
        </w:rPr>
        <w:t>ἁμαρτίαι</w:t>
      </w:r>
      <w:r w:rsidR="000E5829">
        <w:rPr>
          <w:lang w:bidi="he-IL"/>
        </w:rPr>
        <w:t xml:space="preserve"> (Lk 7:47–48)</w:t>
      </w:r>
      <w:r w:rsidR="00746095">
        <w:rPr>
          <w:lang w:bidi="he-IL"/>
        </w:rPr>
        <w:t>.</w:t>
      </w:r>
      <w:r w:rsidR="00124D5B">
        <w:rPr>
          <w:rStyle w:val="FootnoteReference"/>
          <w:lang w:bidi="he-IL"/>
        </w:rPr>
        <w:footnoteReference w:id="100"/>
      </w:r>
      <w:r w:rsidR="00185BAE">
        <w:rPr>
          <w:lang w:bidi="he-IL"/>
        </w:rPr>
        <w:t xml:space="preserve"> </w:t>
      </w:r>
    </w:p>
    <w:p w14:paraId="7372890A" w14:textId="77777777" w:rsidR="00CF45F4" w:rsidRDefault="00CF45F4" w:rsidP="00CF45F4">
      <w:pPr>
        <w:spacing w:line="240" w:lineRule="auto"/>
        <w:ind w:left="720" w:right="720"/>
        <w:rPr>
          <w:lang w:bidi="he-IL"/>
        </w:rPr>
      </w:pPr>
    </w:p>
    <w:p w14:paraId="3E5F324F" w14:textId="36AE1310" w:rsidR="00AF1A41" w:rsidRDefault="00185BAE" w:rsidP="00AF1A41">
      <w:pPr>
        <w:rPr>
          <w:lang w:bidi="he-IL"/>
        </w:rPr>
      </w:pPr>
      <w:r>
        <w:rPr>
          <w:lang w:bidi="he-IL"/>
        </w:rPr>
        <w:t xml:space="preserve">In this case, </w:t>
      </w:r>
      <w:r w:rsidR="00C87B1D">
        <w:rPr>
          <w:lang w:bidi="he-IL"/>
        </w:rPr>
        <w:t xml:space="preserve">the woman’s actions are the result </w:t>
      </w:r>
      <w:r w:rsidR="000E6BA5">
        <w:rPr>
          <w:lang w:bidi="he-IL"/>
        </w:rPr>
        <w:t>of a previous act of forgiveness</w:t>
      </w:r>
      <w:r w:rsidR="00CB7842">
        <w:rPr>
          <w:lang w:bidi="he-IL"/>
        </w:rPr>
        <w:t>. She displays her acts of love because her many sins have been forgiven</w:t>
      </w:r>
      <w:r w:rsidR="00063DF9">
        <w:rPr>
          <w:lang w:bidi="he-IL"/>
        </w:rPr>
        <w:t xml:space="preserve">; </w:t>
      </w:r>
      <w:r w:rsidR="00F91895">
        <w:rPr>
          <w:lang w:bidi="he-IL"/>
        </w:rPr>
        <w:t xml:space="preserve">by contrast, Simon shows little love because he </w:t>
      </w:r>
      <w:r w:rsidR="00CF45F4">
        <w:rPr>
          <w:lang w:bidi="he-IL"/>
        </w:rPr>
        <w:t>has only been forgiven little.</w:t>
      </w:r>
      <w:r w:rsidR="00287CA8">
        <w:rPr>
          <w:rStyle w:val="FootnoteReference"/>
          <w:lang w:bidi="he-IL"/>
        </w:rPr>
        <w:footnoteReference w:id="101"/>
      </w:r>
      <w:r w:rsidR="00063DF9">
        <w:rPr>
          <w:lang w:bidi="he-IL"/>
        </w:rPr>
        <w:t xml:space="preserve"> </w:t>
      </w:r>
      <w:r w:rsidR="00356621">
        <w:rPr>
          <w:lang w:bidi="he-IL"/>
        </w:rPr>
        <w:t xml:space="preserve">It is interesting to note that in Luke we are not </w:t>
      </w:r>
      <w:r w:rsidR="007C65D0">
        <w:rPr>
          <w:lang w:bidi="he-IL"/>
        </w:rPr>
        <w:t>explicitly shown the point at which the woman is forgiven</w:t>
      </w:r>
      <w:r w:rsidR="00456454">
        <w:rPr>
          <w:lang w:bidi="he-IL"/>
        </w:rPr>
        <w:t>, all we know is that is has already happened at this point in the account</w:t>
      </w:r>
      <w:r w:rsidR="007C65D0">
        <w:rPr>
          <w:lang w:bidi="he-IL"/>
        </w:rPr>
        <w:t>.</w:t>
      </w:r>
      <w:r w:rsidR="00ED13A1">
        <w:rPr>
          <w:lang w:bidi="he-IL"/>
        </w:rPr>
        <w:t xml:space="preserve"> </w:t>
      </w:r>
      <w:r w:rsidR="00440FD7">
        <w:rPr>
          <w:lang w:bidi="he-IL"/>
        </w:rPr>
        <w:t>However, when read in light of Luke’s programmatic statement for Jesus’ ministry in his sermon at Nazareth</w:t>
      </w:r>
      <w:r w:rsidR="00454D6C">
        <w:rPr>
          <w:lang w:bidi="he-IL"/>
        </w:rPr>
        <w:t xml:space="preserve"> we can </w:t>
      </w:r>
      <w:r w:rsidR="00051CA3">
        <w:rPr>
          <w:lang w:bidi="he-IL"/>
        </w:rPr>
        <w:t>see that Jesus’ proclamation of release (</w:t>
      </w:r>
      <w:r w:rsidR="00051CA3">
        <w:rPr>
          <w:lang w:val="el-GR" w:bidi="he-IL"/>
        </w:rPr>
        <w:t>α</w:t>
      </w:r>
      <w:r w:rsidR="00051CA3" w:rsidRPr="00051CA3">
        <w:rPr>
          <w:lang w:bidi="he-IL"/>
        </w:rPr>
        <w:t>̓́</w:t>
      </w:r>
      <w:r w:rsidR="00051CA3">
        <w:rPr>
          <w:lang w:val="el-GR" w:bidi="he-IL"/>
        </w:rPr>
        <w:t>φεσις</w:t>
      </w:r>
      <w:r w:rsidR="00051CA3">
        <w:rPr>
          <w:lang w:bidi="he-IL"/>
        </w:rPr>
        <w:t>)</w:t>
      </w:r>
      <w:r w:rsidR="00426B5A">
        <w:rPr>
          <w:lang w:bidi="he-IL"/>
        </w:rPr>
        <w:t xml:space="preserve"> </w:t>
      </w:r>
      <w:r w:rsidR="00746315">
        <w:rPr>
          <w:lang w:bidi="he-IL"/>
        </w:rPr>
        <w:t xml:space="preserve">serves as the past action enabling </w:t>
      </w:r>
      <w:r w:rsidR="004C15DD">
        <w:rPr>
          <w:lang w:bidi="he-IL"/>
        </w:rPr>
        <w:t xml:space="preserve">the </w:t>
      </w:r>
      <w:r w:rsidR="009A5D19">
        <w:rPr>
          <w:lang w:bidi="he-IL"/>
        </w:rPr>
        <w:t>completed state of the woman’s acts of love.</w:t>
      </w:r>
      <w:r w:rsidR="00A0558C">
        <w:rPr>
          <w:lang w:bidi="he-IL"/>
        </w:rPr>
        <w:t xml:space="preserve"> Therefore, Luke renders </w:t>
      </w:r>
      <w:r w:rsidR="00A0558C">
        <w:rPr>
          <w:lang w:val="el-GR" w:bidi="he-IL"/>
        </w:rPr>
        <w:t>α</w:t>
      </w:r>
      <w:r w:rsidR="00A0558C" w:rsidRPr="004F5BAC">
        <w:rPr>
          <w:lang w:bidi="he-IL"/>
        </w:rPr>
        <w:t>̓</w:t>
      </w:r>
      <w:r w:rsidR="00A0558C">
        <w:rPr>
          <w:lang w:val="el-GR" w:bidi="he-IL"/>
        </w:rPr>
        <w:t>φι</w:t>
      </w:r>
      <w:r w:rsidR="00A0558C" w:rsidRPr="004F5BAC">
        <w:rPr>
          <w:lang w:bidi="he-IL"/>
        </w:rPr>
        <w:t>́</w:t>
      </w:r>
      <w:r w:rsidR="00A0558C">
        <w:rPr>
          <w:lang w:val="el-GR" w:bidi="he-IL"/>
        </w:rPr>
        <w:t>ημι</w:t>
      </w:r>
      <w:r w:rsidR="00A0558C" w:rsidRPr="004F5BAC">
        <w:rPr>
          <w:lang w:bidi="he-IL"/>
        </w:rPr>
        <w:t xml:space="preserve"> </w:t>
      </w:r>
      <w:r w:rsidR="00A0558C">
        <w:rPr>
          <w:lang w:bidi="he-IL"/>
        </w:rPr>
        <w:t xml:space="preserve">in the perfect in 7:47–48 because </w:t>
      </w:r>
      <w:r w:rsidR="004F5BAC">
        <w:rPr>
          <w:lang w:bidi="he-IL"/>
        </w:rPr>
        <w:t xml:space="preserve">he is describing a completed </w:t>
      </w:r>
      <w:r w:rsidR="009F2A68">
        <w:rPr>
          <w:lang w:bidi="he-IL"/>
        </w:rPr>
        <w:t>action</w:t>
      </w:r>
      <w:r w:rsidR="00920DBA">
        <w:rPr>
          <w:lang w:bidi="he-IL"/>
        </w:rPr>
        <w:t xml:space="preserve">, which </w:t>
      </w:r>
      <w:r w:rsidR="00506C26">
        <w:rPr>
          <w:lang w:bidi="he-IL"/>
        </w:rPr>
        <w:t>Jesus</w:t>
      </w:r>
      <w:r w:rsidR="00920DBA">
        <w:rPr>
          <w:lang w:bidi="he-IL"/>
        </w:rPr>
        <w:t xml:space="preserve"> himself </w:t>
      </w:r>
      <w:r w:rsidR="001D73A9">
        <w:rPr>
          <w:lang w:bidi="he-IL"/>
        </w:rPr>
        <w:t>h</w:t>
      </w:r>
      <w:r w:rsidR="00920DBA">
        <w:rPr>
          <w:lang w:bidi="he-IL"/>
        </w:rPr>
        <w:t xml:space="preserve">as </w:t>
      </w:r>
      <w:r w:rsidR="00506C26">
        <w:rPr>
          <w:lang w:bidi="he-IL"/>
        </w:rPr>
        <w:t xml:space="preserve">already </w:t>
      </w:r>
      <w:r w:rsidR="00920DBA">
        <w:rPr>
          <w:lang w:bidi="he-IL"/>
        </w:rPr>
        <w:t>fulfilled,</w:t>
      </w:r>
      <w:r w:rsidR="009F2A68">
        <w:rPr>
          <w:lang w:bidi="he-IL"/>
        </w:rPr>
        <w:t xml:space="preserve"> that manifests itself though the love of the woman.</w:t>
      </w:r>
      <w:r w:rsidR="008C3C94">
        <w:rPr>
          <w:lang w:bidi="he-IL"/>
        </w:rPr>
        <w:t xml:space="preserve"> These two examples, the Healing of the Paralytic and the Woman with the Ointment</w:t>
      </w:r>
      <w:r w:rsidR="00A239A8">
        <w:rPr>
          <w:lang w:bidi="he-IL"/>
        </w:rPr>
        <w:t>,</w:t>
      </w:r>
      <w:r w:rsidR="00E832AB">
        <w:rPr>
          <w:lang w:bidi="he-IL"/>
        </w:rPr>
        <w:t xml:space="preserve"> demonstrate how Luke articulates Jesus’ ministry of forgiveness vis-à-vis </w:t>
      </w:r>
      <w:r w:rsidR="00114465">
        <w:rPr>
          <w:lang w:bidi="he-IL"/>
        </w:rPr>
        <w:t xml:space="preserve">his programmatic goals set forward in the </w:t>
      </w:r>
      <w:r w:rsidR="007167C5">
        <w:rPr>
          <w:lang w:bidi="he-IL"/>
        </w:rPr>
        <w:t>sermon at Nazareth.</w:t>
      </w:r>
      <w:r w:rsidR="00444F9A">
        <w:rPr>
          <w:rStyle w:val="FootnoteReference"/>
          <w:lang w:bidi="he-IL"/>
        </w:rPr>
        <w:footnoteReference w:id="102"/>
      </w:r>
      <w:r w:rsidR="007167C5">
        <w:rPr>
          <w:lang w:bidi="he-IL"/>
        </w:rPr>
        <w:t xml:space="preserve"> </w:t>
      </w:r>
    </w:p>
    <w:p w14:paraId="77C130D9" w14:textId="11C9A8BB" w:rsidR="00590B16" w:rsidRDefault="00AF1A41" w:rsidP="00590B16">
      <w:pPr>
        <w:rPr>
          <w:lang w:bidi="he-IL"/>
        </w:rPr>
      </w:pPr>
      <w:r>
        <w:rPr>
          <w:lang w:bidi="he-IL"/>
        </w:rPr>
        <w:tab/>
      </w:r>
      <w:r w:rsidR="00852E4E">
        <w:rPr>
          <w:lang w:bidi="he-IL"/>
        </w:rPr>
        <w:t xml:space="preserve">Finally, </w:t>
      </w:r>
      <w:r w:rsidR="003409BE">
        <w:rPr>
          <w:lang w:bidi="he-IL"/>
        </w:rPr>
        <w:t xml:space="preserve">when we examine Mark’s account of the Healing of the Paralytic, </w:t>
      </w:r>
      <w:r w:rsidR="007C2E09">
        <w:rPr>
          <w:lang w:bidi="he-IL"/>
        </w:rPr>
        <w:t>we do not see as clear a development of his programmatic agenda as we do in Matthew in Luke.</w:t>
      </w:r>
      <w:r w:rsidR="00763534">
        <w:rPr>
          <w:lang w:bidi="he-IL"/>
        </w:rPr>
        <w:t xml:space="preserve"> Mark’s program</w:t>
      </w:r>
      <w:r w:rsidR="00590B16">
        <w:rPr>
          <w:lang w:bidi="he-IL"/>
        </w:rPr>
        <w:t>, instead,</w:t>
      </w:r>
      <w:r w:rsidR="00763534">
        <w:rPr>
          <w:lang w:bidi="he-IL"/>
        </w:rPr>
        <w:t xml:space="preserve"> </w:t>
      </w:r>
      <w:r w:rsidR="004A3BAA">
        <w:rPr>
          <w:lang w:bidi="he-IL"/>
        </w:rPr>
        <w:t xml:space="preserve">can explain the development of Matthew’s and Luke’s agendas </w:t>
      </w:r>
      <w:r w:rsidR="00EC4B8C">
        <w:rPr>
          <w:lang w:bidi="he-IL"/>
        </w:rPr>
        <w:t xml:space="preserve">for Jesus’ identity and ministry. </w:t>
      </w:r>
      <w:r w:rsidR="00FC4233">
        <w:rPr>
          <w:lang w:bidi="he-IL"/>
        </w:rPr>
        <w:t xml:space="preserve">This indicates a common redaction of Mark by Matthew and Luke that </w:t>
      </w:r>
      <w:r w:rsidR="00FC4233">
        <w:rPr>
          <w:lang w:bidi="he-IL"/>
        </w:rPr>
        <w:lastRenderedPageBreak/>
        <w:t xml:space="preserve">explains their </w:t>
      </w:r>
      <w:r w:rsidR="00895A20">
        <w:rPr>
          <w:lang w:bidi="he-IL"/>
        </w:rPr>
        <w:t xml:space="preserve">differences in the text. </w:t>
      </w:r>
      <w:r w:rsidR="00590B16">
        <w:rPr>
          <w:lang w:bidi="he-IL"/>
        </w:rPr>
        <w:t>One statement that might be considered programmatic for Mark is Jesus’ preaching in Galilee:</w:t>
      </w:r>
      <w:r w:rsidR="002B6B8F">
        <w:rPr>
          <w:rStyle w:val="FootnoteReference"/>
          <w:lang w:bidi="he-IL"/>
        </w:rPr>
        <w:footnoteReference w:id="103"/>
      </w:r>
      <w:r w:rsidR="00590B16">
        <w:rPr>
          <w:lang w:bidi="he-IL"/>
        </w:rPr>
        <w:t xml:space="preserve"> </w:t>
      </w:r>
    </w:p>
    <w:p w14:paraId="497BE2AD" w14:textId="6C486D7D" w:rsidR="00590B16" w:rsidRDefault="00590B16" w:rsidP="007C739B">
      <w:pPr>
        <w:spacing w:line="240" w:lineRule="auto"/>
        <w:ind w:left="720" w:right="720"/>
        <w:rPr>
          <w:lang w:bidi="he-IL"/>
        </w:rPr>
      </w:pPr>
      <w:r w:rsidRPr="00362321">
        <w:rPr>
          <w:lang w:val="el-GR" w:bidi="he-IL"/>
        </w:rPr>
        <w:t>Μετὰ</w:t>
      </w:r>
      <w:r w:rsidRPr="00362321">
        <w:rPr>
          <w:lang w:bidi="he-IL"/>
        </w:rPr>
        <w:t xml:space="preserve"> </w:t>
      </w:r>
      <w:r w:rsidRPr="00362321">
        <w:rPr>
          <w:lang w:val="el-GR" w:bidi="he-IL"/>
        </w:rPr>
        <w:t>δὲ</w:t>
      </w:r>
      <w:r w:rsidRPr="00362321">
        <w:rPr>
          <w:lang w:bidi="he-IL"/>
        </w:rPr>
        <w:t xml:space="preserve"> </w:t>
      </w:r>
      <w:r w:rsidRPr="00362321">
        <w:rPr>
          <w:lang w:val="el-GR" w:bidi="he-IL"/>
        </w:rPr>
        <w:t>τὸ</w:t>
      </w:r>
      <w:r w:rsidRPr="00362321">
        <w:rPr>
          <w:lang w:bidi="he-IL"/>
        </w:rPr>
        <w:t xml:space="preserve"> </w:t>
      </w:r>
      <w:r w:rsidRPr="00362321">
        <w:rPr>
          <w:lang w:val="el-GR" w:bidi="he-IL"/>
        </w:rPr>
        <w:t>παραδοθῆναι</w:t>
      </w:r>
      <w:r w:rsidRPr="00362321">
        <w:rPr>
          <w:lang w:bidi="he-IL"/>
        </w:rPr>
        <w:t xml:space="preserve"> </w:t>
      </w:r>
      <w:r w:rsidRPr="00362321">
        <w:rPr>
          <w:lang w:val="el-GR" w:bidi="he-IL"/>
        </w:rPr>
        <w:t>τὸν</w:t>
      </w:r>
      <w:r w:rsidRPr="00362321">
        <w:rPr>
          <w:lang w:bidi="he-IL"/>
        </w:rPr>
        <w:t xml:space="preserve"> </w:t>
      </w:r>
      <w:r w:rsidRPr="00362321">
        <w:rPr>
          <w:lang w:val="el-GR" w:bidi="he-IL"/>
        </w:rPr>
        <w:t>Ἰωάννην</w:t>
      </w:r>
      <w:r w:rsidRPr="00362321">
        <w:rPr>
          <w:lang w:bidi="he-IL"/>
        </w:rPr>
        <w:t xml:space="preserve"> </w:t>
      </w:r>
      <w:r w:rsidRPr="00362321">
        <w:rPr>
          <w:lang w:val="el-GR" w:bidi="he-IL"/>
        </w:rPr>
        <w:t>ἦλθεν</w:t>
      </w:r>
      <w:r w:rsidRPr="00362321">
        <w:rPr>
          <w:lang w:bidi="he-IL"/>
        </w:rPr>
        <w:t xml:space="preserve"> </w:t>
      </w:r>
      <w:r w:rsidRPr="00362321">
        <w:rPr>
          <w:lang w:val="el-GR" w:bidi="he-IL"/>
        </w:rPr>
        <w:t>ὁ</w:t>
      </w:r>
      <w:r w:rsidRPr="00362321">
        <w:rPr>
          <w:lang w:bidi="he-IL"/>
        </w:rPr>
        <w:t xml:space="preserve"> </w:t>
      </w:r>
      <w:r w:rsidRPr="00362321">
        <w:rPr>
          <w:lang w:val="el-GR" w:bidi="he-IL"/>
        </w:rPr>
        <w:t>Ἰησοῦς</w:t>
      </w:r>
      <w:r w:rsidRPr="00362321">
        <w:rPr>
          <w:lang w:bidi="he-IL"/>
        </w:rPr>
        <w:t xml:space="preserve"> </w:t>
      </w:r>
      <w:r w:rsidRPr="00362321">
        <w:rPr>
          <w:lang w:val="el-GR" w:bidi="he-IL"/>
        </w:rPr>
        <w:t>εἰς</w:t>
      </w:r>
      <w:r w:rsidRPr="00362321">
        <w:rPr>
          <w:lang w:bidi="he-IL"/>
        </w:rPr>
        <w:t xml:space="preserve"> </w:t>
      </w:r>
      <w:r w:rsidRPr="00362321">
        <w:rPr>
          <w:lang w:val="el-GR" w:bidi="he-IL"/>
        </w:rPr>
        <w:t>τὴν</w:t>
      </w:r>
      <w:r w:rsidRPr="00362321">
        <w:rPr>
          <w:lang w:bidi="he-IL"/>
        </w:rPr>
        <w:t xml:space="preserve"> </w:t>
      </w:r>
      <w:r w:rsidRPr="00362321">
        <w:rPr>
          <w:lang w:val="el-GR" w:bidi="he-IL"/>
        </w:rPr>
        <w:t>Γαλιλαίαν</w:t>
      </w:r>
      <w:r w:rsidRPr="00362321">
        <w:rPr>
          <w:lang w:bidi="he-IL"/>
        </w:rPr>
        <w:t xml:space="preserve"> </w:t>
      </w:r>
      <w:r w:rsidRPr="00362321">
        <w:rPr>
          <w:lang w:val="el-GR" w:bidi="he-IL"/>
        </w:rPr>
        <w:t>κηρύσσων</w:t>
      </w:r>
      <w:r w:rsidRPr="00362321">
        <w:rPr>
          <w:lang w:bidi="he-IL"/>
        </w:rPr>
        <w:t xml:space="preserve"> </w:t>
      </w:r>
      <w:r w:rsidRPr="00362321">
        <w:rPr>
          <w:lang w:val="el-GR" w:bidi="he-IL"/>
        </w:rPr>
        <w:t>τὸ</w:t>
      </w:r>
      <w:r w:rsidRPr="00362321">
        <w:rPr>
          <w:lang w:bidi="he-IL"/>
        </w:rPr>
        <w:t xml:space="preserve"> </w:t>
      </w:r>
      <w:r w:rsidRPr="00362321">
        <w:rPr>
          <w:lang w:val="el-GR" w:bidi="he-IL"/>
        </w:rPr>
        <w:t>εὐαγγέλιον</w:t>
      </w:r>
      <w:r w:rsidRPr="00362321">
        <w:rPr>
          <w:lang w:bidi="he-IL"/>
        </w:rPr>
        <w:t xml:space="preserve"> </w:t>
      </w:r>
      <w:r w:rsidRPr="00362321">
        <w:rPr>
          <w:lang w:val="el-GR" w:bidi="he-IL"/>
        </w:rPr>
        <w:t>τοῦ</w:t>
      </w:r>
      <w:r w:rsidRPr="00362321">
        <w:rPr>
          <w:lang w:bidi="he-IL"/>
        </w:rPr>
        <w:t xml:space="preserve"> </w:t>
      </w:r>
      <w:r w:rsidRPr="00362321">
        <w:rPr>
          <w:lang w:val="el-GR" w:bidi="he-IL"/>
        </w:rPr>
        <w:t>θεοῦ</w:t>
      </w:r>
      <w:r>
        <w:rPr>
          <w:lang w:bidi="he-IL"/>
        </w:rPr>
        <w:t xml:space="preserve"> </w:t>
      </w:r>
      <w:r w:rsidRPr="00C13AE6">
        <w:rPr>
          <w:lang w:val="el-GR" w:bidi="he-IL"/>
        </w:rPr>
        <w:t>καὶ</w:t>
      </w:r>
      <w:r w:rsidRPr="00C13AE6">
        <w:rPr>
          <w:lang w:bidi="he-IL"/>
        </w:rPr>
        <w:t xml:space="preserve"> </w:t>
      </w:r>
      <w:r w:rsidRPr="00C13AE6">
        <w:rPr>
          <w:lang w:val="el-GR" w:bidi="he-IL"/>
        </w:rPr>
        <w:t>λέγων</w:t>
      </w:r>
      <w:r w:rsidRPr="00C13AE6">
        <w:rPr>
          <w:lang w:bidi="he-IL"/>
        </w:rPr>
        <w:t xml:space="preserve"> </w:t>
      </w:r>
      <w:r w:rsidRPr="00C13AE6">
        <w:rPr>
          <w:lang w:val="el-GR" w:bidi="he-IL"/>
        </w:rPr>
        <w:t>ὅτι</w:t>
      </w:r>
      <w:r w:rsidRPr="00C13AE6">
        <w:rPr>
          <w:lang w:bidi="he-IL"/>
        </w:rPr>
        <w:t xml:space="preserve"> </w:t>
      </w:r>
      <w:r w:rsidRPr="00C13AE6">
        <w:rPr>
          <w:lang w:val="el-GR" w:bidi="he-IL"/>
        </w:rPr>
        <w:t>πεπλήρωται</w:t>
      </w:r>
      <w:r w:rsidRPr="00C13AE6">
        <w:rPr>
          <w:lang w:bidi="he-IL"/>
        </w:rPr>
        <w:t xml:space="preserve"> </w:t>
      </w:r>
      <w:r w:rsidRPr="00C13AE6">
        <w:rPr>
          <w:lang w:val="el-GR" w:bidi="he-IL"/>
        </w:rPr>
        <w:t>ὁ</w:t>
      </w:r>
      <w:r w:rsidRPr="00C13AE6">
        <w:rPr>
          <w:lang w:bidi="he-IL"/>
        </w:rPr>
        <w:t xml:space="preserve"> </w:t>
      </w:r>
      <w:r w:rsidRPr="00C13AE6">
        <w:rPr>
          <w:lang w:val="el-GR" w:bidi="he-IL"/>
        </w:rPr>
        <w:t>καιρὸς</w:t>
      </w:r>
      <w:r w:rsidRPr="00C13AE6">
        <w:rPr>
          <w:lang w:bidi="he-IL"/>
        </w:rPr>
        <w:t xml:space="preserve"> </w:t>
      </w:r>
      <w:r w:rsidRPr="00C13AE6">
        <w:rPr>
          <w:lang w:val="el-GR" w:bidi="he-IL"/>
        </w:rPr>
        <w:t>καὶ</w:t>
      </w:r>
      <w:r w:rsidRPr="00C13AE6">
        <w:rPr>
          <w:lang w:bidi="he-IL"/>
        </w:rPr>
        <w:t xml:space="preserve"> </w:t>
      </w:r>
      <w:r w:rsidRPr="00C13AE6">
        <w:rPr>
          <w:lang w:val="el-GR" w:bidi="he-IL"/>
        </w:rPr>
        <w:t>ἤγγικεν</w:t>
      </w:r>
      <w:r w:rsidRPr="00C13AE6">
        <w:rPr>
          <w:lang w:bidi="he-IL"/>
        </w:rPr>
        <w:t xml:space="preserve"> </w:t>
      </w:r>
      <w:r w:rsidRPr="00C13AE6">
        <w:rPr>
          <w:lang w:val="el-GR" w:bidi="he-IL"/>
        </w:rPr>
        <w:t>ἡ</w:t>
      </w:r>
      <w:r w:rsidRPr="00C13AE6">
        <w:rPr>
          <w:lang w:bidi="he-IL"/>
        </w:rPr>
        <w:t xml:space="preserve"> </w:t>
      </w:r>
      <w:r w:rsidRPr="00C13AE6">
        <w:rPr>
          <w:lang w:val="el-GR" w:bidi="he-IL"/>
        </w:rPr>
        <w:t>βασιλεία</w:t>
      </w:r>
      <w:r w:rsidRPr="00C13AE6">
        <w:rPr>
          <w:lang w:bidi="he-IL"/>
        </w:rPr>
        <w:t xml:space="preserve"> </w:t>
      </w:r>
      <w:r w:rsidRPr="00C13AE6">
        <w:rPr>
          <w:lang w:val="el-GR" w:bidi="he-IL"/>
        </w:rPr>
        <w:t>τοῦ</w:t>
      </w:r>
      <w:r w:rsidRPr="00C13AE6">
        <w:rPr>
          <w:lang w:bidi="he-IL"/>
        </w:rPr>
        <w:t xml:space="preserve"> </w:t>
      </w:r>
      <w:r w:rsidRPr="00C13AE6">
        <w:rPr>
          <w:lang w:val="el-GR" w:bidi="he-IL"/>
        </w:rPr>
        <w:t>θεοῦ</w:t>
      </w:r>
      <w:r w:rsidRPr="00C13AE6">
        <w:rPr>
          <w:lang w:bidi="he-IL"/>
        </w:rPr>
        <w:t xml:space="preserve">· </w:t>
      </w:r>
      <w:r w:rsidRPr="00C13AE6">
        <w:rPr>
          <w:lang w:val="el-GR" w:bidi="he-IL"/>
        </w:rPr>
        <w:t>μετανοεῖτε</w:t>
      </w:r>
      <w:r w:rsidRPr="00C13AE6">
        <w:rPr>
          <w:lang w:bidi="he-IL"/>
        </w:rPr>
        <w:t xml:space="preserve"> </w:t>
      </w:r>
      <w:r w:rsidRPr="00C13AE6">
        <w:rPr>
          <w:lang w:val="el-GR" w:bidi="he-IL"/>
        </w:rPr>
        <w:t>καὶ</w:t>
      </w:r>
      <w:r w:rsidRPr="00C13AE6">
        <w:rPr>
          <w:lang w:bidi="he-IL"/>
        </w:rPr>
        <w:t xml:space="preserve"> </w:t>
      </w:r>
      <w:r w:rsidRPr="00C13AE6">
        <w:rPr>
          <w:lang w:val="el-GR" w:bidi="he-IL"/>
        </w:rPr>
        <w:t>πιστεύετε</w:t>
      </w:r>
      <w:r w:rsidRPr="00C13AE6">
        <w:rPr>
          <w:lang w:bidi="he-IL"/>
        </w:rPr>
        <w:t xml:space="preserve"> </w:t>
      </w:r>
      <w:r w:rsidRPr="00C13AE6">
        <w:rPr>
          <w:lang w:val="el-GR" w:bidi="he-IL"/>
        </w:rPr>
        <w:t>ἐν</w:t>
      </w:r>
      <w:r w:rsidRPr="00C13AE6">
        <w:rPr>
          <w:lang w:bidi="he-IL"/>
        </w:rPr>
        <w:t xml:space="preserve"> </w:t>
      </w:r>
      <w:r w:rsidRPr="00C13AE6">
        <w:rPr>
          <w:lang w:val="el-GR" w:bidi="he-IL"/>
        </w:rPr>
        <w:t>τῷ</w:t>
      </w:r>
      <w:r w:rsidRPr="00C13AE6">
        <w:rPr>
          <w:lang w:bidi="he-IL"/>
        </w:rPr>
        <w:t xml:space="preserve"> </w:t>
      </w:r>
      <w:r w:rsidRPr="00C13AE6">
        <w:rPr>
          <w:lang w:val="el-GR" w:bidi="he-IL"/>
        </w:rPr>
        <w:t>εὐαγγελίῳ</w:t>
      </w:r>
      <w:r>
        <w:rPr>
          <w:lang w:bidi="he-IL"/>
        </w:rPr>
        <w:t xml:space="preserve"> (Mk 1:14–15).</w:t>
      </w:r>
      <w:r>
        <w:rPr>
          <w:rStyle w:val="FootnoteReference"/>
          <w:lang w:bidi="he-IL"/>
        </w:rPr>
        <w:footnoteReference w:id="104"/>
      </w:r>
    </w:p>
    <w:p w14:paraId="319D5045" w14:textId="77777777" w:rsidR="007C739B" w:rsidRDefault="007C739B" w:rsidP="007C739B">
      <w:pPr>
        <w:spacing w:line="240" w:lineRule="auto"/>
        <w:ind w:left="720" w:right="720"/>
        <w:rPr>
          <w:lang w:bidi="he-IL"/>
        </w:rPr>
      </w:pPr>
    </w:p>
    <w:p w14:paraId="3EC764B3" w14:textId="25A5A670" w:rsidR="00716FF8" w:rsidRDefault="001A29CD" w:rsidP="00171F0D">
      <w:pPr>
        <w:rPr>
          <w:lang w:bidi="he-IL"/>
        </w:rPr>
      </w:pPr>
      <w:r>
        <w:rPr>
          <w:lang w:bidi="he-IL"/>
        </w:rPr>
        <w:t xml:space="preserve">This statement contains two motifs </w:t>
      </w:r>
      <w:r w:rsidR="00877C28">
        <w:rPr>
          <w:lang w:bidi="he-IL"/>
        </w:rPr>
        <w:t>that appear in Matthew’s and Luke’s programmatic agendas. First</w:t>
      </w:r>
      <w:r w:rsidR="00683988">
        <w:rPr>
          <w:lang w:bidi="he-IL"/>
        </w:rPr>
        <w:t xml:space="preserve"> is the nearness of the Kingdom of God (</w:t>
      </w:r>
      <w:r w:rsidR="00683988" w:rsidRPr="00C13AE6">
        <w:rPr>
          <w:lang w:val="el-GR" w:bidi="he-IL"/>
        </w:rPr>
        <w:t>ἤγγικεν</w:t>
      </w:r>
      <w:r w:rsidR="00683988" w:rsidRPr="00C13AE6">
        <w:rPr>
          <w:lang w:bidi="he-IL"/>
        </w:rPr>
        <w:t xml:space="preserve"> </w:t>
      </w:r>
      <w:r w:rsidR="00683988" w:rsidRPr="00C13AE6">
        <w:rPr>
          <w:lang w:val="el-GR" w:bidi="he-IL"/>
        </w:rPr>
        <w:t>ἡ</w:t>
      </w:r>
      <w:r w:rsidR="00683988" w:rsidRPr="00C13AE6">
        <w:rPr>
          <w:lang w:bidi="he-IL"/>
        </w:rPr>
        <w:t xml:space="preserve"> </w:t>
      </w:r>
      <w:r w:rsidR="00683988" w:rsidRPr="00C13AE6">
        <w:rPr>
          <w:lang w:val="el-GR" w:bidi="he-IL"/>
        </w:rPr>
        <w:t>βασιλεία</w:t>
      </w:r>
      <w:r w:rsidR="00683988" w:rsidRPr="00C13AE6">
        <w:rPr>
          <w:lang w:bidi="he-IL"/>
        </w:rPr>
        <w:t xml:space="preserve"> </w:t>
      </w:r>
      <w:r w:rsidR="00683988" w:rsidRPr="00C13AE6">
        <w:rPr>
          <w:lang w:val="el-GR" w:bidi="he-IL"/>
        </w:rPr>
        <w:t>τοῦ</w:t>
      </w:r>
      <w:r w:rsidR="00683988" w:rsidRPr="00C13AE6">
        <w:rPr>
          <w:lang w:bidi="he-IL"/>
        </w:rPr>
        <w:t xml:space="preserve"> </w:t>
      </w:r>
      <w:r w:rsidR="00683988" w:rsidRPr="00C13AE6">
        <w:rPr>
          <w:lang w:val="el-GR" w:bidi="he-IL"/>
        </w:rPr>
        <w:t>θεοῦ</w:t>
      </w:r>
      <w:r w:rsidR="00683988">
        <w:rPr>
          <w:lang w:bidi="he-IL"/>
        </w:rPr>
        <w:t>).</w:t>
      </w:r>
      <w:r w:rsidR="00380C83">
        <w:rPr>
          <w:lang w:bidi="he-IL"/>
        </w:rPr>
        <w:t xml:space="preserve"> </w:t>
      </w:r>
      <w:r w:rsidR="00E577E6">
        <w:rPr>
          <w:lang w:bidi="he-IL"/>
        </w:rPr>
        <w:t>In a similar way, we see Matthew pick up on this idea of nearness by rendering</w:t>
      </w:r>
      <w:r w:rsidR="007465FD">
        <w:rPr>
          <w:lang w:bidi="he-IL"/>
        </w:rPr>
        <w:t xml:space="preserve"> the concept of forgiveness in the present tense in order to emphasize the presence of Jesus as Emmanuel</w:t>
      </w:r>
      <w:r w:rsidR="0056680D">
        <w:rPr>
          <w:lang w:bidi="he-IL"/>
        </w:rPr>
        <w:t xml:space="preserve"> and by ending his version of the pericope with</w:t>
      </w:r>
      <w:r w:rsidR="00A9437E">
        <w:rPr>
          <w:lang w:bidi="he-IL"/>
        </w:rPr>
        <w:t xml:space="preserve"> an indirect object (</w:t>
      </w:r>
      <w:r w:rsidR="00A9437E">
        <w:rPr>
          <w:lang w:val="el-GR" w:bidi="he-IL"/>
        </w:rPr>
        <w:t>τοι</w:t>
      </w:r>
      <w:r w:rsidR="00A9437E" w:rsidRPr="00A9437E">
        <w:rPr>
          <w:lang w:bidi="he-IL"/>
        </w:rPr>
        <w:t>͂</w:t>
      </w:r>
      <w:r w:rsidR="00A9437E">
        <w:rPr>
          <w:lang w:val="el-GR" w:bidi="he-IL"/>
        </w:rPr>
        <w:t>ς</w:t>
      </w:r>
      <w:r w:rsidR="00A9437E" w:rsidRPr="00A9437E">
        <w:rPr>
          <w:lang w:bidi="he-IL"/>
        </w:rPr>
        <w:t xml:space="preserve"> </w:t>
      </w:r>
      <w:r w:rsidR="00A9437E">
        <w:rPr>
          <w:lang w:val="el-GR" w:bidi="he-IL"/>
        </w:rPr>
        <w:t>α</w:t>
      </w:r>
      <w:r w:rsidR="00A9437E" w:rsidRPr="00A9437E">
        <w:rPr>
          <w:lang w:bidi="he-IL"/>
        </w:rPr>
        <w:t>̓</w:t>
      </w:r>
      <w:r w:rsidR="00A9437E">
        <w:rPr>
          <w:lang w:val="el-GR" w:bidi="he-IL"/>
        </w:rPr>
        <w:t>νθ</w:t>
      </w:r>
      <w:r w:rsidR="00550246">
        <w:rPr>
          <w:lang w:val="el-GR" w:bidi="he-IL"/>
        </w:rPr>
        <w:t>ρω</w:t>
      </w:r>
      <w:r w:rsidR="00550246" w:rsidRPr="00550246">
        <w:rPr>
          <w:lang w:bidi="he-IL"/>
        </w:rPr>
        <w:t>́</w:t>
      </w:r>
      <w:r w:rsidR="00550246">
        <w:rPr>
          <w:lang w:val="el-GR" w:bidi="he-IL"/>
        </w:rPr>
        <w:t>ποις</w:t>
      </w:r>
      <w:r w:rsidR="00550246">
        <w:rPr>
          <w:lang w:bidi="he-IL"/>
        </w:rPr>
        <w:t>) to draw attention to the presence of God’s Messiah among human beings.</w:t>
      </w:r>
      <w:r w:rsidR="008658F9">
        <w:rPr>
          <w:lang w:bidi="he-IL"/>
        </w:rPr>
        <w:t xml:space="preserve"> The second motif is fulfilment (</w:t>
      </w:r>
      <w:r w:rsidR="008658F9" w:rsidRPr="00C13AE6">
        <w:rPr>
          <w:lang w:val="el-GR" w:bidi="he-IL"/>
        </w:rPr>
        <w:t>πεπλήρωται</w:t>
      </w:r>
      <w:r w:rsidR="008658F9" w:rsidRPr="00C13AE6">
        <w:rPr>
          <w:lang w:bidi="he-IL"/>
        </w:rPr>
        <w:t xml:space="preserve"> </w:t>
      </w:r>
      <w:r w:rsidR="008658F9" w:rsidRPr="00C13AE6">
        <w:rPr>
          <w:lang w:val="el-GR" w:bidi="he-IL"/>
        </w:rPr>
        <w:t>ὁ</w:t>
      </w:r>
      <w:r w:rsidR="008658F9" w:rsidRPr="00C13AE6">
        <w:rPr>
          <w:lang w:bidi="he-IL"/>
        </w:rPr>
        <w:t xml:space="preserve"> </w:t>
      </w:r>
      <w:r w:rsidR="008658F9" w:rsidRPr="00C13AE6">
        <w:rPr>
          <w:lang w:val="el-GR" w:bidi="he-IL"/>
        </w:rPr>
        <w:t>καιρὸς</w:t>
      </w:r>
      <w:r w:rsidR="008658F9">
        <w:rPr>
          <w:lang w:bidi="he-IL"/>
        </w:rPr>
        <w:t>).</w:t>
      </w:r>
      <w:r w:rsidR="004C10D1">
        <w:rPr>
          <w:lang w:bidi="he-IL"/>
        </w:rPr>
        <w:t xml:space="preserve"> </w:t>
      </w:r>
      <w:r w:rsidR="00BD0BCC">
        <w:rPr>
          <w:lang w:bidi="he-IL"/>
        </w:rPr>
        <w:t>I</w:t>
      </w:r>
      <w:r w:rsidR="004C10D1">
        <w:rPr>
          <w:lang w:bidi="he-IL"/>
        </w:rPr>
        <w:t xml:space="preserve">n a similar way we see Luke pick up on </w:t>
      </w:r>
      <w:r w:rsidR="00AB3A07">
        <w:rPr>
          <w:lang w:bidi="he-IL"/>
        </w:rPr>
        <w:t>this idea of fulfillment by rendering forgiveness (</w:t>
      </w:r>
      <w:r w:rsidR="00AB3A07">
        <w:rPr>
          <w:lang w:val="el-GR" w:bidi="he-IL"/>
        </w:rPr>
        <w:t>α</w:t>
      </w:r>
      <w:r w:rsidR="00AB3A07" w:rsidRPr="00AB3A07">
        <w:rPr>
          <w:lang w:bidi="he-IL"/>
        </w:rPr>
        <w:t>̓</w:t>
      </w:r>
      <w:r w:rsidR="00AB3A07">
        <w:rPr>
          <w:lang w:val="el-GR" w:bidi="he-IL"/>
        </w:rPr>
        <w:t>φι</w:t>
      </w:r>
      <w:r w:rsidR="00AB3A07" w:rsidRPr="00AB3A07">
        <w:rPr>
          <w:lang w:bidi="he-IL"/>
        </w:rPr>
        <w:t>́</w:t>
      </w:r>
      <w:r w:rsidR="00AB3A07">
        <w:rPr>
          <w:lang w:val="el-GR" w:bidi="he-IL"/>
        </w:rPr>
        <w:t>ημι</w:t>
      </w:r>
      <w:r w:rsidR="00AB3A07">
        <w:rPr>
          <w:lang w:bidi="he-IL"/>
        </w:rPr>
        <w:t>)</w:t>
      </w:r>
      <w:r w:rsidR="007C739B">
        <w:rPr>
          <w:lang w:bidi="he-IL"/>
        </w:rPr>
        <w:t xml:space="preserve"> in the perfect tense in order to emphasize the completed nature of Jesus’ fulfillment of his messianic identity as one who proclaims release to captives.</w:t>
      </w:r>
      <w:r w:rsidR="007E1D02">
        <w:rPr>
          <w:lang w:bidi="he-IL"/>
        </w:rPr>
        <w:t xml:space="preserve"> Matthew and Luke </w:t>
      </w:r>
      <w:r w:rsidR="003B358C">
        <w:rPr>
          <w:lang w:bidi="he-IL"/>
        </w:rPr>
        <w:t xml:space="preserve">thus </w:t>
      </w:r>
      <w:r w:rsidR="007E1D02">
        <w:rPr>
          <w:lang w:bidi="he-IL"/>
        </w:rPr>
        <w:t xml:space="preserve">articulate their conceptions of forgiveness </w:t>
      </w:r>
      <w:r w:rsidR="00D831E9">
        <w:rPr>
          <w:lang w:bidi="he-IL"/>
        </w:rPr>
        <w:t xml:space="preserve">and the presence of God’s Messiah </w:t>
      </w:r>
      <w:r w:rsidR="007E1D02">
        <w:rPr>
          <w:lang w:bidi="he-IL"/>
        </w:rPr>
        <w:t>in the Healing of the Paralytic in ways that parallel one another</w:t>
      </w:r>
      <w:r w:rsidR="00C74286">
        <w:rPr>
          <w:lang w:bidi="he-IL"/>
        </w:rPr>
        <w:t xml:space="preserve">, </w:t>
      </w:r>
      <w:r w:rsidR="00F67C5A">
        <w:rPr>
          <w:lang w:bidi="he-IL"/>
        </w:rPr>
        <w:t>which can</w:t>
      </w:r>
      <w:r w:rsidR="00C04E6C">
        <w:rPr>
          <w:lang w:bidi="he-IL"/>
        </w:rPr>
        <w:t xml:space="preserve"> be</w:t>
      </w:r>
      <w:r w:rsidR="00C74286">
        <w:rPr>
          <w:lang w:bidi="he-IL"/>
        </w:rPr>
        <w:t xml:space="preserve"> attributed</w:t>
      </w:r>
      <w:r w:rsidR="00CC4671">
        <w:rPr>
          <w:lang w:bidi="he-IL"/>
        </w:rPr>
        <w:t xml:space="preserve"> to their using Mark as a source of inspiration for their larger programmatic agendas</w:t>
      </w:r>
      <w:r w:rsidR="00171F0D">
        <w:rPr>
          <w:lang w:bidi="he-IL"/>
        </w:rPr>
        <w:t xml:space="preserve">. </w:t>
      </w:r>
      <w:r w:rsidR="0064079B">
        <w:rPr>
          <w:lang w:bidi="he-IL"/>
        </w:rPr>
        <w:t xml:space="preserve">This serves as an additional confirmation of association between Matthew and Luke </w:t>
      </w:r>
      <w:r w:rsidR="00583B29">
        <w:rPr>
          <w:lang w:bidi="he-IL"/>
        </w:rPr>
        <w:t xml:space="preserve">based on their redaction of Mark </w:t>
      </w:r>
      <w:r w:rsidR="007D7405">
        <w:rPr>
          <w:lang w:bidi="he-IL"/>
        </w:rPr>
        <w:t>that was already postulated by the contingency table.</w:t>
      </w:r>
    </w:p>
    <w:p w14:paraId="1ED38CD7" w14:textId="67123F16" w:rsidR="00677A5A" w:rsidRDefault="0074474E" w:rsidP="00AF1A41">
      <w:pPr>
        <w:rPr>
          <w:lang w:bidi="he-IL"/>
        </w:rPr>
      </w:pPr>
      <w:r>
        <w:rPr>
          <w:lang w:bidi="he-IL"/>
        </w:rPr>
        <w:tab/>
      </w:r>
      <w:r w:rsidR="003D16CF" w:rsidRPr="0097722F">
        <w:rPr>
          <w:lang w:bidi="he-IL"/>
        </w:rPr>
        <w:t xml:space="preserve">I </w:t>
      </w:r>
      <w:r w:rsidR="00FD440C" w:rsidRPr="0097722F">
        <w:rPr>
          <w:lang w:bidi="he-IL"/>
        </w:rPr>
        <w:t xml:space="preserve">now </w:t>
      </w:r>
      <w:r w:rsidR="003D16CF" w:rsidRPr="0097722F">
        <w:rPr>
          <w:lang w:bidi="he-IL"/>
        </w:rPr>
        <w:t xml:space="preserve">turn back </w:t>
      </w:r>
      <w:r w:rsidR="00323519" w:rsidRPr="0097722F">
        <w:rPr>
          <w:lang w:bidi="he-IL"/>
        </w:rPr>
        <w:t>to the previous assertion</w:t>
      </w:r>
      <w:r w:rsidR="000B3F1A" w:rsidRPr="0097722F">
        <w:rPr>
          <w:lang w:bidi="he-IL"/>
        </w:rPr>
        <w:t xml:space="preserve"> that </w:t>
      </w:r>
      <w:r w:rsidR="007920E1" w:rsidRPr="0097722F">
        <w:rPr>
          <w:lang w:bidi="he-IL"/>
        </w:rPr>
        <w:t xml:space="preserve">Matthew and Luke preserve Jesus’ statement about the authority of the Son of Man to forgive sins </w:t>
      </w:r>
      <w:r w:rsidR="00ED4058" w:rsidRPr="0097722F">
        <w:rPr>
          <w:lang w:bidi="he-IL"/>
        </w:rPr>
        <w:t xml:space="preserve">in order to reflect </w:t>
      </w:r>
      <w:r w:rsidR="00987EB6" w:rsidRPr="0097722F">
        <w:rPr>
          <w:lang w:bidi="he-IL"/>
        </w:rPr>
        <w:t>their large</w:t>
      </w:r>
      <w:r w:rsidR="005F22FF" w:rsidRPr="0097722F">
        <w:rPr>
          <w:lang w:bidi="he-IL"/>
        </w:rPr>
        <w:t>r</w:t>
      </w:r>
      <w:r w:rsidR="00987EB6" w:rsidRPr="0097722F">
        <w:rPr>
          <w:lang w:bidi="he-IL"/>
        </w:rPr>
        <w:t xml:space="preserve"> programmatic goals for Jesus’ ministry</w:t>
      </w:r>
      <w:r w:rsidR="00F520A3" w:rsidRPr="0097722F">
        <w:rPr>
          <w:lang w:bidi="he-IL"/>
        </w:rPr>
        <w:t>.</w:t>
      </w:r>
      <w:r w:rsidR="00F520A3">
        <w:rPr>
          <w:lang w:bidi="he-IL"/>
        </w:rPr>
        <w:t xml:space="preserve"> As already noted, all three synoptic texts preserve </w:t>
      </w:r>
      <w:r w:rsidR="005E3C6B">
        <w:rPr>
          <w:lang w:bidi="he-IL"/>
        </w:rPr>
        <w:t>a</w:t>
      </w:r>
      <w:r w:rsidR="00716FF8">
        <w:rPr>
          <w:lang w:bidi="he-IL"/>
        </w:rPr>
        <w:t xml:space="preserve"> </w:t>
      </w:r>
      <w:r w:rsidR="00716FF8">
        <w:rPr>
          <w:lang w:bidi="he-IL"/>
        </w:rPr>
        <w:lastRenderedPageBreak/>
        <w:t>s</w:t>
      </w:r>
      <w:r w:rsidR="005E3C6B">
        <w:rPr>
          <w:lang w:bidi="he-IL"/>
        </w:rPr>
        <w:t xml:space="preserve">tatement about the </w:t>
      </w:r>
      <w:r w:rsidR="006A58C7">
        <w:rPr>
          <w:lang w:bidi="he-IL"/>
        </w:rPr>
        <w:t>Son</w:t>
      </w:r>
      <w:r w:rsidR="005E3C6B">
        <w:rPr>
          <w:lang w:bidi="he-IL"/>
        </w:rPr>
        <w:t xml:space="preserve"> of </w:t>
      </w:r>
      <w:r w:rsidR="006A58C7">
        <w:rPr>
          <w:lang w:bidi="he-IL"/>
        </w:rPr>
        <w:t>Man</w:t>
      </w:r>
      <w:r w:rsidR="005E3C6B">
        <w:rPr>
          <w:lang w:bidi="he-IL"/>
        </w:rPr>
        <w:t xml:space="preserve"> having authority to forgive sins (Mt 9:</w:t>
      </w:r>
      <w:r w:rsidR="00762825">
        <w:rPr>
          <w:lang w:bidi="he-IL"/>
        </w:rPr>
        <w:t>6; Mk 2:10; Lk 5:24).</w:t>
      </w:r>
      <w:r w:rsidR="00B56AE2">
        <w:rPr>
          <w:lang w:bidi="he-IL"/>
        </w:rPr>
        <w:t xml:space="preserve"> We have also noted that </w:t>
      </w:r>
      <w:r w:rsidR="00FB658F">
        <w:rPr>
          <w:lang w:bidi="he-IL"/>
        </w:rPr>
        <w:t xml:space="preserve">the </w:t>
      </w:r>
      <w:r w:rsidR="00A92013">
        <w:rPr>
          <w:lang w:bidi="he-IL"/>
        </w:rPr>
        <w:t>visualization</w:t>
      </w:r>
      <w:r w:rsidR="00FB658F">
        <w:rPr>
          <w:lang w:bidi="he-IL"/>
        </w:rPr>
        <w:t xml:space="preserve"> of these texts re</w:t>
      </w:r>
      <w:r w:rsidR="00A92013">
        <w:rPr>
          <w:lang w:bidi="he-IL"/>
        </w:rPr>
        <w:t xml:space="preserve">veals that </w:t>
      </w:r>
      <w:r w:rsidR="00B56AE2">
        <w:rPr>
          <w:lang w:bidi="he-IL"/>
        </w:rPr>
        <w:t xml:space="preserve">each of the synoptic authors preserve this statement with a relatively high degree of agreement </w:t>
      </w:r>
      <w:r w:rsidR="00702624">
        <w:rPr>
          <w:lang w:bidi="he-IL"/>
        </w:rPr>
        <w:t>between them.</w:t>
      </w:r>
      <w:r w:rsidR="00702624">
        <w:rPr>
          <w:rStyle w:val="FootnoteReference"/>
          <w:lang w:bidi="he-IL"/>
        </w:rPr>
        <w:footnoteReference w:id="105"/>
      </w:r>
      <w:r w:rsidR="00130CDF">
        <w:rPr>
          <w:lang w:bidi="he-IL"/>
        </w:rPr>
        <w:t xml:space="preserve"> </w:t>
      </w:r>
      <w:r w:rsidR="00293962">
        <w:rPr>
          <w:lang w:bidi="he-IL"/>
        </w:rPr>
        <w:t>Addionally, the contingency table for this pericope</w:t>
      </w:r>
      <w:r w:rsidR="008052A6">
        <w:rPr>
          <w:lang w:bidi="he-IL"/>
        </w:rPr>
        <w:t xml:space="preserve"> has suggested a possible association between Matthew and Luke based on their redaction of Mark, which was confirmed by a closer examination of Matthew’s and Luke’s respective </w:t>
      </w:r>
      <w:r w:rsidR="00E350E4">
        <w:rPr>
          <w:lang w:bidi="he-IL"/>
        </w:rPr>
        <w:t>presentations of “sin” and “forgiveness.”</w:t>
      </w:r>
      <w:r w:rsidR="00CC02E5">
        <w:rPr>
          <w:lang w:bidi="he-IL"/>
        </w:rPr>
        <w:t xml:space="preserve"> </w:t>
      </w:r>
      <w:r w:rsidR="004949BF">
        <w:rPr>
          <w:lang w:bidi="he-IL"/>
        </w:rPr>
        <w:t xml:space="preserve"> We should thus anticipate</w:t>
      </w:r>
      <w:r w:rsidR="006C3291">
        <w:rPr>
          <w:lang w:bidi="he-IL"/>
        </w:rPr>
        <w:t xml:space="preserve"> that Matthew and Luke alter their presentations about the Son of Man having authority to forgive sins</w:t>
      </w:r>
      <w:r w:rsidR="005E0E1F">
        <w:rPr>
          <w:lang w:bidi="he-IL"/>
        </w:rPr>
        <w:t xml:space="preserve"> in parallel manners that are consistent with their respect</w:t>
      </w:r>
      <w:r w:rsidR="006B5473">
        <w:rPr>
          <w:lang w:bidi="he-IL"/>
        </w:rPr>
        <w:t>ive</w:t>
      </w:r>
      <w:r w:rsidR="005E0E1F">
        <w:rPr>
          <w:lang w:bidi="he-IL"/>
        </w:rPr>
        <w:t xml:space="preserve"> programmatic agendas. </w:t>
      </w:r>
    </w:p>
    <w:p w14:paraId="39E32D61" w14:textId="738E901C" w:rsidR="005E0E1F" w:rsidRDefault="005E0E1F" w:rsidP="0070737D">
      <w:pPr>
        <w:rPr>
          <w:lang w:bidi="he-IL"/>
        </w:rPr>
      </w:pPr>
      <w:r>
        <w:rPr>
          <w:lang w:bidi="he-IL"/>
        </w:rPr>
        <w:tab/>
      </w:r>
      <w:r w:rsidR="00700F85">
        <w:rPr>
          <w:lang w:bidi="he-IL"/>
        </w:rPr>
        <w:t xml:space="preserve">We can see evidence of Matthew’s alteration of the saying </w:t>
      </w:r>
      <w:r w:rsidR="00727825">
        <w:rPr>
          <w:lang w:bidi="he-IL"/>
        </w:rPr>
        <w:t xml:space="preserve">to serve his thematic goals for Jesus’ messianic </w:t>
      </w:r>
      <w:r w:rsidR="00A34EA8">
        <w:rPr>
          <w:lang w:bidi="he-IL"/>
        </w:rPr>
        <w:t>identity</w:t>
      </w:r>
      <w:r w:rsidR="00727825">
        <w:rPr>
          <w:lang w:bidi="he-IL"/>
        </w:rPr>
        <w:t xml:space="preserve"> </w:t>
      </w:r>
      <w:r w:rsidR="00F62662">
        <w:rPr>
          <w:lang w:bidi="he-IL"/>
        </w:rPr>
        <w:t xml:space="preserve">in how he places the </w:t>
      </w:r>
      <w:r w:rsidR="00A34EA8">
        <w:rPr>
          <w:lang w:bidi="he-IL"/>
        </w:rPr>
        <w:t>prepositional</w:t>
      </w:r>
      <w:r w:rsidR="00F62662">
        <w:rPr>
          <w:lang w:bidi="he-IL"/>
        </w:rPr>
        <w:t xml:space="preserve"> phrase </w:t>
      </w:r>
      <w:r w:rsidR="00A34EA8" w:rsidRPr="00A34EA8">
        <w:rPr>
          <w:lang w:val="el-GR" w:bidi="he-IL"/>
        </w:rPr>
        <w:t>ἐπὶ</w:t>
      </w:r>
      <w:r w:rsidR="00A34EA8" w:rsidRPr="00A34EA8">
        <w:rPr>
          <w:lang w:bidi="he-IL"/>
        </w:rPr>
        <w:t xml:space="preserve"> </w:t>
      </w:r>
      <w:r w:rsidR="00A34EA8" w:rsidRPr="00A34EA8">
        <w:rPr>
          <w:lang w:val="el-GR" w:bidi="he-IL"/>
        </w:rPr>
        <w:t>τῆς</w:t>
      </w:r>
      <w:r w:rsidR="00A34EA8" w:rsidRPr="00A34EA8">
        <w:rPr>
          <w:lang w:bidi="he-IL"/>
        </w:rPr>
        <w:t xml:space="preserve"> </w:t>
      </w:r>
      <w:r w:rsidR="00A34EA8" w:rsidRPr="00A34EA8">
        <w:rPr>
          <w:lang w:val="el-GR" w:bidi="he-IL"/>
        </w:rPr>
        <w:t>γῆς</w:t>
      </w:r>
      <w:r w:rsidR="00A34EA8">
        <w:rPr>
          <w:lang w:bidi="he-IL"/>
        </w:rPr>
        <w:t xml:space="preserve"> (Mt 9:6).</w:t>
      </w:r>
      <w:r w:rsidR="00A34EA8">
        <w:rPr>
          <w:rStyle w:val="FootnoteReference"/>
          <w:lang w:bidi="he-IL"/>
        </w:rPr>
        <w:footnoteReference w:id="106"/>
      </w:r>
      <w:r w:rsidR="004C5D77">
        <w:rPr>
          <w:lang w:bidi="he-IL"/>
        </w:rPr>
        <w:t xml:space="preserve"> Matthew </w:t>
      </w:r>
      <w:r w:rsidR="00432355">
        <w:rPr>
          <w:lang w:bidi="he-IL"/>
        </w:rPr>
        <w:t>renders</w:t>
      </w:r>
      <w:r w:rsidR="004C5D77">
        <w:rPr>
          <w:lang w:bidi="he-IL"/>
        </w:rPr>
        <w:t xml:space="preserve"> this phrase as follows</w:t>
      </w:r>
      <w:r w:rsidR="00432355">
        <w:rPr>
          <w:lang w:bidi="he-IL"/>
        </w:rPr>
        <w:t>:</w:t>
      </w:r>
      <w:r w:rsidR="0070737D" w:rsidRPr="0070737D">
        <w:rPr>
          <w:rFonts w:ascii="SBL Greek" w:hAnsi="SBL Greek" w:cs="SBL Greek"/>
          <w:sz w:val="22"/>
          <w:szCs w:val="22"/>
          <w:lang w:bidi="he-IL"/>
        </w:rPr>
        <w:t xml:space="preserve"> </w:t>
      </w:r>
      <w:r w:rsidR="0070737D" w:rsidRPr="0070737D">
        <w:rPr>
          <w:lang w:val="el-GR" w:bidi="he-IL"/>
        </w:rPr>
        <w:t>ἵνα</w:t>
      </w:r>
      <w:r w:rsidR="0070737D" w:rsidRPr="0070737D">
        <w:rPr>
          <w:lang w:bidi="he-IL"/>
        </w:rPr>
        <w:t xml:space="preserve"> </w:t>
      </w:r>
      <w:r w:rsidR="0070737D" w:rsidRPr="0070737D">
        <w:rPr>
          <w:lang w:val="el-GR" w:bidi="he-IL"/>
        </w:rPr>
        <w:t>δὲ</w:t>
      </w:r>
      <w:r w:rsidR="0070737D" w:rsidRPr="0070737D">
        <w:rPr>
          <w:lang w:bidi="he-IL"/>
        </w:rPr>
        <w:t xml:space="preserve"> </w:t>
      </w:r>
      <w:r w:rsidR="0070737D" w:rsidRPr="0070737D">
        <w:rPr>
          <w:lang w:val="el-GR" w:bidi="he-IL"/>
        </w:rPr>
        <w:t>εἰδῆτε</w:t>
      </w:r>
      <w:r w:rsidR="0070737D" w:rsidRPr="0070737D">
        <w:rPr>
          <w:lang w:bidi="he-IL"/>
        </w:rPr>
        <w:t xml:space="preserve"> </w:t>
      </w:r>
      <w:r w:rsidR="0070737D" w:rsidRPr="0070737D">
        <w:rPr>
          <w:lang w:val="el-GR" w:bidi="he-IL"/>
        </w:rPr>
        <w:t>ὅτι</w:t>
      </w:r>
      <w:r w:rsidR="0070737D" w:rsidRPr="0070737D">
        <w:rPr>
          <w:lang w:bidi="he-IL"/>
        </w:rPr>
        <w:t xml:space="preserve"> </w:t>
      </w:r>
      <w:r w:rsidR="0070737D" w:rsidRPr="0070737D">
        <w:rPr>
          <w:lang w:val="el-GR" w:bidi="he-IL"/>
        </w:rPr>
        <w:t>ἐξουσίαν</w:t>
      </w:r>
      <w:r w:rsidR="0070737D" w:rsidRPr="0070737D">
        <w:rPr>
          <w:lang w:bidi="he-IL"/>
        </w:rPr>
        <w:t xml:space="preserve"> </w:t>
      </w:r>
      <w:r w:rsidR="0070737D" w:rsidRPr="0070737D">
        <w:rPr>
          <w:lang w:val="el-GR" w:bidi="he-IL"/>
        </w:rPr>
        <w:t>ἔχει</w:t>
      </w:r>
      <w:r w:rsidR="0070737D" w:rsidRPr="0070737D">
        <w:rPr>
          <w:lang w:bidi="he-IL"/>
        </w:rPr>
        <w:t xml:space="preserve"> </w:t>
      </w:r>
      <w:r w:rsidR="0070737D" w:rsidRPr="0070737D">
        <w:rPr>
          <w:lang w:val="el-GR" w:bidi="he-IL"/>
        </w:rPr>
        <w:t>ὁ</w:t>
      </w:r>
      <w:r w:rsidR="0070737D" w:rsidRPr="0070737D">
        <w:rPr>
          <w:lang w:bidi="he-IL"/>
        </w:rPr>
        <w:t xml:space="preserve"> </w:t>
      </w:r>
      <w:r w:rsidR="0070737D" w:rsidRPr="0070737D">
        <w:rPr>
          <w:lang w:val="el-GR" w:bidi="he-IL"/>
        </w:rPr>
        <w:t>υἱὸς</w:t>
      </w:r>
      <w:r w:rsidR="0070737D" w:rsidRPr="0070737D">
        <w:rPr>
          <w:lang w:bidi="he-IL"/>
        </w:rPr>
        <w:t xml:space="preserve"> </w:t>
      </w:r>
      <w:r w:rsidR="0070737D" w:rsidRPr="0070737D">
        <w:rPr>
          <w:lang w:val="el-GR" w:bidi="he-IL"/>
        </w:rPr>
        <w:t>τοῦ</w:t>
      </w:r>
      <w:r w:rsidR="0070737D" w:rsidRPr="0070737D">
        <w:rPr>
          <w:lang w:bidi="he-IL"/>
        </w:rPr>
        <w:t xml:space="preserve"> </w:t>
      </w:r>
      <w:r w:rsidR="0070737D" w:rsidRPr="0070737D">
        <w:rPr>
          <w:lang w:val="el-GR" w:bidi="he-IL"/>
        </w:rPr>
        <w:t>ἀνθρώπου</w:t>
      </w:r>
      <w:r w:rsidR="0070737D" w:rsidRPr="0070737D">
        <w:rPr>
          <w:lang w:bidi="he-IL"/>
        </w:rPr>
        <w:t xml:space="preserve"> </w:t>
      </w:r>
      <w:r w:rsidR="0070737D" w:rsidRPr="0070737D">
        <w:rPr>
          <w:lang w:val="el-GR" w:bidi="he-IL"/>
        </w:rPr>
        <w:t>ἐπὶ</w:t>
      </w:r>
      <w:r w:rsidR="0070737D" w:rsidRPr="0070737D">
        <w:rPr>
          <w:lang w:bidi="he-IL"/>
        </w:rPr>
        <w:t xml:space="preserve"> </w:t>
      </w:r>
      <w:r w:rsidR="0070737D" w:rsidRPr="0070737D">
        <w:rPr>
          <w:lang w:val="el-GR" w:bidi="he-IL"/>
        </w:rPr>
        <w:t>τῆς</w:t>
      </w:r>
      <w:r w:rsidR="0070737D" w:rsidRPr="0070737D">
        <w:rPr>
          <w:lang w:bidi="he-IL"/>
        </w:rPr>
        <w:t xml:space="preserve"> </w:t>
      </w:r>
      <w:r w:rsidR="0070737D" w:rsidRPr="0070737D">
        <w:rPr>
          <w:lang w:val="el-GR" w:bidi="he-IL"/>
        </w:rPr>
        <w:t>γῆς</w:t>
      </w:r>
      <w:r w:rsidR="0070737D" w:rsidRPr="0070737D">
        <w:rPr>
          <w:lang w:bidi="he-IL"/>
        </w:rPr>
        <w:t xml:space="preserve"> </w:t>
      </w:r>
      <w:r w:rsidR="0070737D" w:rsidRPr="0070737D">
        <w:rPr>
          <w:lang w:val="el-GR" w:bidi="he-IL"/>
        </w:rPr>
        <w:t>ἀφιέναι</w:t>
      </w:r>
      <w:r w:rsidR="0070737D" w:rsidRPr="0070737D">
        <w:rPr>
          <w:lang w:bidi="he-IL"/>
        </w:rPr>
        <w:t xml:space="preserve"> </w:t>
      </w:r>
      <w:r w:rsidR="0070737D" w:rsidRPr="0070737D">
        <w:rPr>
          <w:lang w:val="el-GR" w:bidi="he-IL"/>
        </w:rPr>
        <w:t>ἁμαρτίας</w:t>
      </w:r>
      <w:r w:rsidR="0070737D">
        <w:rPr>
          <w:lang w:bidi="he-IL"/>
        </w:rPr>
        <w:t>.</w:t>
      </w:r>
      <w:r w:rsidR="0070737D">
        <w:rPr>
          <w:rStyle w:val="FootnoteReference"/>
          <w:lang w:bidi="he-IL"/>
        </w:rPr>
        <w:footnoteReference w:id="107"/>
      </w:r>
      <w:r w:rsidR="00432355">
        <w:rPr>
          <w:lang w:bidi="he-IL"/>
        </w:rPr>
        <w:t xml:space="preserve"> </w:t>
      </w:r>
      <w:r w:rsidR="00AF3EE6">
        <w:rPr>
          <w:lang w:bidi="he-IL"/>
        </w:rPr>
        <w:t xml:space="preserve">We can see that </w:t>
      </w:r>
      <w:r w:rsidR="00E1251F">
        <w:rPr>
          <w:lang w:bidi="he-IL"/>
        </w:rPr>
        <w:t>in Matthew’s version the designation Son of Man (</w:t>
      </w:r>
      <w:r w:rsidR="00E1251F" w:rsidRPr="0070737D">
        <w:rPr>
          <w:lang w:val="el-GR" w:bidi="he-IL"/>
        </w:rPr>
        <w:t>ὁ</w:t>
      </w:r>
      <w:r w:rsidR="00E1251F" w:rsidRPr="0070737D">
        <w:rPr>
          <w:lang w:bidi="he-IL"/>
        </w:rPr>
        <w:t xml:space="preserve"> </w:t>
      </w:r>
      <w:r w:rsidR="00E1251F" w:rsidRPr="0070737D">
        <w:rPr>
          <w:lang w:val="el-GR" w:bidi="he-IL"/>
        </w:rPr>
        <w:t>υἱὸς</w:t>
      </w:r>
      <w:r w:rsidR="00E1251F" w:rsidRPr="0070737D">
        <w:rPr>
          <w:lang w:bidi="he-IL"/>
        </w:rPr>
        <w:t xml:space="preserve"> </w:t>
      </w:r>
      <w:r w:rsidR="00E1251F" w:rsidRPr="0070737D">
        <w:rPr>
          <w:lang w:val="el-GR" w:bidi="he-IL"/>
        </w:rPr>
        <w:t>τοῦ</w:t>
      </w:r>
      <w:r w:rsidR="00E1251F" w:rsidRPr="0070737D">
        <w:rPr>
          <w:lang w:bidi="he-IL"/>
        </w:rPr>
        <w:t xml:space="preserve"> </w:t>
      </w:r>
      <w:r w:rsidR="00E1251F" w:rsidRPr="0070737D">
        <w:rPr>
          <w:lang w:val="el-GR" w:bidi="he-IL"/>
        </w:rPr>
        <w:t>ἀνθρώπου</w:t>
      </w:r>
      <w:r w:rsidR="00E1251F">
        <w:rPr>
          <w:lang w:bidi="he-IL"/>
        </w:rPr>
        <w:t>)</w:t>
      </w:r>
      <w:r w:rsidR="00D75C6E">
        <w:rPr>
          <w:lang w:bidi="he-IL"/>
        </w:rPr>
        <w:t xml:space="preserve"> </w:t>
      </w:r>
      <w:r w:rsidR="001847EE">
        <w:rPr>
          <w:lang w:bidi="he-IL"/>
        </w:rPr>
        <w:t xml:space="preserve">is </w:t>
      </w:r>
      <w:r w:rsidR="00D75C6E">
        <w:rPr>
          <w:lang w:bidi="he-IL"/>
        </w:rPr>
        <w:t xml:space="preserve">placed alongside the prepositional phase </w:t>
      </w:r>
      <w:r w:rsidR="00D75C6E" w:rsidRPr="00A34EA8">
        <w:rPr>
          <w:lang w:val="el-GR" w:bidi="he-IL"/>
        </w:rPr>
        <w:t>ἐπὶ</w:t>
      </w:r>
      <w:r w:rsidR="00D75C6E" w:rsidRPr="00A34EA8">
        <w:rPr>
          <w:lang w:bidi="he-IL"/>
        </w:rPr>
        <w:t xml:space="preserve"> </w:t>
      </w:r>
      <w:r w:rsidR="00D75C6E" w:rsidRPr="00A34EA8">
        <w:rPr>
          <w:lang w:val="el-GR" w:bidi="he-IL"/>
        </w:rPr>
        <w:t>τῆς</w:t>
      </w:r>
      <w:r w:rsidR="00D75C6E" w:rsidRPr="00A34EA8">
        <w:rPr>
          <w:lang w:bidi="he-IL"/>
        </w:rPr>
        <w:t xml:space="preserve"> </w:t>
      </w:r>
      <w:r w:rsidR="00D75C6E" w:rsidRPr="00A34EA8">
        <w:rPr>
          <w:lang w:val="el-GR" w:bidi="he-IL"/>
        </w:rPr>
        <w:t>γῆς</w:t>
      </w:r>
      <w:r w:rsidR="00D75C6E">
        <w:rPr>
          <w:lang w:bidi="he-IL"/>
        </w:rPr>
        <w:t xml:space="preserve">. </w:t>
      </w:r>
      <w:r w:rsidR="00062A72">
        <w:rPr>
          <w:lang w:bidi="he-IL"/>
        </w:rPr>
        <w:t xml:space="preserve">By contrast, Mark and Luke </w:t>
      </w:r>
      <w:r w:rsidR="00884334">
        <w:rPr>
          <w:lang w:bidi="he-IL"/>
        </w:rPr>
        <w:t xml:space="preserve">group </w:t>
      </w:r>
      <w:r w:rsidR="00884334" w:rsidRPr="00A34EA8">
        <w:rPr>
          <w:lang w:val="el-GR" w:bidi="he-IL"/>
        </w:rPr>
        <w:t>ἐπὶ</w:t>
      </w:r>
      <w:r w:rsidR="00884334" w:rsidRPr="00A34EA8">
        <w:rPr>
          <w:lang w:bidi="he-IL"/>
        </w:rPr>
        <w:t xml:space="preserve"> </w:t>
      </w:r>
      <w:r w:rsidR="00884334" w:rsidRPr="00A34EA8">
        <w:rPr>
          <w:lang w:val="el-GR" w:bidi="he-IL"/>
        </w:rPr>
        <w:t>τῆς</w:t>
      </w:r>
      <w:r w:rsidR="00884334" w:rsidRPr="00A34EA8">
        <w:rPr>
          <w:lang w:bidi="he-IL"/>
        </w:rPr>
        <w:t xml:space="preserve"> </w:t>
      </w:r>
      <w:r w:rsidR="00884334" w:rsidRPr="00A34EA8">
        <w:rPr>
          <w:lang w:val="el-GR" w:bidi="he-IL"/>
        </w:rPr>
        <w:t>γῆς</w:t>
      </w:r>
      <w:r w:rsidR="001847EE">
        <w:rPr>
          <w:lang w:bidi="he-IL"/>
        </w:rPr>
        <w:t xml:space="preserve"> with the </w:t>
      </w:r>
      <w:r w:rsidR="00814F66">
        <w:rPr>
          <w:lang w:bidi="he-IL"/>
        </w:rPr>
        <w:t xml:space="preserve">complimentary infinitive phrase </w:t>
      </w:r>
      <w:r w:rsidR="00814F66" w:rsidRPr="0070737D">
        <w:rPr>
          <w:lang w:val="el-GR" w:bidi="he-IL"/>
        </w:rPr>
        <w:t>ἀφιέναι</w:t>
      </w:r>
      <w:r w:rsidR="00814F66" w:rsidRPr="0070737D">
        <w:rPr>
          <w:lang w:bidi="he-IL"/>
        </w:rPr>
        <w:t xml:space="preserve"> </w:t>
      </w:r>
      <w:r w:rsidR="00814F66" w:rsidRPr="0070737D">
        <w:rPr>
          <w:lang w:val="el-GR" w:bidi="he-IL"/>
        </w:rPr>
        <w:t>ἁμαρτίας</w:t>
      </w:r>
      <w:r w:rsidR="00CE08A8">
        <w:rPr>
          <w:lang w:bidi="he-IL"/>
        </w:rPr>
        <w:t xml:space="preserve"> (Mk 2:10; Lk 5:24).</w:t>
      </w:r>
      <w:r w:rsidR="00CE08A8">
        <w:rPr>
          <w:rStyle w:val="FootnoteReference"/>
          <w:lang w:bidi="he-IL"/>
        </w:rPr>
        <w:footnoteReference w:id="108"/>
      </w:r>
      <w:r w:rsidR="002D7B4C">
        <w:rPr>
          <w:lang w:bidi="he-IL"/>
        </w:rPr>
        <w:t xml:space="preserve"> </w:t>
      </w:r>
      <w:r w:rsidR="00FB022E">
        <w:rPr>
          <w:lang w:bidi="he-IL"/>
        </w:rPr>
        <w:t xml:space="preserve">While the placement of </w:t>
      </w:r>
      <w:r w:rsidR="00FB022E" w:rsidRPr="00A34EA8">
        <w:rPr>
          <w:lang w:val="el-GR" w:bidi="he-IL"/>
        </w:rPr>
        <w:t>ἐπὶ</w:t>
      </w:r>
      <w:r w:rsidR="00FB022E" w:rsidRPr="00A34EA8">
        <w:rPr>
          <w:lang w:bidi="he-IL"/>
        </w:rPr>
        <w:t xml:space="preserve"> </w:t>
      </w:r>
      <w:r w:rsidR="00FB022E" w:rsidRPr="00A34EA8">
        <w:rPr>
          <w:lang w:val="el-GR" w:bidi="he-IL"/>
        </w:rPr>
        <w:t>τῆς</w:t>
      </w:r>
      <w:r w:rsidR="00FB022E" w:rsidRPr="00A34EA8">
        <w:rPr>
          <w:lang w:bidi="he-IL"/>
        </w:rPr>
        <w:t xml:space="preserve"> </w:t>
      </w:r>
      <w:r w:rsidR="00FB022E" w:rsidRPr="00A34EA8">
        <w:rPr>
          <w:lang w:val="el-GR" w:bidi="he-IL"/>
        </w:rPr>
        <w:t>γῆς</w:t>
      </w:r>
      <w:r w:rsidR="00FB022E">
        <w:rPr>
          <w:lang w:bidi="he-IL"/>
        </w:rPr>
        <w:t xml:space="preserve"> modifies the </w:t>
      </w:r>
      <w:r w:rsidR="00556E18">
        <w:rPr>
          <w:lang w:bidi="he-IL"/>
        </w:rPr>
        <w:t>infinitive</w:t>
      </w:r>
      <w:r w:rsidR="00FB022E">
        <w:rPr>
          <w:lang w:bidi="he-IL"/>
        </w:rPr>
        <w:t xml:space="preserve"> phrase in all three synoptic accounts, </w:t>
      </w:r>
      <w:r w:rsidR="008B2664">
        <w:rPr>
          <w:lang w:bidi="he-IL"/>
        </w:rPr>
        <w:t xml:space="preserve">Matthew’s placement of it next to the Son of Man helps him emphasize </w:t>
      </w:r>
      <w:r w:rsidR="009B4026">
        <w:rPr>
          <w:lang w:bidi="he-IL"/>
        </w:rPr>
        <w:t xml:space="preserve">both the location of the Son of Man and </w:t>
      </w:r>
      <w:r w:rsidR="008B2664">
        <w:rPr>
          <w:lang w:bidi="he-IL"/>
        </w:rPr>
        <w:t>the location</w:t>
      </w:r>
      <w:r w:rsidR="00556E18">
        <w:rPr>
          <w:lang w:bidi="he-IL"/>
        </w:rPr>
        <w:t xml:space="preserve"> at which </w:t>
      </w:r>
      <w:r w:rsidR="004D5AC3">
        <w:rPr>
          <w:lang w:bidi="he-IL"/>
        </w:rPr>
        <w:t xml:space="preserve">he </w:t>
      </w:r>
      <w:r w:rsidR="00556E18">
        <w:rPr>
          <w:lang w:bidi="he-IL"/>
        </w:rPr>
        <w:t>forgives sins, viz., on the earth.</w:t>
      </w:r>
      <w:r w:rsidR="00FC63D6">
        <w:rPr>
          <w:lang w:bidi="he-IL"/>
        </w:rPr>
        <w:t xml:space="preserve"> This is in keeping with Matthew’s large</w:t>
      </w:r>
      <w:r w:rsidR="00E82B2A">
        <w:rPr>
          <w:lang w:bidi="he-IL"/>
        </w:rPr>
        <w:t>r</w:t>
      </w:r>
      <w:r w:rsidR="00FC63D6">
        <w:rPr>
          <w:lang w:bidi="he-IL"/>
        </w:rPr>
        <w:t xml:space="preserve"> goal of emphasizing that God’s </w:t>
      </w:r>
      <w:r w:rsidR="0009545F">
        <w:rPr>
          <w:lang w:bidi="he-IL"/>
        </w:rPr>
        <w:t>M</w:t>
      </w:r>
      <w:r w:rsidR="00FC63D6">
        <w:rPr>
          <w:lang w:bidi="he-IL"/>
        </w:rPr>
        <w:t>essiah</w:t>
      </w:r>
      <w:r w:rsidR="00E82B2A">
        <w:rPr>
          <w:lang w:bidi="he-IL"/>
        </w:rPr>
        <w:t xml:space="preserve"> is among human </w:t>
      </w:r>
      <w:r w:rsidR="00E82B2A">
        <w:rPr>
          <w:lang w:bidi="he-IL"/>
        </w:rPr>
        <w:lastRenderedPageBreak/>
        <w:t xml:space="preserve">beings as one who forgives sins. </w:t>
      </w:r>
      <w:r w:rsidR="00EE2CA8">
        <w:rPr>
          <w:lang w:bidi="he-IL"/>
        </w:rPr>
        <w:t xml:space="preserve">Matthew thus presents this saying </w:t>
      </w:r>
      <w:r w:rsidR="005156A1">
        <w:rPr>
          <w:lang w:bidi="he-IL"/>
        </w:rPr>
        <w:t xml:space="preserve">in a way that </w:t>
      </w:r>
      <w:r w:rsidR="003463DC">
        <w:rPr>
          <w:lang w:bidi="he-IL"/>
        </w:rPr>
        <w:t>preserves</w:t>
      </w:r>
      <w:r w:rsidR="001D499E">
        <w:rPr>
          <w:lang w:bidi="he-IL"/>
        </w:rPr>
        <w:t xml:space="preserve"> the saying’s </w:t>
      </w:r>
      <w:r w:rsidR="00410896">
        <w:rPr>
          <w:lang w:bidi="he-IL"/>
        </w:rPr>
        <w:t>integrity,</w:t>
      </w:r>
      <w:r w:rsidR="001D499E">
        <w:rPr>
          <w:lang w:bidi="he-IL"/>
        </w:rPr>
        <w:t xml:space="preserve"> but which also helps hi</w:t>
      </w:r>
      <w:r w:rsidR="003463DC">
        <w:rPr>
          <w:lang w:bidi="he-IL"/>
        </w:rPr>
        <w:t xml:space="preserve">m </w:t>
      </w:r>
      <w:r w:rsidR="00401860">
        <w:rPr>
          <w:lang w:bidi="he-IL"/>
        </w:rPr>
        <w:t xml:space="preserve">fulfill a programmatic agenda for his </w:t>
      </w:r>
      <w:r w:rsidR="00FB39CE">
        <w:rPr>
          <w:lang w:bidi="he-IL"/>
        </w:rPr>
        <w:t>gospel account.</w:t>
      </w:r>
    </w:p>
    <w:p w14:paraId="112A7CCF" w14:textId="07E24AF0" w:rsidR="00FD1678" w:rsidRDefault="00BA4E5D" w:rsidP="003360A1">
      <w:pPr>
        <w:rPr>
          <w:lang w:bidi="he-IL"/>
        </w:rPr>
      </w:pPr>
      <w:r>
        <w:rPr>
          <w:lang w:bidi="he-IL"/>
        </w:rPr>
        <w:tab/>
        <w:t>There</w:t>
      </w:r>
      <w:r w:rsidR="00E61621">
        <w:rPr>
          <w:lang w:bidi="he-IL"/>
        </w:rPr>
        <w:t xml:space="preserve"> is also evidence of how Matthew and Luke alter this saying to aid their programmatic agendas in how each of them places the infinitive phrase </w:t>
      </w:r>
      <w:r w:rsidR="00E61621" w:rsidRPr="0070737D">
        <w:rPr>
          <w:lang w:val="el-GR" w:bidi="he-IL"/>
        </w:rPr>
        <w:t>ἀφιέναι</w:t>
      </w:r>
      <w:r w:rsidR="00E61621" w:rsidRPr="0070737D">
        <w:rPr>
          <w:lang w:bidi="he-IL"/>
        </w:rPr>
        <w:t xml:space="preserve"> </w:t>
      </w:r>
      <w:r w:rsidR="00E61621" w:rsidRPr="0070737D">
        <w:rPr>
          <w:lang w:val="el-GR" w:bidi="he-IL"/>
        </w:rPr>
        <w:t>ἁμαρτίας</w:t>
      </w:r>
      <w:r w:rsidR="00017FCE">
        <w:rPr>
          <w:lang w:bidi="he-IL"/>
        </w:rPr>
        <w:t xml:space="preserve"> (Mt 9:6; Lk 5:24; cf. Mk 2:10).</w:t>
      </w:r>
      <w:r w:rsidR="00826B00">
        <w:rPr>
          <w:lang w:bidi="he-IL"/>
        </w:rPr>
        <w:t xml:space="preserve"> Luke, like Matthew, places this phrase at the end of the </w:t>
      </w:r>
      <w:r w:rsidR="003360A1">
        <w:rPr>
          <w:lang w:bidi="he-IL"/>
        </w:rPr>
        <w:t xml:space="preserve">saying: </w:t>
      </w:r>
      <w:r w:rsidR="003360A1" w:rsidRPr="003360A1">
        <w:rPr>
          <w:lang w:val="el-GR" w:bidi="he-IL"/>
        </w:rPr>
        <w:t>ἵνα</w:t>
      </w:r>
      <w:r w:rsidR="003360A1" w:rsidRPr="003360A1">
        <w:rPr>
          <w:lang w:bidi="he-IL"/>
        </w:rPr>
        <w:t xml:space="preserve"> </w:t>
      </w:r>
      <w:r w:rsidR="003360A1" w:rsidRPr="003360A1">
        <w:rPr>
          <w:lang w:val="el-GR" w:bidi="he-IL"/>
        </w:rPr>
        <w:t>δὲ</w:t>
      </w:r>
      <w:r w:rsidR="003360A1" w:rsidRPr="003360A1">
        <w:rPr>
          <w:lang w:bidi="he-IL"/>
        </w:rPr>
        <w:t xml:space="preserve"> </w:t>
      </w:r>
      <w:r w:rsidR="003360A1" w:rsidRPr="003360A1">
        <w:rPr>
          <w:lang w:val="el-GR" w:bidi="he-IL"/>
        </w:rPr>
        <w:t>εἰδῆτε</w:t>
      </w:r>
      <w:r w:rsidR="003360A1" w:rsidRPr="003360A1">
        <w:rPr>
          <w:lang w:bidi="he-IL"/>
        </w:rPr>
        <w:t xml:space="preserve"> </w:t>
      </w:r>
      <w:r w:rsidR="003360A1" w:rsidRPr="003360A1">
        <w:rPr>
          <w:lang w:val="el-GR" w:bidi="he-IL"/>
        </w:rPr>
        <w:t>ὅτι</w:t>
      </w:r>
      <w:r w:rsidR="003360A1" w:rsidRPr="003360A1">
        <w:rPr>
          <w:lang w:bidi="he-IL"/>
        </w:rPr>
        <w:t xml:space="preserve"> </w:t>
      </w:r>
      <w:r w:rsidR="003360A1" w:rsidRPr="003360A1">
        <w:rPr>
          <w:lang w:val="el-GR" w:bidi="he-IL"/>
        </w:rPr>
        <w:t>ὁ</w:t>
      </w:r>
      <w:r w:rsidR="003360A1" w:rsidRPr="003360A1">
        <w:rPr>
          <w:lang w:bidi="he-IL"/>
        </w:rPr>
        <w:t xml:space="preserve"> </w:t>
      </w:r>
      <w:r w:rsidR="003360A1" w:rsidRPr="003360A1">
        <w:rPr>
          <w:lang w:val="el-GR" w:bidi="he-IL"/>
        </w:rPr>
        <w:t>υἱὸς</w:t>
      </w:r>
      <w:r w:rsidR="003360A1" w:rsidRPr="003360A1">
        <w:rPr>
          <w:lang w:bidi="he-IL"/>
        </w:rPr>
        <w:t xml:space="preserve"> </w:t>
      </w:r>
      <w:r w:rsidR="003360A1" w:rsidRPr="003360A1">
        <w:rPr>
          <w:lang w:val="el-GR" w:bidi="he-IL"/>
        </w:rPr>
        <w:t>τοῦ</w:t>
      </w:r>
      <w:r w:rsidR="003360A1" w:rsidRPr="003360A1">
        <w:rPr>
          <w:lang w:bidi="he-IL"/>
        </w:rPr>
        <w:t xml:space="preserve"> </w:t>
      </w:r>
      <w:r w:rsidR="003360A1" w:rsidRPr="003360A1">
        <w:rPr>
          <w:lang w:val="el-GR" w:bidi="he-IL"/>
        </w:rPr>
        <w:t>ἀνθρώπου</w:t>
      </w:r>
      <w:r w:rsidR="003360A1" w:rsidRPr="003360A1">
        <w:rPr>
          <w:lang w:bidi="he-IL"/>
        </w:rPr>
        <w:t xml:space="preserve"> </w:t>
      </w:r>
      <w:r w:rsidR="003360A1" w:rsidRPr="003360A1">
        <w:rPr>
          <w:lang w:val="el-GR" w:bidi="he-IL"/>
        </w:rPr>
        <w:t>ἐξουσίαν</w:t>
      </w:r>
      <w:r w:rsidR="003360A1" w:rsidRPr="003360A1">
        <w:rPr>
          <w:lang w:bidi="he-IL"/>
        </w:rPr>
        <w:t xml:space="preserve"> </w:t>
      </w:r>
      <w:r w:rsidR="003360A1" w:rsidRPr="003360A1">
        <w:rPr>
          <w:lang w:val="el-GR" w:bidi="he-IL"/>
        </w:rPr>
        <w:t>ἔχει</w:t>
      </w:r>
      <w:r w:rsidR="003360A1" w:rsidRPr="003360A1">
        <w:rPr>
          <w:lang w:bidi="he-IL"/>
        </w:rPr>
        <w:t xml:space="preserve"> </w:t>
      </w:r>
      <w:r w:rsidR="003360A1" w:rsidRPr="003360A1">
        <w:rPr>
          <w:lang w:val="el-GR" w:bidi="he-IL"/>
        </w:rPr>
        <w:t>ἐπὶ</w:t>
      </w:r>
      <w:r w:rsidR="003360A1" w:rsidRPr="003360A1">
        <w:rPr>
          <w:lang w:bidi="he-IL"/>
        </w:rPr>
        <w:t xml:space="preserve"> </w:t>
      </w:r>
      <w:r w:rsidR="003360A1" w:rsidRPr="003360A1">
        <w:rPr>
          <w:lang w:val="el-GR" w:bidi="he-IL"/>
        </w:rPr>
        <w:t>τῆς</w:t>
      </w:r>
      <w:r w:rsidR="003360A1" w:rsidRPr="003360A1">
        <w:rPr>
          <w:lang w:bidi="he-IL"/>
        </w:rPr>
        <w:t xml:space="preserve"> </w:t>
      </w:r>
      <w:r w:rsidR="003360A1" w:rsidRPr="003360A1">
        <w:rPr>
          <w:lang w:val="el-GR" w:bidi="he-IL"/>
        </w:rPr>
        <w:t>γῆς</w:t>
      </w:r>
      <w:r w:rsidR="003360A1" w:rsidRPr="003360A1">
        <w:rPr>
          <w:lang w:bidi="he-IL"/>
        </w:rPr>
        <w:t xml:space="preserve"> </w:t>
      </w:r>
      <w:r w:rsidR="003360A1" w:rsidRPr="003360A1">
        <w:rPr>
          <w:lang w:val="el-GR" w:bidi="he-IL"/>
        </w:rPr>
        <w:t>ἀφιέναι</w:t>
      </w:r>
      <w:r w:rsidR="003360A1" w:rsidRPr="003360A1">
        <w:rPr>
          <w:lang w:bidi="he-IL"/>
        </w:rPr>
        <w:t xml:space="preserve"> </w:t>
      </w:r>
      <w:r w:rsidR="003360A1" w:rsidRPr="003360A1">
        <w:rPr>
          <w:lang w:val="el-GR" w:bidi="he-IL"/>
        </w:rPr>
        <w:t>ἁμαρτίας</w:t>
      </w:r>
      <w:r w:rsidR="00D633CE">
        <w:rPr>
          <w:lang w:bidi="he-IL"/>
        </w:rPr>
        <w:t>.</w:t>
      </w:r>
      <w:r w:rsidR="00D633CE">
        <w:rPr>
          <w:rStyle w:val="FootnoteReference"/>
          <w:lang w:bidi="he-IL"/>
        </w:rPr>
        <w:footnoteReference w:id="109"/>
      </w:r>
      <w:r w:rsidR="00084328">
        <w:rPr>
          <w:lang w:bidi="he-IL"/>
        </w:rPr>
        <w:t xml:space="preserve"> </w:t>
      </w:r>
      <w:r w:rsidR="00D85B41">
        <w:rPr>
          <w:lang w:bidi="he-IL"/>
        </w:rPr>
        <w:t xml:space="preserve">By contrast, Mark places it </w:t>
      </w:r>
      <w:r w:rsidR="007D41A2">
        <w:rPr>
          <w:lang w:bidi="he-IL"/>
        </w:rPr>
        <w:t>before the preposition</w:t>
      </w:r>
      <w:r w:rsidR="007D383A">
        <w:rPr>
          <w:lang w:bidi="he-IL"/>
        </w:rPr>
        <w:t>al</w:t>
      </w:r>
      <w:r w:rsidR="007D41A2">
        <w:rPr>
          <w:lang w:bidi="he-IL"/>
        </w:rPr>
        <w:t xml:space="preserve"> </w:t>
      </w:r>
      <w:r w:rsidR="007D41A2">
        <w:rPr>
          <w:lang w:val="el-GR" w:bidi="he-IL"/>
        </w:rPr>
        <w:t>ε</w:t>
      </w:r>
      <w:r w:rsidR="007D41A2" w:rsidRPr="007D41A2">
        <w:rPr>
          <w:lang w:bidi="he-IL"/>
        </w:rPr>
        <w:t>̓</w:t>
      </w:r>
      <w:r w:rsidR="007D41A2">
        <w:rPr>
          <w:lang w:val="el-GR" w:bidi="he-IL"/>
        </w:rPr>
        <w:t>πι</w:t>
      </w:r>
      <w:r w:rsidR="007D41A2" w:rsidRPr="007D41A2">
        <w:rPr>
          <w:lang w:bidi="he-IL"/>
        </w:rPr>
        <w:t xml:space="preserve">̀ </w:t>
      </w:r>
      <w:r w:rsidR="007D41A2">
        <w:rPr>
          <w:lang w:bidi="he-IL"/>
        </w:rPr>
        <w:t>phrase, which ends his version of the saying.</w:t>
      </w:r>
      <w:r w:rsidR="00491DB2">
        <w:rPr>
          <w:rStyle w:val="FootnoteReference"/>
          <w:lang w:bidi="he-IL"/>
        </w:rPr>
        <w:footnoteReference w:id="110"/>
      </w:r>
      <w:r w:rsidR="00C42449">
        <w:rPr>
          <w:lang w:bidi="he-IL"/>
        </w:rPr>
        <w:t xml:space="preserve"> </w:t>
      </w:r>
      <w:r w:rsidR="00585DFC">
        <w:rPr>
          <w:lang w:bidi="he-IL"/>
        </w:rPr>
        <w:t xml:space="preserve">As previously mentioned, Matthew and Luke introduce the forgiveness of sins as </w:t>
      </w:r>
      <w:r w:rsidR="001300F1">
        <w:rPr>
          <w:lang w:bidi="he-IL"/>
        </w:rPr>
        <w:t>a motif</w:t>
      </w:r>
      <w:r w:rsidR="00585DFC">
        <w:rPr>
          <w:lang w:bidi="he-IL"/>
        </w:rPr>
        <w:t xml:space="preserve"> signifying the presence of </w:t>
      </w:r>
      <w:r w:rsidR="00E009AD">
        <w:rPr>
          <w:lang w:bidi="he-IL"/>
        </w:rPr>
        <w:t>Go</w:t>
      </w:r>
      <w:r w:rsidR="007B5446">
        <w:rPr>
          <w:lang w:bidi="he-IL"/>
        </w:rPr>
        <w:t>d’s Messiah and</w:t>
      </w:r>
      <w:r w:rsidR="007F4B7A">
        <w:rPr>
          <w:lang w:bidi="he-IL"/>
        </w:rPr>
        <w:t xml:space="preserve"> the fulfillment of prophetic expectation </w:t>
      </w:r>
      <w:r w:rsidR="0078413F">
        <w:rPr>
          <w:lang w:bidi="he-IL"/>
        </w:rPr>
        <w:t xml:space="preserve">of </w:t>
      </w:r>
      <w:r w:rsidR="001300F1">
        <w:rPr>
          <w:lang w:bidi="he-IL"/>
        </w:rPr>
        <w:t>release</w:t>
      </w:r>
      <w:r w:rsidR="0078413F">
        <w:rPr>
          <w:lang w:bidi="he-IL"/>
        </w:rPr>
        <w:t xml:space="preserve"> </w:t>
      </w:r>
      <w:r w:rsidR="001300F1">
        <w:rPr>
          <w:lang w:bidi="he-IL"/>
        </w:rPr>
        <w:t>in each of their respective narratives</w:t>
      </w:r>
      <w:r w:rsidR="004A7051">
        <w:rPr>
          <w:lang w:bidi="he-IL"/>
        </w:rPr>
        <w:t xml:space="preserve">. On the one hand, Matthew puts forward the expectation that the Messiah is </w:t>
      </w:r>
      <w:r w:rsidR="00D34895">
        <w:rPr>
          <w:lang w:bidi="he-IL"/>
        </w:rPr>
        <w:t>Emmanuel</w:t>
      </w:r>
      <w:r w:rsidR="004A7051">
        <w:rPr>
          <w:lang w:bidi="he-IL"/>
        </w:rPr>
        <w:t xml:space="preserve">, God dwelling with humans, and will save </w:t>
      </w:r>
      <w:r w:rsidR="00DC73D1">
        <w:rPr>
          <w:lang w:bidi="he-IL"/>
        </w:rPr>
        <w:t>his people from their sins (Mt 1:21–23; cf. Isa 7:14).</w:t>
      </w:r>
      <w:r w:rsidR="007F4B7A">
        <w:rPr>
          <w:lang w:bidi="he-IL"/>
        </w:rPr>
        <w:t xml:space="preserve"> </w:t>
      </w:r>
      <w:r w:rsidR="009443BC">
        <w:rPr>
          <w:lang w:bidi="he-IL"/>
        </w:rPr>
        <w:t xml:space="preserve">On the other, Luke puts forward the expectation </w:t>
      </w:r>
      <w:r w:rsidR="00F82780">
        <w:rPr>
          <w:lang w:bidi="he-IL"/>
        </w:rPr>
        <w:t xml:space="preserve">that Jesus’ ministry fulfills the prophetic promise of </w:t>
      </w:r>
      <w:r w:rsidR="00D86720">
        <w:rPr>
          <w:lang w:bidi="he-IL"/>
        </w:rPr>
        <w:t>release for captives</w:t>
      </w:r>
      <w:r w:rsidR="00FB1A8A">
        <w:rPr>
          <w:lang w:bidi="he-IL"/>
        </w:rPr>
        <w:t xml:space="preserve"> in the presence of people at a certain time, today (Lk 4:</w:t>
      </w:r>
      <w:r w:rsidR="00104C18">
        <w:rPr>
          <w:lang w:bidi="he-IL"/>
        </w:rPr>
        <w:t>18–21; cf. Isa 61:1–2)</w:t>
      </w:r>
      <w:r w:rsidR="00D86720">
        <w:rPr>
          <w:lang w:bidi="he-IL"/>
        </w:rPr>
        <w:t>.</w:t>
      </w:r>
      <w:r w:rsidR="00960627">
        <w:rPr>
          <w:lang w:bidi="he-IL"/>
        </w:rPr>
        <w:t xml:space="preserve"> </w:t>
      </w:r>
      <w:r w:rsidR="00935349">
        <w:rPr>
          <w:lang w:bidi="he-IL"/>
        </w:rPr>
        <w:t xml:space="preserve">In both these programmatic statements, </w:t>
      </w:r>
      <w:r w:rsidR="0071241E">
        <w:rPr>
          <w:lang w:bidi="he-IL"/>
        </w:rPr>
        <w:t>forgiveness</w:t>
      </w:r>
      <w:r w:rsidR="000F7213">
        <w:rPr>
          <w:lang w:bidi="he-IL"/>
        </w:rPr>
        <w:t xml:space="preserve">, especially forgiveness of sins is </w:t>
      </w:r>
      <w:r w:rsidR="0071241E">
        <w:rPr>
          <w:lang w:bidi="he-IL"/>
        </w:rPr>
        <w:t xml:space="preserve">emphasized. </w:t>
      </w:r>
      <w:r w:rsidR="001210AE">
        <w:rPr>
          <w:lang w:bidi="he-IL"/>
        </w:rPr>
        <w:t xml:space="preserve">Likewise, in the Healing of the Paralytic, Matthew and Luke foreground the forgiveness of sins </w:t>
      </w:r>
      <w:r w:rsidR="006541E0">
        <w:rPr>
          <w:lang w:bidi="he-IL"/>
        </w:rPr>
        <w:t xml:space="preserve">present in Jesus’ earthly ministry and person by placing it at the end </w:t>
      </w:r>
      <w:r w:rsidR="00D05434">
        <w:rPr>
          <w:lang w:bidi="he-IL"/>
        </w:rPr>
        <w:t xml:space="preserve">of their Greek phrases, thereby signifying its importance for understanding the story in relation to their larger literary goals. </w:t>
      </w:r>
    </w:p>
    <w:p w14:paraId="4AD65A0B" w14:textId="655C1BB4" w:rsidR="00BA4E5D" w:rsidRDefault="00227DC1" w:rsidP="00FD1678">
      <w:pPr>
        <w:ind w:firstLine="720"/>
        <w:rPr>
          <w:lang w:bidi="he-IL"/>
        </w:rPr>
      </w:pPr>
      <w:r>
        <w:rPr>
          <w:lang w:bidi="he-IL"/>
        </w:rPr>
        <w:t>The ways in which Matthew and Luke arrange their statement</w:t>
      </w:r>
      <w:r w:rsidR="00CC2A35">
        <w:rPr>
          <w:lang w:bidi="he-IL"/>
        </w:rPr>
        <w:t>s</w:t>
      </w:r>
      <w:r>
        <w:rPr>
          <w:lang w:bidi="he-IL"/>
        </w:rPr>
        <w:t xml:space="preserve"> about the Son of Man having authority to forgive sins </w:t>
      </w:r>
      <w:r w:rsidR="00FC504B">
        <w:rPr>
          <w:lang w:bidi="he-IL"/>
        </w:rPr>
        <w:t xml:space="preserve">thus reflects an association between both texts in this pericope </w:t>
      </w:r>
      <w:r w:rsidR="00115410">
        <w:rPr>
          <w:lang w:bidi="he-IL"/>
        </w:rPr>
        <w:t>and further confirms the association posited earl</w:t>
      </w:r>
      <w:r w:rsidR="005F389E">
        <w:rPr>
          <w:lang w:bidi="he-IL"/>
        </w:rPr>
        <w:t>ier</w:t>
      </w:r>
      <w:r w:rsidR="00115410">
        <w:rPr>
          <w:lang w:bidi="he-IL"/>
        </w:rPr>
        <w:t xml:space="preserve"> by the </w:t>
      </w:r>
      <w:r w:rsidR="00FC28CF">
        <w:rPr>
          <w:lang w:bidi="he-IL"/>
        </w:rPr>
        <w:t>contingency</w:t>
      </w:r>
      <w:r w:rsidR="00115410">
        <w:rPr>
          <w:lang w:bidi="he-IL"/>
        </w:rPr>
        <w:t xml:space="preserve"> table</w:t>
      </w:r>
      <w:r w:rsidR="006B4914">
        <w:rPr>
          <w:lang w:bidi="he-IL"/>
        </w:rPr>
        <w:t xml:space="preserve">. The association, in </w:t>
      </w:r>
      <w:r w:rsidR="006B4914">
        <w:rPr>
          <w:lang w:bidi="he-IL"/>
        </w:rPr>
        <w:lastRenderedPageBreak/>
        <w:t>this case, which was postulate by the word counts of the text</w:t>
      </w:r>
      <w:r w:rsidR="00D17F8C">
        <w:rPr>
          <w:lang w:bidi="he-IL"/>
        </w:rPr>
        <w:t xml:space="preserve">, can be said to be caused by </w:t>
      </w:r>
      <w:r w:rsidR="00FC28CF">
        <w:rPr>
          <w:lang w:bidi="he-IL"/>
        </w:rPr>
        <w:t xml:space="preserve">a common redaction of Mark </w:t>
      </w:r>
      <w:r w:rsidR="00CE4D4F">
        <w:rPr>
          <w:lang w:bidi="he-IL"/>
        </w:rPr>
        <w:t xml:space="preserve">where both authors sought to </w:t>
      </w:r>
      <w:r w:rsidR="00876A13">
        <w:rPr>
          <w:lang w:bidi="he-IL"/>
        </w:rPr>
        <w:t xml:space="preserve">emphasize their messianic expectations set </w:t>
      </w:r>
      <w:r w:rsidR="0069013B">
        <w:rPr>
          <w:lang w:bidi="he-IL"/>
        </w:rPr>
        <w:t>forward</w:t>
      </w:r>
      <w:r w:rsidR="00876A13">
        <w:rPr>
          <w:lang w:bidi="he-IL"/>
        </w:rPr>
        <w:t xml:space="preserve"> for Jesus in their gospel accounts.</w:t>
      </w:r>
      <w:r w:rsidR="0018401D">
        <w:rPr>
          <w:lang w:bidi="he-IL"/>
        </w:rPr>
        <w:t xml:space="preserve"> </w:t>
      </w:r>
    </w:p>
    <w:p w14:paraId="649286FF" w14:textId="77777777" w:rsidR="009D2ADA" w:rsidRPr="0081088C" w:rsidRDefault="009D2ADA" w:rsidP="003360A1">
      <w:pPr>
        <w:rPr>
          <w:i/>
          <w:iCs/>
          <w:lang w:bidi="he-IL"/>
        </w:rPr>
      </w:pPr>
      <w:r w:rsidRPr="0081088C">
        <w:rPr>
          <w:i/>
          <w:iCs/>
          <w:lang w:bidi="he-IL"/>
        </w:rPr>
        <w:t xml:space="preserve">Conclusions </w:t>
      </w:r>
      <w:r w:rsidR="00C931AA" w:rsidRPr="0081088C">
        <w:rPr>
          <w:i/>
          <w:iCs/>
          <w:lang w:bidi="he-IL"/>
        </w:rPr>
        <w:t>on the Use of Empirical Analysis and the Healing of the Paralytic</w:t>
      </w:r>
    </w:p>
    <w:p w14:paraId="6AECCEAF" w14:textId="729A6DF8" w:rsidR="00C931AA" w:rsidRDefault="0081088C" w:rsidP="003360A1">
      <w:pPr>
        <w:rPr>
          <w:lang w:bidi="he-IL"/>
        </w:rPr>
      </w:pPr>
      <w:r>
        <w:rPr>
          <w:lang w:bidi="he-IL"/>
        </w:rPr>
        <w:tab/>
      </w:r>
      <w:r w:rsidR="00D3146E">
        <w:rPr>
          <w:lang w:bidi="he-IL"/>
        </w:rPr>
        <w:t xml:space="preserve">The use of an empirical analysis to aid the interpretation of the Healing of the Paralytic </w:t>
      </w:r>
      <w:r w:rsidR="00A006DD">
        <w:rPr>
          <w:lang w:bidi="he-IL"/>
        </w:rPr>
        <w:t>h</w:t>
      </w:r>
      <w:r w:rsidR="00D3146E">
        <w:rPr>
          <w:lang w:bidi="he-IL"/>
        </w:rPr>
        <w:t xml:space="preserve">as been quite useful. </w:t>
      </w:r>
      <w:r>
        <w:rPr>
          <w:lang w:bidi="he-IL"/>
        </w:rPr>
        <w:t xml:space="preserve">Based on the word counts of the synoptic texts alone, a contingency table allowed </w:t>
      </w:r>
      <w:r w:rsidR="00A006DD">
        <w:rPr>
          <w:lang w:bidi="he-IL"/>
        </w:rPr>
        <w:t>me</w:t>
      </w:r>
      <w:r>
        <w:rPr>
          <w:lang w:bidi="he-IL"/>
        </w:rPr>
        <w:t xml:space="preserve"> to postulate a possible positive association between Matthew and Luke based on their common redaction of Mark.</w:t>
      </w:r>
      <w:r w:rsidR="00E626DF">
        <w:rPr>
          <w:lang w:bidi="he-IL"/>
        </w:rPr>
        <w:t xml:space="preserve"> Once this initial observation was made,</w:t>
      </w:r>
      <w:r w:rsidR="00A006DD">
        <w:rPr>
          <w:lang w:bidi="he-IL"/>
        </w:rPr>
        <w:t xml:space="preserve"> I then </w:t>
      </w:r>
      <w:r w:rsidR="00AA0C9D">
        <w:rPr>
          <w:lang w:bidi="he-IL"/>
        </w:rPr>
        <w:t xml:space="preserve">examined a visualization of the texts based on the data from the contingency table. This visualization helped </w:t>
      </w:r>
      <w:r w:rsidR="000F42D1">
        <w:rPr>
          <w:lang w:bidi="he-IL"/>
        </w:rPr>
        <w:t>me</w:t>
      </w:r>
      <w:r w:rsidR="00AA0C9D">
        <w:rPr>
          <w:lang w:bidi="he-IL"/>
        </w:rPr>
        <w:t xml:space="preserve"> </w:t>
      </w:r>
      <w:r w:rsidR="00DC61B4">
        <w:rPr>
          <w:lang w:bidi="he-IL"/>
        </w:rPr>
        <w:t xml:space="preserve">to hone my interpretation of the texts on a few significant points of agreement shared by all three Synoptic Gospels. </w:t>
      </w:r>
      <w:r w:rsidR="00C141D1">
        <w:rPr>
          <w:lang w:bidi="he-IL"/>
        </w:rPr>
        <w:t xml:space="preserve">I found that all three synoptics preserve a saying about the </w:t>
      </w:r>
      <w:r w:rsidR="002D77CF">
        <w:rPr>
          <w:lang w:bidi="he-IL"/>
        </w:rPr>
        <w:t>S</w:t>
      </w:r>
      <w:r w:rsidR="00C141D1">
        <w:rPr>
          <w:lang w:bidi="he-IL"/>
        </w:rPr>
        <w:t xml:space="preserve">on of </w:t>
      </w:r>
      <w:r w:rsidR="002D77CF">
        <w:rPr>
          <w:lang w:bidi="he-IL"/>
        </w:rPr>
        <w:t>M</w:t>
      </w:r>
      <w:r w:rsidR="00C141D1">
        <w:rPr>
          <w:lang w:bidi="he-IL"/>
        </w:rPr>
        <w:t>an having authority to forgive sins</w:t>
      </w:r>
      <w:r w:rsidR="009F6FED">
        <w:rPr>
          <w:lang w:bidi="he-IL"/>
        </w:rPr>
        <w:t xml:space="preserve"> with a relatively high degree of agreement, if not in the order of words at least in the words used. </w:t>
      </w:r>
      <w:r w:rsidR="00852B97">
        <w:rPr>
          <w:lang w:bidi="he-IL"/>
        </w:rPr>
        <w:t xml:space="preserve">I also found, through the visualization </w:t>
      </w:r>
      <w:r w:rsidR="00A85D3D">
        <w:rPr>
          <w:lang w:bidi="he-IL"/>
        </w:rPr>
        <w:t>of the texts</w:t>
      </w:r>
      <w:r w:rsidR="00852B97">
        <w:rPr>
          <w:lang w:bidi="he-IL"/>
        </w:rPr>
        <w:t xml:space="preserve">, that </w:t>
      </w:r>
      <w:r w:rsidR="006E0D49">
        <w:rPr>
          <w:lang w:bidi="he-IL"/>
        </w:rPr>
        <w:t>each gospel author preserve</w:t>
      </w:r>
      <w:r w:rsidR="00A85D3D">
        <w:rPr>
          <w:lang w:bidi="he-IL"/>
        </w:rPr>
        <w:t>s</w:t>
      </w:r>
      <w:r w:rsidR="006E0D49">
        <w:rPr>
          <w:lang w:bidi="he-IL"/>
        </w:rPr>
        <w:t xml:space="preserve"> a statement </w:t>
      </w:r>
      <w:r w:rsidR="00A85D3D">
        <w:rPr>
          <w:lang w:bidi="he-IL"/>
        </w:rPr>
        <w:t>about</w:t>
      </w:r>
      <w:r w:rsidR="006E0D49">
        <w:rPr>
          <w:lang w:bidi="he-IL"/>
        </w:rPr>
        <w:t xml:space="preserve"> Jesus forgiving the sins of the paralytic man.</w:t>
      </w:r>
      <w:r w:rsidR="00E45961">
        <w:rPr>
          <w:lang w:bidi="he-IL"/>
        </w:rPr>
        <w:t xml:space="preserve"> </w:t>
      </w:r>
      <w:r w:rsidR="005B3360">
        <w:rPr>
          <w:lang w:bidi="he-IL"/>
        </w:rPr>
        <w:t xml:space="preserve">On further </w:t>
      </w:r>
      <w:r w:rsidR="00BD7621">
        <w:rPr>
          <w:lang w:bidi="he-IL"/>
        </w:rPr>
        <w:t>inspection</w:t>
      </w:r>
      <w:r w:rsidR="005B3360">
        <w:rPr>
          <w:lang w:bidi="he-IL"/>
        </w:rPr>
        <w:t xml:space="preserve">, I </w:t>
      </w:r>
      <w:r w:rsidR="00964AA8">
        <w:rPr>
          <w:lang w:bidi="he-IL"/>
        </w:rPr>
        <w:t>noted</w:t>
      </w:r>
      <w:r w:rsidR="005B3360">
        <w:rPr>
          <w:lang w:bidi="he-IL"/>
        </w:rPr>
        <w:t xml:space="preserve"> that </w:t>
      </w:r>
      <w:r w:rsidR="00BD7621">
        <w:rPr>
          <w:lang w:bidi="he-IL"/>
        </w:rPr>
        <w:t>Matthew preserves this statement from Mark</w:t>
      </w:r>
      <w:r w:rsidR="00964AA8">
        <w:rPr>
          <w:lang w:bidi="he-IL"/>
        </w:rPr>
        <w:t xml:space="preserve"> using the present </w:t>
      </w:r>
      <w:r w:rsidR="005C31F1">
        <w:rPr>
          <w:lang w:bidi="he-IL"/>
        </w:rPr>
        <w:t>tense</w:t>
      </w:r>
      <w:r w:rsidR="00E45961">
        <w:rPr>
          <w:lang w:bidi="he-IL"/>
        </w:rPr>
        <w:t>, while Luke alters it</w:t>
      </w:r>
      <w:r w:rsidR="00964AA8">
        <w:rPr>
          <w:lang w:bidi="he-IL"/>
        </w:rPr>
        <w:t xml:space="preserve"> by putting it in the perfect</w:t>
      </w:r>
      <w:r w:rsidR="00E45961">
        <w:rPr>
          <w:lang w:bidi="he-IL"/>
        </w:rPr>
        <w:t>.</w:t>
      </w:r>
      <w:r w:rsidR="00964AA8">
        <w:rPr>
          <w:lang w:bidi="he-IL"/>
        </w:rPr>
        <w:t xml:space="preserve"> </w:t>
      </w:r>
      <w:r w:rsidR="004872E0">
        <w:rPr>
          <w:lang w:bidi="he-IL"/>
        </w:rPr>
        <w:t xml:space="preserve">The reason for this has to do with Matthew’s and Luke’s </w:t>
      </w:r>
      <w:r w:rsidR="00FB0440">
        <w:rPr>
          <w:lang w:bidi="he-IL"/>
        </w:rPr>
        <w:t>respective</w:t>
      </w:r>
      <w:r w:rsidR="004872E0">
        <w:rPr>
          <w:lang w:bidi="he-IL"/>
        </w:rPr>
        <w:t xml:space="preserve"> programmatic agendas about Jesus’ </w:t>
      </w:r>
      <w:r w:rsidR="00FB0440">
        <w:rPr>
          <w:lang w:bidi="he-IL"/>
        </w:rPr>
        <w:t xml:space="preserve">messianic role. Matthew </w:t>
      </w:r>
      <w:r w:rsidR="00791972">
        <w:rPr>
          <w:lang w:bidi="he-IL"/>
        </w:rPr>
        <w:t>preserves</w:t>
      </w:r>
      <w:r w:rsidR="00FB0440">
        <w:rPr>
          <w:lang w:bidi="he-IL"/>
        </w:rPr>
        <w:t xml:space="preserve"> it in the present to emphasize the presence of God’s </w:t>
      </w:r>
      <w:r w:rsidR="00791972">
        <w:rPr>
          <w:lang w:bidi="he-IL"/>
        </w:rPr>
        <w:t>M</w:t>
      </w:r>
      <w:r w:rsidR="00FB0440">
        <w:rPr>
          <w:lang w:bidi="he-IL"/>
        </w:rPr>
        <w:t xml:space="preserve">essiah as </w:t>
      </w:r>
      <w:r w:rsidR="00B77ADF">
        <w:rPr>
          <w:lang w:bidi="he-IL"/>
        </w:rPr>
        <w:t xml:space="preserve">one who dwells among human beings, Emmanuel. Luke alters it to the perfect to emphasize </w:t>
      </w:r>
      <w:r w:rsidR="00791972">
        <w:rPr>
          <w:lang w:bidi="he-IL"/>
        </w:rPr>
        <w:t>Jesus</w:t>
      </w:r>
      <w:r w:rsidR="0051077F">
        <w:rPr>
          <w:lang w:bidi="he-IL"/>
        </w:rPr>
        <w:t>’</w:t>
      </w:r>
      <w:r w:rsidR="00791972">
        <w:rPr>
          <w:lang w:bidi="he-IL"/>
        </w:rPr>
        <w:t xml:space="preserve"> ministry as </w:t>
      </w:r>
      <w:r w:rsidR="00B77ADF">
        <w:rPr>
          <w:lang w:bidi="he-IL"/>
        </w:rPr>
        <w:t xml:space="preserve">the fulfillment </w:t>
      </w:r>
      <w:r w:rsidR="00791972">
        <w:rPr>
          <w:lang w:bidi="he-IL"/>
        </w:rPr>
        <w:t xml:space="preserve">of the prophetic promise for </w:t>
      </w:r>
      <w:r w:rsidR="003B57E5">
        <w:rPr>
          <w:lang w:bidi="he-IL"/>
        </w:rPr>
        <w:t>release for captives.</w:t>
      </w:r>
      <w:r w:rsidR="00860456">
        <w:rPr>
          <w:lang w:bidi="he-IL"/>
        </w:rPr>
        <w:t xml:space="preserve"> I found this same type of alteration in how Matthew and Luke each end the pericope</w:t>
      </w:r>
      <w:r w:rsidR="007C501B">
        <w:rPr>
          <w:lang w:bidi="he-IL"/>
        </w:rPr>
        <w:t>: Matthew that such authority</w:t>
      </w:r>
      <w:r w:rsidR="001920FB">
        <w:rPr>
          <w:lang w:bidi="he-IL"/>
        </w:rPr>
        <w:t>, namely Jesus,</w:t>
      </w:r>
      <w:r w:rsidR="007C501B">
        <w:rPr>
          <w:lang w:bidi="he-IL"/>
        </w:rPr>
        <w:t xml:space="preserve"> was given by God </w:t>
      </w:r>
      <w:r w:rsidR="001920FB">
        <w:rPr>
          <w:lang w:bidi="he-IL"/>
        </w:rPr>
        <w:t>to</w:t>
      </w:r>
      <w:r w:rsidR="007C501B">
        <w:rPr>
          <w:lang w:bidi="he-IL"/>
        </w:rPr>
        <w:t xml:space="preserve"> human beings, and Luke that</w:t>
      </w:r>
      <w:r w:rsidR="00EA52DC">
        <w:rPr>
          <w:lang w:bidi="he-IL"/>
        </w:rPr>
        <w:t xml:space="preserve"> the crowds saw a marvelous thing at the time of fulfilment</w:t>
      </w:r>
      <w:r w:rsidR="00D05BE3">
        <w:rPr>
          <w:lang w:bidi="he-IL"/>
        </w:rPr>
        <w:t xml:space="preserve">, </w:t>
      </w:r>
      <w:r w:rsidR="001D194C">
        <w:rPr>
          <w:lang w:bidi="he-IL"/>
        </w:rPr>
        <w:t>viz.,</w:t>
      </w:r>
      <w:r w:rsidR="00D05BE3">
        <w:rPr>
          <w:lang w:bidi="he-IL"/>
        </w:rPr>
        <w:t xml:space="preserve"> today (</w:t>
      </w:r>
      <w:r w:rsidR="00D05BE3">
        <w:rPr>
          <w:lang w:val="el-GR" w:bidi="he-IL"/>
        </w:rPr>
        <w:t>ση</w:t>
      </w:r>
      <w:r w:rsidR="00D05BE3" w:rsidRPr="00D05BE3">
        <w:rPr>
          <w:lang w:bidi="he-IL"/>
        </w:rPr>
        <w:t>́</w:t>
      </w:r>
      <w:r w:rsidR="00D05BE3">
        <w:rPr>
          <w:lang w:val="el-GR" w:bidi="he-IL"/>
        </w:rPr>
        <w:t>μερον</w:t>
      </w:r>
      <w:r w:rsidR="00D05BE3">
        <w:rPr>
          <w:lang w:bidi="he-IL"/>
        </w:rPr>
        <w:t>).</w:t>
      </w:r>
      <w:r w:rsidR="00F3266F">
        <w:rPr>
          <w:lang w:bidi="he-IL"/>
        </w:rPr>
        <w:t xml:space="preserve"> Finally, the observations made about Matthew’s and Luke’s </w:t>
      </w:r>
      <w:r w:rsidR="00F3266F">
        <w:rPr>
          <w:lang w:bidi="he-IL"/>
        </w:rPr>
        <w:lastRenderedPageBreak/>
        <w:t>alteration</w:t>
      </w:r>
      <w:r w:rsidR="003F3F38">
        <w:rPr>
          <w:lang w:bidi="he-IL"/>
        </w:rPr>
        <w:t>s of this pericope</w:t>
      </w:r>
      <w:r w:rsidR="00F3266F">
        <w:rPr>
          <w:lang w:bidi="he-IL"/>
        </w:rPr>
        <w:t xml:space="preserve"> for the sake of their programmatic </w:t>
      </w:r>
      <w:r w:rsidR="003F3F38">
        <w:rPr>
          <w:lang w:bidi="he-IL"/>
        </w:rPr>
        <w:t>agendas</w:t>
      </w:r>
      <w:r w:rsidR="00F3266F">
        <w:rPr>
          <w:lang w:bidi="he-IL"/>
        </w:rPr>
        <w:t xml:space="preserve"> helped me to explain the subtle difference</w:t>
      </w:r>
      <w:r w:rsidR="003F3F38">
        <w:rPr>
          <w:lang w:bidi="he-IL"/>
        </w:rPr>
        <w:t>s</w:t>
      </w:r>
      <w:r w:rsidR="00F3266F">
        <w:rPr>
          <w:lang w:bidi="he-IL"/>
        </w:rPr>
        <w:t xml:space="preserve"> </w:t>
      </w:r>
      <w:r w:rsidR="003F3F38">
        <w:rPr>
          <w:lang w:bidi="he-IL"/>
        </w:rPr>
        <w:t>of the Son of Man statement preserved in the gospel texts.</w:t>
      </w:r>
      <w:r w:rsidR="001A180E">
        <w:rPr>
          <w:lang w:bidi="he-IL"/>
        </w:rPr>
        <w:t xml:space="preserve"> Matthew alters </w:t>
      </w:r>
      <w:r w:rsidR="00333D98">
        <w:rPr>
          <w:lang w:bidi="he-IL"/>
        </w:rPr>
        <w:t>it</w:t>
      </w:r>
      <w:r w:rsidR="001A180E">
        <w:rPr>
          <w:lang w:bidi="he-IL"/>
        </w:rPr>
        <w:t xml:space="preserve"> by </w:t>
      </w:r>
      <w:r w:rsidR="00333D98">
        <w:rPr>
          <w:lang w:bidi="he-IL"/>
        </w:rPr>
        <w:t>arranging</w:t>
      </w:r>
      <w:r w:rsidR="001A180E">
        <w:rPr>
          <w:lang w:bidi="he-IL"/>
        </w:rPr>
        <w:t xml:space="preserve"> the prepositional phrase </w:t>
      </w:r>
      <w:r w:rsidR="0063016C" w:rsidRPr="00A34EA8">
        <w:rPr>
          <w:lang w:val="el-GR" w:bidi="he-IL"/>
        </w:rPr>
        <w:t>ἐπὶ</w:t>
      </w:r>
      <w:r w:rsidR="0063016C" w:rsidRPr="00A34EA8">
        <w:rPr>
          <w:lang w:bidi="he-IL"/>
        </w:rPr>
        <w:t xml:space="preserve"> </w:t>
      </w:r>
      <w:r w:rsidR="0063016C" w:rsidRPr="00A34EA8">
        <w:rPr>
          <w:lang w:val="el-GR" w:bidi="he-IL"/>
        </w:rPr>
        <w:t>τῆς</w:t>
      </w:r>
      <w:r w:rsidR="0063016C" w:rsidRPr="00A34EA8">
        <w:rPr>
          <w:lang w:bidi="he-IL"/>
        </w:rPr>
        <w:t xml:space="preserve"> </w:t>
      </w:r>
      <w:r w:rsidR="0063016C" w:rsidRPr="00A34EA8">
        <w:rPr>
          <w:lang w:val="el-GR" w:bidi="he-IL"/>
        </w:rPr>
        <w:t>γῆς</w:t>
      </w:r>
      <w:r w:rsidR="0063016C">
        <w:rPr>
          <w:lang w:bidi="he-IL"/>
        </w:rPr>
        <w:t xml:space="preserve"> alongside the designation of Son of Man (</w:t>
      </w:r>
      <w:r w:rsidR="0063016C">
        <w:rPr>
          <w:lang w:val="el-GR" w:bidi="he-IL"/>
        </w:rPr>
        <w:t>ο</w:t>
      </w:r>
      <w:r w:rsidR="0063016C" w:rsidRPr="0063016C">
        <w:rPr>
          <w:lang w:bidi="he-IL"/>
        </w:rPr>
        <w:t xml:space="preserve">̔ </w:t>
      </w:r>
      <w:r w:rsidR="0063016C">
        <w:rPr>
          <w:lang w:val="el-GR" w:bidi="he-IL"/>
        </w:rPr>
        <w:t>υ</w:t>
      </w:r>
      <w:r w:rsidR="00EB143C">
        <w:rPr>
          <w:lang w:val="el-GR" w:bidi="he-IL"/>
        </w:rPr>
        <w:t>ι</w:t>
      </w:r>
      <w:r w:rsidR="00EB143C" w:rsidRPr="00EB143C">
        <w:rPr>
          <w:lang w:bidi="he-IL"/>
        </w:rPr>
        <w:t>̔</w:t>
      </w:r>
      <w:r w:rsidR="00EB143C">
        <w:rPr>
          <w:lang w:val="el-GR" w:bidi="he-IL"/>
        </w:rPr>
        <w:t>ο</w:t>
      </w:r>
      <w:r w:rsidR="00EB143C" w:rsidRPr="00EB143C">
        <w:rPr>
          <w:lang w:bidi="he-IL"/>
        </w:rPr>
        <w:t>́</w:t>
      </w:r>
      <w:r w:rsidR="00EB143C">
        <w:rPr>
          <w:lang w:val="el-GR" w:bidi="he-IL"/>
        </w:rPr>
        <w:t>ς</w:t>
      </w:r>
      <w:r w:rsidR="00EB143C" w:rsidRPr="00EB143C">
        <w:rPr>
          <w:lang w:bidi="he-IL"/>
        </w:rPr>
        <w:t xml:space="preserve"> </w:t>
      </w:r>
      <w:r w:rsidR="00EB143C">
        <w:rPr>
          <w:lang w:val="el-GR" w:bidi="he-IL"/>
        </w:rPr>
        <w:t>του</w:t>
      </w:r>
      <w:r w:rsidR="00EB143C" w:rsidRPr="00EB143C">
        <w:rPr>
          <w:lang w:bidi="he-IL"/>
        </w:rPr>
        <w:t xml:space="preserve">͂ </w:t>
      </w:r>
      <w:r w:rsidR="00EB143C">
        <w:rPr>
          <w:lang w:val="el-GR" w:bidi="he-IL"/>
        </w:rPr>
        <w:t>α</w:t>
      </w:r>
      <w:r w:rsidR="00EB143C" w:rsidRPr="00EB143C">
        <w:rPr>
          <w:lang w:bidi="he-IL"/>
        </w:rPr>
        <w:t>̓</w:t>
      </w:r>
      <w:r w:rsidR="00EB143C">
        <w:rPr>
          <w:lang w:val="el-GR" w:bidi="he-IL"/>
        </w:rPr>
        <w:t>νθρω</w:t>
      </w:r>
      <w:r w:rsidR="00EB143C" w:rsidRPr="00EB143C">
        <w:rPr>
          <w:lang w:bidi="he-IL"/>
        </w:rPr>
        <w:t>́</w:t>
      </w:r>
      <w:r w:rsidR="00EB143C">
        <w:rPr>
          <w:lang w:val="el-GR" w:bidi="he-IL"/>
        </w:rPr>
        <w:t>που</w:t>
      </w:r>
      <w:r w:rsidR="00333D98">
        <w:rPr>
          <w:lang w:bidi="he-IL"/>
        </w:rPr>
        <w:t>)</w:t>
      </w:r>
      <w:r w:rsidR="00EE6C5F">
        <w:rPr>
          <w:lang w:bidi="he-IL"/>
        </w:rPr>
        <w:t>; and both Matthew and Luke place the infinitive phrase</w:t>
      </w:r>
      <w:r w:rsidR="00C925E5">
        <w:rPr>
          <w:lang w:bidi="he-IL"/>
        </w:rPr>
        <w:t xml:space="preserve"> </w:t>
      </w:r>
      <w:r w:rsidR="00C925E5" w:rsidRPr="003360A1">
        <w:rPr>
          <w:lang w:val="el-GR" w:bidi="he-IL"/>
        </w:rPr>
        <w:t>ἀφιέναι</w:t>
      </w:r>
      <w:r w:rsidR="00C925E5" w:rsidRPr="003360A1">
        <w:rPr>
          <w:lang w:bidi="he-IL"/>
        </w:rPr>
        <w:t xml:space="preserve"> </w:t>
      </w:r>
      <w:r w:rsidR="00C925E5" w:rsidRPr="003360A1">
        <w:rPr>
          <w:lang w:val="el-GR" w:bidi="he-IL"/>
        </w:rPr>
        <w:t>ἁμαρτίας</w:t>
      </w:r>
      <w:r w:rsidR="00C925E5">
        <w:rPr>
          <w:lang w:bidi="he-IL"/>
        </w:rPr>
        <w:t xml:space="preserve"> at the end of their Son of Man statements to draw attention </w:t>
      </w:r>
      <w:r w:rsidR="00932884">
        <w:rPr>
          <w:lang w:bidi="he-IL"/>
        </w:rPr>
        <w:t xml:space="preserve">to their programmatic agendas for the forgiveness of sins. </w:t>
      </w:r>
    </w:p>
    <w:p w14:paraId="3F86CB20" w14:textId="11695E28" w:rsidR="00884089" w:rsidRDefault="00884089" w:rsidP="003360A1">
      <w:pPr>
        <w:rPr>
          <w:lang w:bidi="he-IL"/>
        </w:rPr>
      </w:pPr>
      <w:r>
        <w:rPr>
          <w:lang w:bidi="he-IL"/>
        </w:rPr>
        <w:tab/>
        <w:t xml:space="preserve">By using an empirical analysis that employs </w:t>
      </w:r>
      <w:r w:rsidR="00395BA8">
        <w:rPr>
          <w:lang w:bidi="he-IL"/>
        </w:rPr>
        <w:t xml:space="preserve">statistical inference I have thus been able to </w:t>
      </w:r>
      <w:r w:rsidR="000F32E7">
        <w:rPr>
          <w:lang w:bidi="he-IL"/>
        </w:rPr>
        <w:t>leverage</w:t>
      </w:r>
      <w:r w:rsidR="00395BA8">
        <w:rPr>
          <w:lang w:bidi="he-IL"/>
        </w:rPr>
        <w:t xml:space="preserve"> insight from the texts regarding this pericope. </w:t>
      </w:r>
      <w:r w:rsidR="00334AC5">
        <w:rPr>
          <w:lang w:bidi="he-IL"/>
        </w:rPr>
        <w:t xml:space="preserve">The analysis has not been used to posit a wholistic theory regarding </w:t>
      </w:r>
      <w:r w:rsidR="002C67C6">
        <w:rPr>
          <w:lang w:bidi="he-IL"/>
        </w:rPr>
        <w:t>the literary relationship between Matthew and Luke. Rather, the analysis between Matthew and Luke has drawn attention to the parallel ways both texts redact Mark</w:t>
      </w:r>
      <w:r w:rsidR="000F32E7">
        <w:rPr>
          <w:lang w:bidi="he-IL"/>
        </w:rPr>
        <w:t>,</w:t>
      </w:r>
      <w:r w:rsidR="00C73DB0">
        <w:rPr>
          <w:lang w:bidi="he-IL"/>
        </w:rPr>
        <w:t xml:space="preserve"> be it either in words, phrases, or </w:t>
      </w:r>
      <w:r w:rsidR="001E2CFE">
        <w:rPr>
          <w:lang w:bidi="he-IL"/>
        </w:rPr>
        <w:t xml:space="preserve">larger literary concerns. </w:t>
      </w:r>
      <w:r w:rsidR="00D21226">
        <w:rPr>
          <w:lang w:bidi="he-IL"/>
        </w:rPr>
        <w:t>In particular, I have found that Matthew and Luke share a larger literary concern for the designation of Jesus as</w:t>
      </w:r>
      <w:r w:rsidR="00C534DE">
        <w:rPr>
          <w:lang w:bidi="he-IL"/>
        </w:rPr>
        <w:t xml:space="preserve"> Messiah who fulfills prophetic promises about the forgiveness of sins and who </w:t>
      </w:r>
      <w:r w:rsidR="00DD52E9">
        <w:rPr>
          <w:lang w:bidi="he-IL"/>
        </w:rPr>
        <w:t>dwells with human beings</w:t>
      </w:r>
      <w:r w:rsidR="009C5D56">
        <w:rPr>
          <w:lang w:bidi="he-IL"/>
        </w:rPr>
        <w:t xml:space="preserve">. </w:t>
      </w:r>
      <w:r w:rsidR="00602E18">
        <w:rPr>
          <w:lang w:bidi="he-IL"/>
        </w:rPr>
        <w:t xml:space="preserve">The use of data in the study of the </w:t>
      </w:r>
      <w:r w:rsidR="003A2051">
        <w:rPr>
          <w:lang w:bidi="he-IL"/>
        </w:rPr>
        <w:t>S</w:t>
      </w:r>
      <w:r w:rsidR="00602E18">
        <w:rPr>
          <w:lang w:bidi="he-IL"/>
        </w:rPr>
        <w:t xml:space="preserve">ynoptic </w:t>
      </w:r>
      <w:r w:rsidR="003A2051">
        <w:rPr>
          <w:lang w:bidi="he-IL"/>
        </w:rPr>
        <w:t>G</w:t>
      </w:r>
      <w:r w:rsidR="00602E18">
        <w:rPr>
          <w:lang w:bidi="he-IL"/>
        </w:rPr>
        <w:t xml:space="preserve">ospels has thus shown itself to be useful in interpreting the texts beyond just a solution to the Synoptic Problem. </w:t>
      </w:r>
    </w:p>
    <w:p w14:paraId="29987F20" w14:textId="77777777" w:rsidR="00725567" w:rsidRPr="006A425A" w:rsidRDefault="00725567" w:rsidP="003360A1">
      <w:pPr>
        <w:rPr>
          <w:b/>
          <w:bCs/>
          <w:u w:val="single"/>
          <w:lang w:bidi="he-IL"/>
        </w:rPr>
      </w:pPr>
      <w:r w:rsidRPr="006A425A">
        <w:rPr>
          <w:b/>
          <w:bCs/>
          <w:u w:val="single"/>
          <w:lang w:bidi="he-IL"/>
        </w:rPr>
        <w:t>Conclusion</w:t>
      </w:r>
    </w:p>
    <w:p w14:paraId="3BBAFFED" w14:textId="09E72EB4" w:rsidR="00725567" w:rsidRDefault="00725567" w:rsidP="003360A1">
      <w:pPr>
        <w:rPr>
          <w:lang w:bidi="he-IL"/>
        </w:rPr>
      </w:pPr>
      <w:r>
        <w:rPr>
          <w:lang w:bidi="he-IL"/>
        </w:rPr>
        <w:tab/>
        <w:t xml:space="preserve">In this paper I have hoped to demonstrate that </w:t>
      </w:r>
      <w:r w:rsidR="0006532B">
        <w:rPr>
          <w:lang w:bidi="he-IL"/>
        </w:rPr>
        <w:t xml:space="preserve">statistics in the study of the Synoptic Gospels </w:t>
      </w:r>
      <w:r w:rsidR="002B12E3">
        <w:rPr>
          <w:lang w:bidi="he-IL"/>
        </w:rPr>
        <w:t>are</w:t>
      </w:r>
      <w:r w:rsidR="0006532B">
        <w:rPr>
          <w:lang w:bidi="he-IL"/>
        </w:rPr>
        <w:t xml:space="preserve"> neither to be abandoned or releg</w:t>
      </w:r>
      <w:r w:rsidR="00D60D51">
        <w:rPr>
          <w:lang w:bidi="he-IL"/>
        </w:rPr>
        <w:t xml:space="preserve">ated to </w:t>
      </w:r>
      <w:r w:rsidR="00645F0F">
        <w:rPr>
          <w:lang w:bidi="he-IL"/>
        </w:rPr>
        <w:t>validating</w:t>
      </w:r>
      <w:r w:rsidR="00D60D51">
        <w:rPr>
          <w:lang w:bidi="he-IL"/>
        </w:rPr>
        <w:t xml:space="preserve"> sources theories on the Synoptic Problem.</w:t>
      </w:r>
      <w:r w:rsidR="00645F0F">
        <w:rPr>
          <w:lang w:bidi="he-IL"/>
        </w:rPr>
        <w:t xml:space="preserve"> </w:t>
      </w:r>
      <w:r w:rsidR="007A3912">
        <w:rPr>
          <w:lang w:bidi="he-IL"/>
        </w:rPr>
        <w:t>Instead, I have argued that empirical analysis of the Synoptic Gospels and the use</w:t>
      </w:r>
      <w:r w:rsidR="00AF611D">
        <w:rPr>
          <w:lang w:bidi="he-IL"/>
        </w:rPr>
        <w:t xml:space="preserve"> </w:t>
      </w:r>
      <w:r w:rsidR="007A3912">
        <w:rPr>
          <w:lang w:bidi="he-IL"/>
        </w:rPr>
        <w:t>of statistic</w:t>
      </w:r>
      <w:r w:rsidR="00AF611D">
        <w:rPr>
          <w:lang w:bidi="he-IL"/>
        </w:rPr>
        <w:t>s</w:t>
      </w:r>
      <w:r w:rsidR="007A3912">
        <w:rPr>
          <w:lang w:bidi="he-IL"/>
        </w:rPr>
        <w:t xml:space="preserve"> to interpret this data </w:t>
      </w:r>
      <w:r w:rsidR="00AF611D">
        <w:rPr>
          <w:lang w:bidi="he-IL"/>
        </w:rPr>
        <w:t>remains useful on the level of exegetical interpretation.</w:t>
      </w:r>
      <w:r w:rsidR="00A2639E">
        <w:rPr>
          <w:lang w:bidi="he-IL"/>
        </w:rPr>
        <w:t xml:space="preserve"> </w:t>
      </w:r>
      <w:r w:rsidR="00BF25BC">
        <w:rPr>
          <w:lang w:bidi="he-IL"/>
        </w:rPr>
        <w:t xml:space="preserve">The adversity </w:t>
      </w:r>
      <w:r w:rsidR="002774B5">
        <w:rPr>
          <w:lang w:bidi="he-IL"/>
        </w:rPr>
        <w:t xml:space="preserve">quantitative studies of the gospels </w:t>
      </w:r>
      <w:r w:rsidR="007A176A">
        <w:rPr>
          <w:lang w:bidi="he-IL"/>
        </w:rPr>
        <w:t>have</w:t>
      </w:r>
      <w:r w:rsidR="002774B5">
        <w:rPr>
          <w:lang w:bidi="he-IL"/>
        </w:rPr>
        <w:t xml:space="preserve"> met within </w:t>
      </w:r>
      <w:r w:rsidR="0076465B">
        <w:rPr>
          <w:lang w:bidi="he-IL"/>
        </w:rPr>
        <w:t xml:space="preserve">synoptic scholarship is thus misplaced. Previous studies of the Synoptic Gospels that employed statistics largely did so </w:t>
      </w:r>
      <w:r w:rsidR="004443C5">
        <w:rPr>
          <w:lang w:bidi="he-IL"/>
        </w:rPr>
        <w:t xml:space="preserve">in order to argue for wholistic </w:t>
      </w:r>
      <w:r w:rsidR="00A14B0B">
        <w:rPr>
          <w:lang w:bidi="he-IL"/>
        </w:rPr>
        <w:t>literary relationships between the synoptic texts</w:t>
      </w:r>
      <w:r w:rsidR="00810D62">
        <w:rPr>
          <w:lang w:bidi="he-IL"/>
        </w:rPr>
        <w:t xml:space="preserve">, like those postulated </w:t>
      </w:r>
      <w:r w:rsidR="00810D62">
        <w:rPr>
          <w:lang w:bidi="he-IL"/>
        </w:rPr>
        <w:lastRenderedPageBreak/>
        <w:t>in the Two-Source Theory or Farrer Hypothesis.</w:t>
      </w:r>
      <w:r w:rsidR="00A34B39">
        <w:rPr>
          <w:lang w:bidi="he-IL"/>
        </w:rPr>
        <w:t xml:space="preserve"> </w:t>
      </w:r>
      <w:r w:rsidR="00262DB2">
        <w:rPr>
          <w:lang w:bidi="he-IL"/>
        </w:rPr>
        <w:t>Biblical scholars thus often met the use of statistic</w:t>
      </w:r>
      <w:r w:rsidR="002F38CD">
        <w:rPr>
          <w:lang w:bidi="he-IL"/>
        </w:rPr>
        <w:t>s</w:t>
      </w:r>
      <w:r w:rsidR="00262DB2">
        <w:rPr>
          <w:lang w:bidi="he-IL"/>
        </w:rPr>
        <w:t xml:space="preserve"> and data in </w:t>
      </w:r>
      <w:r w:rsidR="00EC135C">
        <w:rPr>
          <w:lang w:bidi="he-IL"/>
        </w:rPr>
        <w:t>gospel studies with wholistic skepticism because</w:t>
      </w:r>
      <w:r w:rsidR="00673721">
        <w:rPr>
          <w:lang w:bidi="he-IL"/>
        </w:rPr>
        <w:t xml:space="preserve"> </w:t>
      </w:r>
      <w:r w:rsidR="002F38CD">
        <w:rPr>
          <w:lang w:bidi="he-IL"/>
        </w:rPr>
        <w:t xml:space="preserve">such studies were trying to </w:t>
      </w:r>
      <w:r w:rsidR="00CA02FC">
        <w:rPr>
          <w:lang w:bidi="he-IL"/>
        </w:rPr>
        <w:t xml:space="preserve">consolidate entire literary compositions down to numbers, without </w:t>
      </w:r>
      <w:r w:rsidR="0011215B">
        <w:rPr>
          <w:lang w:bidi="he-IL"/>
        </w:rPr>
        <w:t xml:space="preserve">critical regard for the narrative artistry of the gospel authors. </w:t>
      </w:r>
      <w:r w:rsidR="0053631F">
        <w:rPr>
          <w:lang w:bidi="he-IL"/>
        </w:rPr>
        <w:t xml:space="preserve">However, when </w:t>
      </w:r>
      <w:r w:rsidR="00D551CE">
        <w:rPr>
          <w:lang w:bidi="he-IL"/>
        </w:rPr>
        <w:t xml:space="preserve">employed on a smaller scale, statistical analysis of the Synoptic Gospels can be of </w:t>
      </w:r>
      <w:r w:rsidR="007B5E65">
        <w:rPr>
          <w:lang w:bidi="he-IL"/>
        </w:rPr>
        <w:t xml:space="preserve">great benefit when interpreting gospel pericopae. </w:t>
      </w:r>
    </w:p>
    <w:p w14:paraId="29396184" w14:textId="51C2A776" w:rsidR="007B5E65" w:rsidRDefault="00272364" w:rsidP="003360A1">
      <w:pPr>
        <w:rPr>
          <w:lang w:bidi="he-IL"/>
        </w:rPr>
      </w:pPr>
      <w:r>
        <w:rPr>
          <w:lang w:bidi="he-IL"/>
        </w:rPr>
        <w:tab/>
        <w:t xml:space="preserve">I have demonstrated the utility of </w:t>
      </w:r>
      <w:r w:rsidR="00FF5ACF">
        <w:rPr>
          <w:lang w:bidi="he-IL"/>
        </w:rPr>
        <w:t>a particular method of statistical analysis, that of a contingency table, when it come</w:t>
      </w:r>
      <w:r w:rsidR="00F90502">
        <w:rPr>
          <w:lang w:bidi="he-IL"/>
        </w:rPr>
        <w:t>s</w:t>
      </w:r>
      <w:r w:rsidR="00FF5ACF">
        <w:rPr>
          <w:lang w:bidi="he-IL"/>
        </w:rPr>
        <w:t xml:space="preserve"> to examining individual </w:t>
      </w:r>
      <w:r w:rsidR="004D371C">
        <w:rPr>
          <w:lang w:bidi="he-IL"/>
        </w:rPr>
        <w:t>gospel pericopae</w:t>
      </w:r>
      <w:r w:rsidR="00737900">
        <w:rPr>
          <w:lang w:bidi="he-IL"/>
        </w:rPr>
        <w:t xml:space="preserve"> in two ways</w:t>
      </w:r>
      <w:r w:rsidR="004D371C">
        <w:rPr>
          <w:lang w:bidi="he-IL"/>
        </w:rPr>
        <w:t>.</w:t>
      </w:r>
      <w:r w:rsidR="00737900">
        <w:rPr>
          <w:lang w:bidi="he-IL"/>
        </w:rPr>
        <w:t xml:space="preserve"> First,</w:t>
      </w:r>
      <w:r w:rsidR="004D371C">
        <w:rPr>
          <w:lang w:bidi="he-IL"/>
        </w:rPr>
        <w:t xml:space="preserve"> </w:t>
      </w:r>
      <w:r w:rsidR="009465EA">
        <w:rPr>
          <w:lang w:bidi="he-IL"/>
        </w:rPr>
        <w:t>I have shown that a contingency table can be used to examine a variety of texts</w:t>
      </w:r>
      <w:r w:rsidR="00F040F7">
        <w:rPr>
          <w:lang w:bidi="he-IL"/>
        </w:rPr>
        <w:t xml:space="preserve"> that differ in size, arrangement, and textual agreements.</w:t>
      </w:r>
      <w:r w:rsidR="005958A5">
        <w:rPr>
          <w:lang w:bidi="he-IL"/>
        </w:rPr>
        <w:t xml:space="preserve"> </w:t>
      </w:r>
      <w:r w:rsidR="00B66337">
        <w:rPr>
          <w:lang w:bidi="he-IL"/>
        </w:rPr>
        <w:t xml:space="preserve">The flexibility of a contingency table in this regard thus makes </w:t>
      </w:r>
      <w:r w:rsidR="005B6CC7">
        <w:rPr>
          <w:lang w:bidi="he-IL"/>
        </w:rPr>
        <w:t>it</w:t>
      </w:r>
      <w:r w:rsidR="00B66337">
        <w:rPr>
          <w:lang w:bidi="he-IL"/>
        </w:rPr>
        <w:t xml:space="preserve"> a viable method </w:t>
      </w:r>
      <w:r w:rsidR="005958A5">
        <w:rPr>
          <w:lang w:bidi="he-IL"/>
        </w:rPr>
        <w:t xml:space="preserve">for examining gospel texts as part of the process of more detailed exegesis. </w:t>
      </w:r>
      <w:r w:rsidR="001E7A5F">
        <w:rPr>
          <w:lang w:bidi="he-IL"/>
        </w:rPr>
        <w:t xml:space="preserve">Contingency tables also </w:t>
      </w:r>
      <w:r w:rsidR="006B4514">
        <w:rPr>
          <w:lang w:bidi="he-IL"/>
        </w:rPr>
        <w:t>lend</w:t>
      </w:r>
      <w:r w:rsidR="001E7A5F">
        <w:rPr>
          <w:lang w:bidi="he-IL"/>
        </w:rPr>
        <w:t xml:space="preserve"> themselves to visualizing the texts in a manner that can aid interpretation. </w:t>
      </w:r>
      <w:r w:rsidR="00296C0E">
        <w:rPr>
          <w:lang w:bidi="he-IL"/>
        </w:rPr>
        <w:t xml:space="preserve">The preliminary database of synoptic pericopae I have constructed is evidence of this type of use and application </w:t>
      </w:r>
      <w:r w:rsidR="00902951">
        <w:rPr>
          <w:lang w:bidi="he-IL"/>
        </w:rPr>
        <w:t>for</w:t>
      </w:r>
      <w:r w:rsidR="00296C0E">
        <w:rPr>
          <w:lang w:bidi="he-IL"/>
        </w:rPr>
        <w:t xml:space="preserve"> data </w:t>
      </w:r>
      <w:r w:rsidR="00902951">
        <w:rPr>
          <w:lang w:bidi="he-IL"/>
        </w:rPr>
        <w:t>in</w:t>
      </w:r>
      <w:r w:rsidR="00296C0E">
        <w:rPr>
          <w:lang w:bidi="he-IL"/>
        </w:rPr>
        <w:t xml:space="preserve"> synoptic stud</w:t>
      </w:r>
      <w:r w:rsidR="00902951">
        <w:rPr>
          <w:lang w:bidi="he-IL"/>
        </w:rPr>
        <w:t>ies.</w:t>
      </w:r>
      <w:r w:rsidR="00350610">
        <w:rPr>
          <w:rStyle w:val="FootnoteReference"/>
          <w:lang w:bidi="he-IL"/>
        </w:rPr>
        <w:footnoteReference w:id="111"/>
      </w:r>
      <w:r w:rsidR="006B4514">
        <w:rPr>
          <w:lang w:bidi="he-IL"/>
        </w:rPr>
        <w:t xml:space="preserve"> Finally, I have made </w:t>
      </w:r>
      <w:r w:rsidR="00A24E0A">
        <w:rPr>
          <w:lang w:bidi="he-IL"/>
        </w:rPr>
        <w:t>an</w:t>
      </w:r>
      <w:r w:rsidR="006B4514">
        <w:rPr>
          <w:lang w:bidi="he-IL"/>
        </w:rPr>
        <w:t xml:space="preserve"> interpretive claim </w:t>
      </w:r>
      <w:r w:rsidR="0063290B">
        <w:rPr>
          <w:lang w:bidi="he-IL"/>
        </w:rPr>
        <w:t xml:space="preserve">about Matthew’s and Luke’s version of the Healing of the Paralytic using </w:t>
      </w:r>
      <w:r w:rsidR="007C67D8">
        <w:rPr>
          <w:lang w:bidi="he-IL"/>
        </w:rPr>
        <w:t xml:space="preserve">both the empirical method of a contingency table and the digital visualization of the texts. </w:t>
      </w:r>
      <w:r w:rsidR="007E092E">
        <w:rPr>
          <w:lang w:bidi="he-IL"/>
        </w:rPr>
        <w:t>Specifically, I have argued that Matthew and Luke preserve a statement about the Son of Man having authority to forgive sins, as found in Mark</w:t>
      </w:r>
      <w:r w:rsidR="006900EB">
        <w:rPr>
          <w:lang w:bidi="he-IL"/>
        </w:rPr>
        <w:t xml:space="preserve">, but that both slightly alter the contexts in which this saying appears in order to </w:t>
      </w:r>
      <w:r w:rsidR="006B3A25">
        <w:rPr>
          <w:lang w:bidi="he-IL"/>
        </w:rPr>
        <w:t xml:space="preserve">cohere </w:t>
      </w:r>
      <w:r w:rsidR="00143673">
        <w:rPr>
          <w:lang w:bidi="he-IL"/>
        </w:rPr>
        <w:t xml:space="preserve">this statement </w:t>
      </w:r>
      <w:r w:rsidR="006B3A25">
        <w:rPr>
          <w:lang w:bidi="he-IL"/>
        </w:rPr>
        <w:t xml:space="preserve">with their </w:t>
      </w:r>
      <w:r w:rsidR="0055324A">
        <w:rPr>
          <w:lang w:bidi="he-IL"/>
        </w:rPr>
        <w:t xml:space="preserve">larger </w:t>
      </w:r>
      <w:r w:rsidR="006B3A25">
        <w:rPr>
          <w:lang w:bidi="he-IL"/>
        </w:rPr>
        <w:t>respective literary programs for Jesus’ messianic identification within his ministry</w:t>
      </w:r>
      <w:r w:rsidR="0055324A">
        <w:rPr>
          <w:lang w:bidi="he-IL"/>
        </w:rPr>
        <w:t xml:space="preserve">. On the one hand, Matthew alters his presentation of the statement and its context to </w:t>
      </w:r>
      <w:r w:rsidR="003B04E9">
        <w:rPr>
          <w:lang w:bidi="he-IL"/>
        </w:rPr>
        <w:t xml:space="preserve">emphasize Jesus’ role as Emmanuel, God with human beings, and </w:t>
      </w:r>
      <w:r w:rsidR="008D7EF8">
        <w:rPr>
          <w:lang w:bidi="he-IL"/>
        </w:rPr>
        <w:t xml:space="preserve">God’s Messiah who forgives sins. On the other hand, Luke alters his presentation of the statement and its context to emphasize </w:t>
      </w:r>
      <w:r w:rsidR="00A51E12">
        <w:rPr>
          <w:lang w:bidi="he-IL"/>
        </w:rPr>
        <w:t xml:space="preserve">Jesus’ fulfilment of a prophetic </w:t>
      </w:r>
      <w:r w:rsidR="00A51E12">
        <w:rPr>
          <w:lang w:bidi="he-IL"/>
        </w:rPr>
        <w:lastRenderedPageBreak/>
        <w:t>promise for the release of captives at a particular time, viz., today (</w:t>
      </w:r>
      <w:r w:rsidR="00A51E12">
        <w:rPr>
          <w:lang w:val="el-GR" w:bidi="he-IL"/>
        </w:rPr>
        <w:t>ση</w:t>
      </w:r>
      <w:r w:rsidR="00A51E12" w:rsidRPr="00A51E12">
        <w:rPr>
          <w:lang w:bidi="he-IL"/>
        </w:rPr>
        <w:t>́</w:t>
      </w:r>
      <w:r w:rsidR="00A51E12">
        <w:rPr>
          <w:lang w:val="el-GR" w:bidi="he-IL"/>
        </w:rPr>
        <w:t>μερον</w:t>
      </w:r>
      <w:r w:rsidR="00A51E12">
        <w:rPr>
          <w:lang w:bidi="he-IL"/>
        </w:rPr>
        <w:t>).</w:t>
      </w:r>
      <w:r w:rsidR="002A3875">
        <w:rPr>
          <w:lang w:bidi="he-IL"/>
        </w:rPr>
        <w:t xml:space="preserve"> The goals of Matthew and Luke in this regard are parallel to one another</w:t>
      </w:r>
      <w:r w:rsidR="00C64365">
        <w:rPr>
          <w:lang w:bidi="he-IL"/>
        </w:rPr>
        <w:t xml:space="preserve"> in that both seek to present their gospel accounts in ways that cohere with their programmatic expectations for Jesus’ messianic identity. </w:t>
      </w:r>
      <w:r w:rsidR="00D70014">
        <w:rPr>
          <w:lang w:bidi="he-IL"/>
        </w:rPr>
        <w:t>Their respective redactions of Mark, therefore, are parallel</w:t>
      </w:r>
      <w:r w:rsidR="000008B2">
        <w:rPr>
          <w:lang w:bidi="he-IL"/>
        </w:rPr>
        <w:t xml:space="preserve">, but at the same time are unique to the Matthean and Lukan </w:t>
      </w:r>
      <w:r w:rsidR="002206F5">
        <w:rPr>
          <w:lang w:bidi="he-IL"/>
        </w:rPr>
        <w:t>literary agendas.</w:t>
      </w:r>
    </w:p>
    <w:p w14:paraId="776EC09A" w14:textId="765A84CC" w:rsidR="00125B9D" w:rsidRPr="00A51E12" w:rsidRDefault="00125B9D" w:rsidP="003360A1">
      <w:pPr>
        <w:rPr>
          <w:lang w:bidi="he-IL"/>
        </w:rPr>
        <w:sectPr w:rsidR="00125B9D" w:rsidRPr="00A51E12" w:rsidSect="00D9574C">
          <w:pgSz w:w="12240" w:h="15840"/>
          <w:pgMar w:top="1440" w:right="1440" w:bottom="1440" w:left="1440" w:header="720" w:footer="720" w:gutter="0"/>
          <w:pgNumType w:start="1"/>
          <w:cols w:space="720"/>
          <w:docGrid w:linePitch="360"/>
        </w:sectPr>
      </w:pPr>
      <w:r>
        <w:rPr>
          <w:lang w:bidi="he-IL"/>
        </w:rPr>
        <w:tab/>
        <w:t>Using a</w:t>
      </w:r>
      <w:r w:rsidR="00677155">
        <w:rPr>
          <w:lang w:bidi="he-IL"/>
        </w:rPr>
        <w:t xml:space="preserve"> </w:t>
      </w:r>
      <w:r>
        <w:rPr>
          <w:lang w:bidi="he-IL"/>
        </w:rPr>
        <w:t xml:space="preserve">statistical approach </w:t>
      </w:r>
      <w:r w:rsidR="00677155">
        <w:rPr>
          <w:lang w:bidi="he-IL"/>
        </w:rPr>
        <w:t>h</w:t>
      </w:r>
      <w:r>
        <w:rPr>
          <w:lang w:bidi="he-IL"/>
        </w:rPr>
        <w:t>as he</w:t>
      </w:r>
      <w:r w:rsidR="00677155">
        <w:rPr>
          <w:lang w:bidi="he-IL"/>
        </w:rPr>
        <w:t>l</w:t>
      </w:r>
      <w:r>
        <w:rPr>
          <w:lang w:bidi="he-IL"/>
        </w:rPr>
        <w:t>p</w:t>
      </w:r>
      <w:r w:rsidR="00677155">
        <w:rPr>
          <w:lang w:bidi="he-IL"/>
        </w:rPr>
        <w:t>ed</w:t>
      </w:r>
      <w:r>
        <w:rPr>
          <w:lang w:bidi="he-IL"/>
        </w:rPr>
        <w:t xml:space="preserve"> me to make these interpretive claims. </w:t>
      </w:r>
      <w:r w:rsidR="00C4774F">
        <w:rPr>
          <w:lang w:bidi="he-IL"/>
        </w:rPr>
        <w:t xml:space="preserve">This is thus evidence of the usefulness for engaging in empirical data analysis of the </w:t>
      </w:r>
      <w:r w:rsidR="00677155">
        <w:rPr>
          <w:lang w:bidi="he-IL"/>
        </w:rPr>
        <w:t>Synoptic Gospels beyon</w:t>
      </w:r>
      <w:r w:rsidR="0097101D">
        <w:rPr>
          <w:lang w:bidi="he-IL"/>
        </w:rPr>
        <w:t xml:space="preserve">d </w:t>
      </w:r>
      <w:r w:rsidR="00B43A5A">
        <w:rPr>
          <w:lang w:bidi="he-IL"/>
        </w:rPr>
        <w:t>it</w:t>
      </w:r>
      <w:r w:rsidR="00F27648">
        <w:rPr>
          <w:lang w:bidi="he-IL"/>
        </w:rPr>
        <w:t>s</w:t>
      </w:r>
      <w:r w:rsidR="00B43A5A">
        <w:rPr>
          <w:lang w:bidi="he-IL"/>
        </w:rPr>
        <w:t xml:space="preserve"> application to the Synoptic Problem.</w:t>
      </w:r>
    </w:p>
    <w:p w14:paraId="46F78C8D" w14:textId="0E429D13" w:rsidR="00D41157" w:rsidRPr="00C71DDD" w:rsidRDefault="00C71DDD" w:rsidP="00C71DDD">
      <w:pPr>
        <w:jc w:val="center"/>
        <w:rPr>
          <w:b/>
          <w:bCs/>
          <w:lang w:bidi="he-IL"/>
        </w:rPr>
      </w:pPr>
      <w:r w:rsidRPr="00C71DDD">
        <w:rPr>
          <w:b/>
          <w:bCs/>
          <w:lang w:bidi="he-IL"/>
        </w:rPr>
        <w:lastRenderedPageBreak/>
        <w:t>Appendix</w:t>
      </w:r>
    </w:p>
    <w:p w14:paraId="082949FF" w14:textId="6B783129" w:rsidR="005A51FF" w:rsidRDefault="005A51FF" w:rsidP="005A51FF">
      <w:pPr>
        <w:pStyle w:val="Caption"/>
        <w:keepNext/>
        <w:rPr>
          <w:b/>
          <w:bCs/>
          <w:i w:val="0"/>
          <w:iCs w:val="0"/>
          <w:color w:val="auto"/>
          <w:sz w:val="24"/>
          <w:szCs w:val="24"/>
        </w:rPr>
      </w:pPr>
      <w:r>
        <w:rPr>
          <w:b/>
          <w:bCs/>
          <w:i w:val="0"/>
          <w:iCs w:val="0"/>
          <w:color w:val="auto"/>
          <w:sz w:val="24"/>
          <w:szCs w:val="24"/>
        </w:rPr>
        <w:t xml:space="preserve">Table 2: </w:t>
      </w:r>
      <w:r>
        <w:rPr>
          <w:i w:val="0"/>
          <w:iCs w:val="0"/>
          <w:color w:val="auto"/>
          <w:sz w:val="24"/>
          <w:szCs w:val="24"/>
        </w:rPr>
        <w:t xml:space="preserve">Contingency for the Beelzebul Controversy </w:t>
      </w:r>
      <w:r w:rsidR="005256C5">
        <w:rPr>
          <w:i w:val="0"/>
          <w:iCs w:val="0"/>
          <w:color w:val="auto"/>
          <w:sz w:val="24"/>
          <w:szCs w:val="24"/>
        </w:rPr>
        <w:t>(Mt 12:</w:t>
      </w:r>
      <w:r w:rsidR="005575A3">
        <w:rPr>
          <w:i w:val="0"/>
          <w:iCs w:val="0"/>
          <w:color w:val="auto"/>
          <w:sz w:val="24"/>
          <w:szCs w:val="24"/>
        </w:rPr>
        <w:t>22–30; Mk 3:22–27; Lk 11:14–23)</w:t>
      </w:r>
      <w:r w:rsidR="005256C5">
        <w:rPr>
          <w:i w:val="0"/>
          <w:iCs w:val="0"/>
          <w:color w:val="auto"/>
          <w:sz w:val="24"/>
          <w:szCs w:val="24"/>
        </w:rPr>
        <w:t xml:space="preserve"> </w:t>
      </w:r>
      <w:r>
        <w:rPr>
          <w:i w:val="0"/>
          <w:iCs w:val="0"/>
          <w:color w:val="auto"/>
          <w:sz w:val="24"/>
          <w:szCs w:val="24"/>
        </w:rPr>
        <w:t>(Form/Lemma)</w:t>
      </w:r>
      <w:r>
        <w:rPr>
          <w:rStyle w:val="FootnoteReference"/>
          <w:i w:val="0"/>
          <w:iCs w:val="0"/>
          <w:color w:val="auto"/>
          <w:sz w:val="24"/>
          <w:szCs w:val="24"/>
        </w:rPr>
        <w:footnoteReference w:id="11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5A51FF" w14:paraId="5F5FB15C" w14:textId="77777777" w:rsidTr="0091354F">
        <w:tc>
          <w:tcPr>
            <w:tcW w:w="1870" w:type="dxa"/>
            <w:tcBorders>
              <w:top w:val="single" w:sz="4" w:space="0" w:color="auto"/>
              <w:left w:val="nil"/>
              <w:bottom w:val="nil"/>
              <w:right w:val="nil"/>
            </w:tcBorders>
            <w:vAlign w:val="center"/>
          </w:tcPr>
          <w:p w14:paraId="330881FF" w14:textId="77777777" w:rsidR="005A51FF" w:rsidRDefault="005A51FF" w:rsidP="0091354F">
            <w:pPr>
              <w:jc w:val="center"/>
              <w:rPr>
                <w:lang w:bidi="he-IL"/>
              </w:rPr>
            </w:pPr>
          </w:p>
        </w:tc>
        <w:tc>
          <w:tcPr>
            <w:tcW w:w="1870" w:type="dxa"/>
            <w:tcBorders>
              <w:top w:val="single" w:sz="4" w:space="0" w:color="auto"/>
              <w:left w:val="nil"/>
              <w:bottom w:val="nil"/>
              <w:right w:val="single" w:sz="4" w:space="0" w:color="auto"/>
            </w:tcBorders>
            <w:vAlign w:val="center"/>
          </w:tcPr>
          <w:p w14:paraId="686FDC9D" w14:textId="77777777" w:rsidR="005A51FF" w:rsidRDefault="005A51FF" w:rsidP="0091354F">
            <w:pPr>
              <w:jc w:val="center"/>
              <w:rPr>
                <w:lang w:bidi="he-IL"/>
              </w:rPr>
            </w:pPr>
          </w:p>
        </w:tc>
        <w:tc>
          <w:tcPr>
            <w:tcW w:w="3740" w:type="dxa"/>
            <w:gridSpan w:val="2"/>
            <w:tcBorders>
              <w:top w:val="single" w:sz="4" w:space="0" w:color="auto"/>
              <w:left w:val="single" w:sz="4" w:space="0" w:color="auto"/>
              <w:bottom w:val="nil"/>
              <w:right w:val="single" w:sz="4" w:space="0" w:color="auto"/>
            </w:tcBorders>
            <w:vAlign w:val="center"/>
            <w:hideMark/>
          </w:tcPr>
          <w:p w14:paraId="266F7018" w14:textId="77777777" w:rsidR="005A51FF" w:rsidRDefault="005A51FF" w:rsidP="0091354F">
            <w:pPr>
              <w:jc w:val="center"/>
              <w:rPr>
                <w:lang w:bidi="he-IL"/>
              </w:rPr>
            </w:pPr>
            <w:r>
              <w:rPr>
                <w:lang w:bidi="he-IL"/>
              </w:rPr>
              <w:t>Luke</w:t>
            </w:r>
          </w:p>
        </w:tc>
        <w:tc>
          <w:tcPr>
            <w:tcW w:w="1870" w:type="dxa"/>
            <w:tcBorders>
              <w:top w:val="single" w:sz="4" w:space="0" w:color="auto"/>
              <w:left w:val="single" w:sz="4" w:space="0" w:color="auto"/>
              <w:bottom w:val="nil"/>
              <w:right w:val="nil"/>
            </w:tcBorders>
            <w:vAlign w:val="center"/>
          </w:tcPr>
          <w:p w14:paraId="1C2C0244" w14:textId="77777777" w:rsidR="005A51FF" w:rsidRDefault="005A51FF" w:rsidP="0091354F">
            <w:pPr>
              <w:jc w:val="center"/>
              <w:rPr>
                <w:lang w:bidi="he-IL"/>
              </w:rPr>
            </w:pPr>
          </w:p>
        </w:tc>
      </w:tr>
      <w:tr w:rsidR="005A51FF" w14:paraId="1C591EB2" w14:textId="77777777" w:rsidTr="0091354F">
        <w:tc>
          <w:tcPr>
            <w:tcW w:w="1870" w:type="dxa"/>
            <w:tcBorders>
              <w:top w:val="nil"/>
              <w:left w:val="nil"/>
              <w:bottom w:val="single" w:sz="4" w:space="0" w:color="auto"/>
              <w:right w:val="nil"/>
            </w:tcBorders>
            <w:vAlign w:val="center"/>
          </w:tcPr>
          <w:p w14:paraId="7523FB46" w14:textId="77777777" w:rsidR="005A51FF" w:rsidRDefault="005A51FF" w:rsidP="0091354F">
            <w:pPr>
              <w:jc w:val="center"/>
              <w:rPr>
                <w:lang w:bidi="he-IL"/>
              </w:rPr>
            </w:pPr>
          </w:p>
        </w:tc>
        <w:tc>
          <w:tcPr>
            <w:tcW w:w="1870" w:type="dxa"/>
            <w:tcBorders>
              <w:top w:val="nil"/>
              <w:left w:val="nil"/>
              <w:bottom w:val="single" w:sz="4" w:space="0" w:color="auto"/>
              <w:right w:val="single" w:sz="4" w:space="0" w:color="auto"/>
            </w:tcBorders>
            <w:vAlign w:val="center"/>
          </w:tcPr>
          <w:p w14:paraId="006B9901" w14:textId="77777777" w:rsidR="005A51FF" w:rsidRDefault="005A51FF" w:rsidP="0091354F">
            <w:pPr>
              <w:jc w:val="center"/>
              <w:rPr>
                <w:lang w:bidi="he-IL"/>
              </w:rPr>
            </w:pPr>
          </w:p>
        </w:tc>
        <w:tc>
          <w:tcPr>
            <w:tcW w:w="1870" w:type="dxa"/>
            <w:tcBorders>
              <w:top w:val="nil"/>
              <w:left w:val="single" w:sz="4" w:space="0" w:color="auto"/>
              <w:bottom w:val="single" w:sz="4" w:space="0" w:color="auto"/>
              <w:right w:val="nil"/>
            </w:tcBorders>
            <w:vAlign w:val="center"/>
            <w:hideMark/>
          </w:tcPr>
          <w:p w14:paraId="3AD9767B" w14:textId="77777777" w:rsidR="005A51FF" w:rsidRDefault="005A51FF" w:rsidP="0091354F">
            <w:pPr>
              <w:jc w:val="center"/>
              <w:rPr>
                <w:lang w:bidi="he-IL"/>
              </w:rPr>
            </w:pPr>
            <w:r>
              <w:rPr>
                <w:lang w:bidi="he-IL"/>
              </w:rPr>
              <w:t>0</w:t>
            </w:r>
          </w:p>
        </w:tc>
        <w:tc>
          <w:tcPr>
            <w:tcW w:w="1870" w:type="dxa"/>
            <w:tcBorders>
              <w:top w:val="nil"/>
              <w:left w:val="nil"/>
              <w:bottom w:val="single" w:sz="4" w:space="0" w:color="auto"/>
              <w:right w:val="single" w:sz="4" w:space="0" w:color="auto"/>
            </w:tcBorders>
            <w:vAlign w:val="center"/>
            <w:hideMark/>
          </w:tcPr>
          <w:p w14:paraId="43A33296" w14:textId="77777777" w:rsidR="005A51FF" w:rsidRDefault="005A51FF"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66D88AFE" w14:textId="77777777" w:rsidR="005A51FF" w:rsidRDefault="005A51FF" w:rsidP="0091354F">
            <w:pPr>
              <w:jc w:val="center"/>
              <w:rPr>
                <w:lang w:bidi="he-IL"/>
              </w:rPr>
            </w:pPr>
            <w:r>
              <w:rPr>
                <w:lang w:bidi="he-IL"/>
              </w:rPr>
              <w:t>Total</w:t>
            </w:r>
          </w:p>
        </w:tc>
      </w:tr>
      <w:tr w:rsidR="005A51FF" w14:paraId="7AB7A0C1" w14:textId="77777777" w:rsidTr="0091354F">
        <w:tc>
          <w:tcPr>
            <w:tcW w:w="1870" w:type="dxa"/>
            <w:vMerge w:val="restart"/>
            <w:tcBorders>
              <w:top w:val="single" w:sz="4" w:space="0" w:color="auto"/>
              <w:left w:val="nil"/>
              <w:bottom w:val="single" w:sz="4" w:space="0" w:color="auto"/>
              <w:right w:val="nil"/>
            </w:tcBorders>
            <w:vAlign w:val="center"/>
            <w:hideMark/>
          </w:tcPr>
          <w:p w14:paraId="21FB6623" w14:textId="77777777" w:rsidR="005A51FF" w:rsidRDefault="005A51FF" w:rsidP="0091354F">
            <w:pPr>
              <w:jc w:val="center"/>
              <w:rPr>
                <w:lang w:bidi="he-IL"/>
              </w:rPr>
            </w:pPr>
            <w:r>
              <w:rPr>
                <w:lang w:bidi="he-IL"/>
              </w:rPr>
              <w:t>Matthew</w:t>
            </w:r>
          </w:p>
        </w:tc>
        <w:tc>
          <w:tcPr>
            <w:tcW w:w="1870" w:type="dxa"/>
            <w:tcBorders>
              <w:top w:val="single" w:sz="4" w:space="0" w:color="auto"/>
              <w:left w:val="nil"/>
              <w:bottom w:val="nil"/>
              <w:right w:val="single" w:sz="4" w:space="0" w:color="auto"/>
            </w:tcBorders>
            <w:vAlign w:val="center"/>
            <w:hideMark/>
          </w:tcPr>
          <w:p w14:paraId="448A0D87" w14:textId="77777777" w:rsidR="005A51FF" w:rsidRDefault="005A51FF" w:rsidP="0091354F">
            <w:pPr>
              <w:jc w:val="center"/>
              <w:rPr>
                <w:lang w:bidi="he-IL"/>
              </w:rPr>
            </w:pPr>
            <w:r>
              <w:rPr>
                <w:lang w:bidi="he-IL"/>
              </w:rPr>
              <w:t>0</w:t>
            </w:r>
          </w:p>
          <w:p w14:paraId="7F35D273" w14:textId="77777777" w:rsidR="005A51FF" w:rsidRDefault="005A51FF" w:rsidP="0091354F">
            <w:pPr>
              <w:jc w:val="center"/>
              <w:rPr>
                <w:lang w:bidi="he-IL"/>
              </w:rPr>
            </w:pPr>
          </w:p>
          <w:p w14:paraId="4ED780E2" w14:textId="77777777" w:rsidR="005A51FF" w:rsidRDefault="005A51FF"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3C7848BA" w14:textId="77777777" w:rsidR="005A51FF" w:rsidRDefault="005A51FF" w:rsidP="0091354F">
            <w:pPr>
              <w:jc w:val="center"/>
              <w:rPr>
                <w:color w:val="000000"/>
              </w:rPr>
            </w:pPr>
            <w:r>
              <w:rPr>
                <w:color w:val="000000"/>
              </w:rPr>
              <w:t>55 / 45</w:t>
            </w:r>
          </w:p>
          <w:p w14:paraId="6D8ACD40" w14:textId="77777777" w:rsidR="005A51FF" w:rsidRDefault="005A51FF" w:rsidP="0091354F">
            <w:pPr>
              <w:jc w:val="center"/>
              <w:rPr>
                <w:color w:val="000000"/>
              </w:rPr>
            </w:pPr>
            <w:r>
              <w:rPr>
                <w:color w:val="000000"/>
              </w:rPr>
              <w:t>(45.95 / 32.86)</w:t>
            </w:r>
          </w:p>
          <w:p w14:paraId="00F10D9C" w14:textId="77777777" w:rsidR="005A51FF" w:rsidRDefault="005A51FF" w:rsidP="0091354F">
            <w:pPr>
              <w:jc w:val="center"/>
              <w:rPr>
                <w:color w:val="000000"/>
              </w:rPr>
            </w:pPr>
          </w:p>
          <w:p w14:paraId="3AA3C8CD" w14:textId="77777777" w:rsidR="005A51FF" w:rsidRDefault="005A51FF" w:rsidP="0091354F">
            <w:pPr>
              <w:jc w:val="center"/>
              <w:rPr>
                <w:lang w:bidi="he-IL"/>
              </w:rPr>
            </w:pPr>
          </w:p>
        </w:tc>
        <w:tc>
          <w:tcPr>
            <w:tcW w:w="1870" w:type="dxa"/>
            <w:tcBorders>
              <w:top w:val="single" w:sz="4" w:space="0" w:color="auto"/>
              <w:left w:val="nil"/>
              <w:bottom w:val="nil"/>
              <w:right w:val="single" w:sz="4" w:space="0" w:color="auto"/>
            </w:tcBorders>
            <w:vAlign w:val="center"/>
            <w:hideMark/>
          </w:tcPr>
          <w:p w14:paraId="385B43FB" w14:textId="77777777" w:rsidR="005A51FF" w:rsidRDefault="005A51FF" w:rsidP="0091354F">
            <w:pPr>
              <w:jc w:val="center"/>
              <w:rPr>
                <w:color w:val="000000"/>
              </w:rPr>
            </w:pPr>
            <w:r>
              <w:rPr>
                <w:color w:val="000000"/>
              </w:rPr>
              <w:t>2 / 1</w:t>
            </w:r>
          </w:p>
          <w:p w14:paraId="204BBB85" w14:textId="77777777" w:rsidR="005A51FF" w:rsidRDefault="005A51FF" w:rsidP="0091354F">
            <w:pPr>
              <w:jc w:val="center"/>
              <w:rPr>
                <w:color w:val="000000"/>
              </w:rPr>
            </w:pPr>
            <w:r>
              <w:rPr>
                <w:color w:val="000000"/>
              </w:rPr>
              <w:t>(11.05 / 13.14)</w:t>
            </w:r>
          </w:p>
          <w:p w14:paraId="14658DCC" w14:textId="77777777" w:rsidR="005A51FF" w:rsidRDefault="005A51FF" w:rsidP="0091354F">
            <w:pPr>
              <w:jc w:val="center"/>
              <w:rPr>
                <w:color w:val="000000"/>
              </w:rPr>
            </w:pPr>
          </w:p>
          <w:p w14:paraId="16FD9298" w14:textId="77777777" w:rsidR="005A51FF" w:rsidRDefault="005A51FF"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18ED8FA3" w14:textId="77777777" w:rsidR="005A51FF" w:rsidRDefault="005A51FF" w:rsidP="0091354F">
            <w:pPr>
              <w:jc w:val="center"/>
              <w:rPr>
                <w:color w:val="000000"/>
              </w:rPr>
            </w:pPr>
            <w:r>
              <w:rPr>
                <w:color w:val="000000"/>
              </w:rPr>
              <w:t>57 / 46</w:t>
            </w:r>
          </w:p>
          <w:p w14:paraId="6CAC1F74" w14:textId="77777777" w:rsidR="005A51FF" w:rsidRDefault="005A51FF" w:rsidP="0091354F">
            <w:pPr>
              <w:jc w:val="center"/>
              <w:rPr>
                <w:color w:val="000000"/>
              </w:rPr>
            </w:pPr>
          </w:p>
          <w:p w14:paraId="223F8AAC" w14:textId="77777777" w:rsidR="005A51FF" w:rsidRDefault="005A51FF" w:rsidP="0091354F">
            <w:pPr>
              <w:jc w:val="center"/>
              <w:rPr>
                <w:lang w:bidi="he-IL"/>
              </w:rPr>
            </w:pPr>
          </w:p>
        </w:tc>
      </w:tr>
      <w:tr w:rsidR="005A51FF" w14:paraId="660B77C7" w14:textId="77777777" w:rsidTr="0091354F">
        <w:tc>
          <w:tcPr>
            <w:tcW w:w="0" w:type="auto"/>
            <w:vMerge/>
            <w:tcBorders>
              <w:top w:val="single" w:sz="4" w:space="0" w:color="auto"/>
              <w:left w:val="nil"/>
              <w:bottom w:val="single" w:sz="4" w:space="0" w:color="auto"/>
              <w:right w:val="nil"/>
            </w:tcBorders>
            <w:vAlign w:val="center"/>
            <w:hideMark/>
          </w:tcPr>
          <w:p w14:paraId="719EF5C2" w14:textId="77777777" w:rsidR="005A51FF" w:rsidRDefault="005A51FF" w:rsidP="0091354F">
            <w:pPr>
              <w:rPr>
                <w:lang w:bidi="he-IL"/>
              </w:rPr>
            </w:pPr>
          </w:p>
        </w:tc>
        <w:tc>
          <w:tcPr>
            <w:tcW w:w="1870" w:type="dxa"/>
            <w:tcBorders>
              <w:top w:val="nil"/>
              <w:left w:val="nil"/>
              <w:bottom w:val="single" w:sz="4" w:space="0" w:color="auto"/>
              <w:right w:val="single" w:sz="4" w:space="0" w:color="auto"/>
            </w:tcBorders>
            <w:vAlign w:val="center"/>
            <w:hideMark/>
          </w:tcPr>
          <w:p w14:paraId="7A47182C" w14:textId="77777777" w:rsidR="005A51FF" w:rsidRDefault="005A51FF"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14774433" w14:textId="77777777" w:rsidR="005A51FF" w:rsidRDefault="005A51FF" w:rsidP="0091354F">
            <w:pPr>
              <w:jc w:val="center"/>
              <w:rPr>
                <w:color w:val="000000"/>
              </w:rPr>
            </w:pPr>
            <w:r>
              <w:rPr>
                <w:color w:val="000000"/>
              </w:rPr>
              <w:t>24 / 25</w:t>
            </w:r>
          </w:p>
          <w:p w14:paraId="3E8027E0" w14:textId="77777777" w:rsidR="005A51FF" w:rsidRDefault="005A51FF" w:rsidP="0091354F">
            <w:pPr>
              <w:jc w:val="center"/>
              <w:rPr>
                <w:lang w:bidi="he-IL"/>
              </w:rPr>
            </w:pPr>
            <w:r>
              <w:rPr>
                <w:color w:val="000000"/>
              </w:rPr>
              <w:t>(33.05 / 37.14)</w:t>
            </w:r>
          </w:p>
        </w:tc>
        <w:tc>
          <w:tcPr>
            <w:tcW w:w="1870" w:type="dxa"/>
            <w:tcBorders>
              <w:top w:val="nil"/>
              <w:left w:val="nil"/>
              <w:bottom w:val="single" w:sz="4" w:space="0" w:color="auto"/>
              <w:right w:val="single" w:sz="4" w:space="0" w:color="auto"/>
            </w:tcBorders>
            <w:vAlign w:val="center"/>
            <w:hideMark/>
          </w:tcPr>
          <w:p w14:paraId="5586A3ED" w14:textId="77777777" w:rsidR="005A51FF" w:rsidRDefault="005A51FF" w:rsidP="0091354F">
            <w:pPr>
              <w:jc w:val="center"/>
              <w:rPr>
                <w:color w:val="000000"/>
              </w:rPr>
            </w:pPr>
            <w:r>
              <w:rPr>
                <w:color w:val="000000"/>
              </w:rPr>
              <w:t>17 / 27</w:t>
            </w:r>
          </w:p>
          <w:p w14:paraId="294B95FD" w14:textId="77777777" w:rsidR="005A51FF" w:rsidRDefault="005A51FF" w:rsidP="0091354F">
            <w:pPr>
              <w:jc w:val="center"/>
              <w:rPr>
                <w:lang w:bidi="he-IL"/>
              </w:rPr>
            </w:pPr>
            <w:r>
              <w:rPr>
                <w:color w:val="000000"/>
              </w:rPr>
              <w:t>(7.95 / 14.86)</w:t>
            </w:r>
          </w:p>
        </w:tc>
        <w:tc>
          <w:tcPr>
            <w:tcW w:w="1870" w:type="dxa"/>
            <w:tcBorders>
              <w:top w:val="nil"/>
              <w:left w:val="single" w:sz="4" w:space="0" w:color="auto"/>
              <w:bottom w:val="single" w:sz="4" w:space="0" w:color="auto"/>
              <w:right w:val="nil"/>
            </w:tcBorders>
            <w:vAlign w:val="center"/>
            <w:hideMark/>
          </w:tcPr>
          <w:p w14:paraId="53C5CB0C" w14:textId="77777777" w:rsidR="005A51FF" w:rsidRDefault="005A51FF" w:rsidP="0091354F">
            <w:pPr>
              <w:jc w:val="center"/>
              <w:rPr>
                <w:lang w:bidi="he-IL"/>
              </w:rPr>
            </w:pPr>
            <w:r>
              <w:rPr>
                <w:color w:val="000000"/>
              </w:rPr>
              <w:t>41 / 52</w:t>
            </w:r>
          </w:p>
        </w:tc>
      </w:tr>
      <w:tr w:rsidR="005A51FF" w14:paraId="58C280AE" w14:textId="77777777" w:rsidTr="0091354F">
        <w:tc>
          <w:tcPr>
            <w:tcW w:w="1870" w:type="dxa"/>
            <w:tcBorders>
              <w:top w:val="single" w:sz="4" w:space="0" w:color="auto"/>
              <w:left w:val="nil"/>
              <w:bottom w:val="single" w:sz="4" w:space="0" w:color="auto"/>
              <w:right w:val="nil"/>
            </w:tcBorders>
            <w:vAlign w:val="center"/>
          </w:tcPr>
          <w:p w14:paraId="60FF0720" w14:textId="77777777" w:rsidR="005A51FF" w:rsidRDefault="005A51FF" w:rsidP="0091354F">
            <w:pPr>
              <w:jc w:val="center"/>
              <w:rPr>
                <w:lang w:bidi="he-IL"/>
              </w:rPr>
            </w:pPr>
          </w:p>
        </w:tc>
        <w:tc>
          <w:tcPr>
            <w:tcW w:w="1870" w:type="dxa"/>
            <w:tcBorders>
              <w:top w:val="single" w:sz="4" w:space="0" w:color="auto"/>
              <w:left w:val="nil"/>
              <w:bottom w:val="single" w:sz="4" w:space="0" w:color="auto"/>
              <w:right w:val="single" w:sz="4" w:space="0" w:color="auto"/>
            </w:tcBorders>
            <w:vAlign w:val="center"/>
            <w:hideMark/>
          </w:tcPr>
          <w:p w14:paraId="32C13DCD" w14:textId="77777777" w:rsidR="005A51FF" w:rsidRDefault="005A51FF" w:rsidP="0091354F">
            <w:pPr>
              <w:jc w:val="center"/>
              <w:rPr>
                <w:lang w:bidi="he-IL"/>
              </w:rPr>
            </w:pPr>
            <w:r>
              <w:rPr>
                <w:lang w:bidi="he-IL"/>
              </w:rPr>
              <w:t>Total</w:t>
            </w:r>
          </w:p>
        </w:tc>
        <w:tc>
          <w:tcPr>
            <w:tcW w:w="1870" w:type="dxa"/>
            <w:tcBorders>
              <w:top w:val="single" w:sz="4" w:space="0" w:color="auto"/>
              <w:left w:val="single" w:sz="4" w:space="0" w:color="auto"/>
              <w:bottom w:val="single" w:sz="4" w:space="0" w:color="auto"/>
              <w:right w:val="nil"/>
            </w:tcBorders>
            <w:vAlign w:val="center"/>
            <w:hideMark/>
          </w:tcPr>
          <w:p w14:paraId="3A6CBFE2" w14:textId="77777777" w:rsidR="005A51FF" w:rsidRDefault="005A51FF" w:rsidP="0091354F">
            <w:pPr>
              <w:jc w:val="center"/>
              <w:rPr>
                <w:lang w:bidi="he-IL"/>
              </w:rPr>
            </w:pPr>
            <w:r>
              <w:rPr>
                <w:color w:val="000000"/>
              </w:rPr>
              <w:t>79 / 70</w:t>
            </w:r>
          </w:p>
        </w:tc>
        <w:tc>
          <w:tcPr>
            <w:tcW w:w="1870" w:type="dxa"/>
            <w:tcBorders>
              <w:top w:val="single" w:sz="4" w:space="0" w:color="auto"/>
              <w:left w:val="nil"/>
              <w:bottom w:val="single" w:sz="4" w:space="0" w:color="auto"/>
              <w:right w:val="single" w:sz="4" w:space="0" w:color="auto"/>
            </w:tcBorders>
            <w:vAlign w:val="center"/>
            <w:hideMark/>
          </w:tcPr>
          <w:p w14:paraId="790A15D8" w14:textId="77777777" w:rsidR="005A51FF" w:rsidRDefault="005A51FF" w:rsidP="0091354F">
            <w:pPr>
              <w:jc w:val="center"/>
              <w:rPr>
                <w:lang w:bidi="he-IL"/>
              </w:rPr>
            </w:pPr>
            <w:r>
              <w:rPr>
                <w:lang w:bidi="he-IL"/>
              </w:rPr>
              <w:t>19 / 28</w:t>
            </w:r>
          </w:p>
        </w:tc>
        <w:tc>
          <w:tcPr>
            <w:tcW w:w="1870" w:type="dxa"/>
            <w:tcBorders>
              <w:top w:val="single" w:sz="4" w:space="0" w:color="auto"/>
              <w:left w:val="single" w:sz="4" w:space="0" w:color="auto"/>
              <w:bottom w:val="single" w:sz="4" w:space="0" w:color="auto"/>
              <w:right w:val="nil"/>
            </w:tcBorders>
            <w:vAlign w:val="center"/>
            <w:hideMark/>
          </w:tcPr>
          <w:p w14:paraId="12F4EA05" w14:textId="77777777" w:rsidR="005A51FF" w:rsidRDefault="005A51FF" w:rsidP="0091354F">
            <w:pPr>
              <w:jc w:val="center"/>
              <w:rPr>
                <w:lang w:bidi="he-IL"/>
              </w:rPr>
            </w:pPr>
            <w:r>
              <w:rPr>
                <w:color w:val="000000"/>
              </w:rPr>
              <w:t>98</w:t>
            </w:r>
          </w:p>
        </w:tc>
      </w:tr>
    </w:tbl>
    <w:p w14:paraId="2C909FB8" w14:textId="6BB39DD6" w:rsidR="00C71DDD" w:rsidRDefault="00C71DDD" w:rsidP="00C71DDD">
      <w:pPr>
        <w:rPr>
          <w:lang w:bidi="he-IL"/>
        </w:rPr>
      </w:pPr>
    </w:p>
    <w:p w14:paraId="64BB1BD7" w14:textId="77777777" w:rsidR="00985F59" w:rsidRDefault="00985F59" w:rsidP="00C71DDD">
      <w:pPr>
        <w:rPr>
          <w:lang w:bidi="he-IL"/>
        </w:rPr>
      </w:pPr>
    </w:p>
    <w:p w14:paraId="37E1C5A9" w14:textId="77777777" w:rsidR="00652A54" w:rsidRDefault="00652A54" w:rsidP="00652A54">
      <w:pPr>
        <w:pStyle w:val="Caption"/>
        <w:keepNext/>
        <w:rPr>
          <w:b/>
          <w:bCs/>
          <w:i w:val="0"/>
          <w:iCs w:val="0"/>
          <w:color w:val="auto"/>
          <w:sz w:val="24"/>
          <w:szCs w:val="24"/>
        </w:rPr>
      </w:pPr>
      <w:r>
        <w:rPr>
          <w:b/>
          <w:bCs/>
          <w:i w:val="0"/>
          <w:iCs w:val="0"/>
          <w:color w:val="auto"/>
          <w:sz w:val="24"/>
          <w:szCs w:val="24"/>
        </w:rPr>
        <w:t xml:space="preserve">Table 3: </w:t>
      </w:r>
      <w:r>
        <w:rPr>
          <w:i w:val="0"/>
          <w:iCs w:val="0"/>
          <w:color w:val="auto"/>
          <w:sz w:val="24"/>
          <w:szCs w:val="24"/>
        </w:rPr>
        <w:t>Contingency for The Rich Young Man and On the Riches and Rewards of Discipleship (Mt 19:16–30; Mk 10:17–31; Lk 18:18–30) (Form/Lemma)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52A54" w14:paraId="1985274A" w14:textId="77777777" w:rsidTr="0091354F">
        <w:tc>
          <w:tcPr>
            <w:tcW w:w="1870" w:type="dxa"/>
            <w:tcBorders>
              <w:top w:val="single" w:sz="4" w:space="0" w:color="auto"/>
              <w:left w:val="nil"/>
              <w:bottom w:val="nil"/>
              <w:right w:val="nil"/>
            </w:tcBorders>
            <w:vAlign w:val="center"/>
          </w:tcPr>
          <w:p w14:paraId="6B68BBAF" w14:textId="77777777" w:rsidR="00652A54" w:rsidRDefault="00652A54" w:rsidP="0091354F">
            <w:pPr>
              <w:jc w:val="center"/>
              <w:rPr>
                <w:lang w:bidi="he-IL"/>
              </w:rPr>
            </w:pPr>
          </w:p>
        </w:tc>
        <w:tc>
          <w:tcPr>
            <w:tcW w:w="1870" w:type="dxa"/>
            <w:tcBorders>
              <w:top w:val="single" w:sz="4" w:space="0" w:color="auto"/>
              <w:left w:val="nil"/>
              <w:bottom w:val="nil"/>
              <w:right w:val="single" w:sz="4" w:space="0" w:color="auto"/>
            </w:tcBorders>
            <w:vAlign w:val="center"/>
          </w:tcPr>
          <w:p w14:paraId="2BF519DE" w14:textId="77777777" w:rsidR="00652A54" w:rsidRDefault="00652A54" w:rsidP="0091354F">
            <w:pPr>
              <w:jc w:val="center"/>
              <w:rPr>
                <w:lang w:bidi="he-IL"/>
              </w:rPr>
            </w:pPr>
          </w:p>
        </w:tc>
        <w:tc>
          <w:tcPr>
            <w:tcW w:w="3740" w:type="dxa"/>
            <w:gridSpan w:val="2"/>
            <w:tcBorders>
              <w:top w:val="single" w:sz="4" w:space="0" w:color="auto"/>
              <w:left w:val="single" w:sz="4" w:space="0" w:color="auto"/>
              <w:bottom w:val="nil"/>
              <w:right w:val="single" w:sz="4" w:space="0" w:color="auto"/>
            </w:tcBorders>
            <w:vAlign w:val="center"/>
            <w:hideMark/>
          </w:tcPr>
          <w:p w14:paraId="74EE25B3" w14:textId="77777777" w:rsidR="00652A54" w:rsidRDefault="00652A54" w:rsidP="0091354F">
            <w:pPr>
              <w:jc w:val="center"/>
              <w:rPr>
                <w:lang w:bidi="he-IL"/>
              </w:rPr>
            </w:pPr>
            <w:r>
              <w:rPr>
                <w:lang w:bidi="he-IL"/>
              </w:rPr>
              <w:t>Luke</w:t>
            </w:r>
          </w:p>
        </w:tc>
        <w:tc>
          <w:tcPr>
            <w:tcW w:w="1870" w:type="dxa"/>
            <w:tcBorders>
              <w:top w:val="single" w:sz="4" w:space="0" w:color="auto"/>
              <w:left w:val="single" w:sz="4" w:space="0" w:color="auto"/>
              <w:bottom w:val="nil"/>
              <w:right w:val="nil"/>
            </w:tcBorders>
            <w:vAlign w:val="center"/>
          </w:tcPr>
          <w:p w14:paraId="6F292BE0" w14:textId="77777777" w:rsidR="00652A54" w:rsidRDefault="00652A54" w:rsidP="0091354F">
            <w:pPr>
              <w:jc w:val="center"/>
              <w:rPr>
                <w:lang w:bidi="he-IL"/>
              </w:rPr>
            </w:pPr>
          </w:p>
        </w:tc>
      </w:tr>
      <w:tr w:rsidR="00652A54" w14:paraId="26D0A058" w14:textId="77777777" w:rsidTr="0091354F">
        <w:tc>
          <w:tcPr>
            <w:tcW w:w="1870" w:type="dxa"/>
            <w:tcBorders>
              <w:top w:val="nil"/>
              <w:left w:val="nil"/>
              <w:bottom w:val="single" w:sz="4" w:space="0" w:color="auto"/>
              <w:right w:val="nil"/>
            </w:tcBorders>
            <w:vAlign w:val="center"/>
          </w:tcPr>
          <w:p w14:paraId="2440FF8D" w14:textId="77777777" w:rsidR="00652A54" w:rsidRDefault="00652A54" w:rsidP="0091354F">
            <w:pPr>
              <w:jc w:val="center"/>
              <w:rPr>
                <w:lang w:bidi="he-IL"/>
              </w:rPr>
            </w:pPr>
          </w:p>
        </w:tc>
        <w:tc>
          <w:tcPr>
            <w:tcW w:w="1870" w:type="dxa"/>
            <w:tcBorders>
              <w:top w:val="nil"/>
              <w:left w:val="nil"/>
              <w:bottom w:val="single" w:sz="4" w:space="0" w:color="auto"/>
              <w:right w:val="single" w:sz="4" w:space="0" w:color="auto"/>
            </w:tcBorders>
            <w:vAlign w:val="center"/>
          </w:tcPr>
          <w:p w14:paraId="6C988A81" w14:textId="77777777" w:rsidR="00652A54" w:rsidRDefault="00652A54" w:rsidP="0091354F">
            <w:pPr>
              <w:jc w:val="center"/>
              <w:rPr>
                <w:lang w:bidi="he-IL"/>
              </w:rPr>
            </w:pPr>
          </w:p>
        </w:tc>
        <w:tc>
          <w:tcPr>
            <w:tcW w:w="1870" w:type="dxa"/>
            <w:tcBorders>
              <w:top w:val="nil"/>
              <w:left w:val="single" w:sz="4" w:space="0" w:color="auto"/>
              <w:bottom w:val="single" w:sz="4" w:space="0" w:color="auto"/>
              <w:right w:val="nil"/>
            </w:tcBorders>
            <w:vAlign w:val="center"/>
            <w:hideMark/>
          </w:tcPr>
          <w:p w14:paraId="33065F3D" w14:textId="77777777" w:rsidR="00652A54" w:rsidRDefault="00652A54" w:rsidP="0091354F">
            <w:pPr>
              <w:jc w:val="center"/>
              <w:rPr>
                <w:lang w:bidi="he-IL"/>
              </w:rPr>
            </w:pPr>
            <w:r>
              <w:rPr>
                <w:lang w:bidi="he-IL"/>
              </w:rPr>
              <w:t>0</w:t>
            </w:r>
          </w:p>
        </w:tc>
        <w:tc>
          <w:tcPr>
            <w:tcW w:w="1870" w:type="dxa"/>
            <w:tcBorders>
              <w:top w:val="nil"/>
              <w:left w:val="nil"/>
              <w:bottom w:val="single" w:sz="4" w:space="0" w:color="auto"/>
              <w:right w:val="single" w:sz="4" w:space="0" w:color="auto"/>
            </w:tcBorders>
            <w:vAlign w:val="center"/>
            <w:hideMark/>
          </w:tcPr>
          <w:p w14:paraId="1680820D" w14:textId="77777777" w:rsidR="00652A54" w:rsidRDefault="00652A54"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5B09ECDC" w14:textId="77777777" w:rsidR="00652A54" w:rsidRDefault="00652A54" w:rsidP="0091354F">
            <w:pPr>
              <w:jc w:val="center"/>
              <w:rPr>
                <w:lang w:bidi="he-IL"/>
              </w:rPr>
            </w:pPr>
            <w:r>
              <w:rPr>
                <w:lang w:bidi="he-IL"/>
              </w:rPr>
              <w:t>Total</w:t>
            </w:r>
          </w:p>
        </w:tc>
      </w:tr>
      <w:tr w:rsidR="00652A54" w14:paraId="2B852D5F" w14:textId="77777777" w:rsidTr="0091354F">
        <w:tc>
          <w:tcPr>
            <w:tcW w:w="1870" w:type="dxa"/>
            <w:vMerge w:val="restart"/>
            <w:tcBorders>
              <w:top w:val="single" w:sz="4" w:space="0" w:color="auto"/>
              <w:left w:val="nil"/>
              <w:bottom w:val="single" w:sz="4" w:space="0" w:color="auto"/>
              <w:right w:val="nil"/>
            </w:tcBorders>
            <w:vAlign w:val="center"/>
            <w:hideMark/>
          </w:tcPr>
          <w:p w14:paraId="2CA42371" w14:textId="77777777" w:rsidR="00652A54" w:rsidRDefault="00652A54" w:rsidP="0091354F">
            <w:pPr>
              <w:jc w:val="center"/>
              <w:rPr>
                <w:lang w:bidi="he-IL"/>
              </w:rPr>
            </w:pPr>
            <w:r>
              <w:rPr>
                <w:lang w:bidi="he-IL"/>
              </w:rPr>
              <w:t>Matthew</w:t>
            </w:r>
          </w:p>
        </w:tc>
        <w:tc>
          <w:tcPr>
            <w:tcW w:w="1870" w:type="dxa"/>
            <w:tcBorders>
              <w:top w:val="single" w:sz="4" w:space="0" w:color="auto"/>
              <w:left w:val="nil"/>
              <w:bottom w:val="nil"/>
              <w:right w:val="single" w:sz="4" w:space="0" w:color="auto"/>
            </w:tcBorders>
            <w:vAlign w:val="center"/>
            <w:hideMark/>
          </w:tcPr>
          <w:p w14:paraId="2FF066DD" w14:textId="77777777" w:rsidR="00652A54" w:rsidRDefault="00652A54" w:rsidP="0091354F">
            <w:pPr>
              <w:jc w:val="center"/>
              <w:rPr>
                <w:lang w:bidi="he-IL"/>
              </w:rPr>
            </w:pPr>
            <w:r>
              <w:rPr>
                <w:lang w:bidi="he-IL"/>
              </w:rPr>
              <w:t>0</w:t>
            </w:r>
          </w:p>
          <w:p w14:paraId="34A70AB2" w14:textId="77777777" w:rsidR="00652A54" w:rsidRDefault="00652A54" w:rsidP="0091354F">
            <w:pPr>
              <w:jc w:val="center"/>
              <w:rPr>
                <w:lang w:bidi="he-IL"/>
              </w:rPr>
            </w:pPr>
          </w:p>
          <w:p w14:paraId="07522369" w14:textId="77777777" w:rsidR="00652A54" w:rsidRDefault="00652A54"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75253754" w14:textId="77777777" w:rsidR="00652A54" w:rsidRDefault="00652A54" w:rsidP="0091354F">
            <w:pPr>
              <w:jc w:val="center"/>
              <w:rPr>
                <w:color w:val="000000"/>
              </w:rPr>
            </w:pPr>
            <w:r>
              <w:rPr>
                <w:color w:val="000000"/>
              </w:rPr>
              <w:t>95 / 78</w:t>
            </w:r>
          </w:p>
          <w:p w14:paraId="2FC87698" w14:textId="77777777" w:rsidR="00652A54" w:rsidRDefault="00652A54" w:rsidP="0091354F">
            <w:pPr>
              <w:jc w:val="center"/>
              <w:rPr>
                <w:color w:val="000000"/>
              </w:rPr>
            </w:pPr>
            <w:r>
              <w:rPr>
                <w:color w:val="000000"/>
              </w:rPr>
              <w:t>(75.33 / 52.10)</w:t>
            </w:r>
          </w:p>
          <w:p w14:paraId="387A8068" w14:textId="77777777" w:rsidR="00652A54" w:rsidRDefault="00652A54" w:rsidP="0091354F">
            <w:pPr>
              <w:jc w:val="center"/>
              <w:rPr>
                <w:color w:val="000000"/>
              </w:rPr>
            </w:pPr>
          </w:p>
          <w:p w14:paraId="4E9CF1CB" w14:textId="77777777" w:rsidR="00652A54" w:rsidRDefault="00652A54" w:rsidP="0091354F">
            <w:pPr>
              <w:jc w:val="center"/>
              <w:rPr>
                <w:lang w:bidi="he-IL"/>
              </w:rPr>
            </w:pPr>
          </w:p>
        </w:tc>
        <w:tc>
          <w:tcPr>
            <w:tcW w:w="1870" w:type="dxa"/>
            <w:tcBorders>
              <w:top w:val="single" w:sz="4" w:space="0" w:color="auto"/>
              <w:left w:val="nil"/>
              <w:bottom w:val="nil"/>
              <w:right w:val="single" w:sz="4" w:space="0" w:color="auto"/>
            </w:tcBorders>
            <w:vAlign w:val="center"/>
            <w:hideMark/>
          </w:tcPr>
          <w:p w14:paraId="75F4D4AE" w14:textId="77777777" w:rsidR="00652A54" w:rsidRDefault="00652A54" w:rsidP="0091354F">
            <w:pPr>
              <w:jc w:val="center"/>
              <w:rPr>
                <w:color w:val="000000"/>
              </w:rPr>
            </w:pPr>
            <w:r>
              <w:rPr>
                <w:color w:val="000000"/>
              </w:rPr>
              <w:t>52 / 42</w:t>
            </w:r>
          </w:p>
          <w:p w14:paraId="4C90128B" w14:textId="77777777" w:rsidR="00652A54" w:rsidRDefault="00652A54" w:rsidP="0091354F">
            <w:pPr>
              <w:jc w:val="center"/>
              <w:rPr>
                <w:color w:val="000000"/>
              </w:rPr>
            </w:pPr>
            <w:r>
              <w:rPr>
                <w:color w:val="000000"/>
              </w:rPr>
              <w:t>(71.67 / 67.90)</w:t>
            </w:r>
          </w:p>
          <w:p w14:paraId="4E2437BC" w14:textId="77777777" w:rsidR="00652A54" w:rsidRDefault="00652A54" w:rsidP="0091354F">
            <w:pPr>
              <w:jc w:val="center"/>
              <w:rPr>
                <w:color w:val="000000"/>
              </w:rPr>
            </w:pPr>
          </w:p>
          <w:p w14:paraId="5E7B0DF2" w14:textId="77777777" w:rsidR="00652A54" w:rsidRDefault="00652A54"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31D2F746" w14:textId="77777777" w:rsidR="00652A54" w:rsidRDefault="00652A54" w:rsidP="0091354F">
            <w:pPr>
              <w:jc w:val="center"/>
              <w:rPr>
                <w:color w:val="000000"/>
              </w:rPr>
            </w:pPr>
            <w:r>
              <w:rPr>
                <w:color w:val="000000"/>
              </w:rPr>
              <w:t>147 / 120</w:t>
            </w:r>
          </w:p>
          <w:p w14:paraId="056503A9" w14:textId="77777777" w:rsidR="00652A54" w:rsidRDefault="00652A54" w:rsidP="0091354F">
            <w:pPr>
              <w:jc w:val="center"/>
              <w:rPr>
                <w:color w:val="000000"/>
              </w:rPr>
            </w:pPr>
          </w:p>
          <w:p w14:paraId="0F4A2BF6" w14:textId="77777777" w:rsidR="00652A54" w:rsidRDefault="00652A54" w:rsidP="0091354F">
            <w:pPr>
              <w:jc w:val="center"/>
              <w:rPr>
                <w:lang w:bidi="he-IL"/>
              </w:rPr>
            </w:pPr>
          </w:p>
        </w:tc>
      </w:tr>
      <w:tr w:rsidR="00652A54" w14:paraId="534A7BF0" w14:textId="77777777" w:rsidTr="0091354F">
        <w:tc>
          <w:tcPr>
            <w:tcW w:w="0" w:type="auto"/>
            <w:vMerge/>
            <w:tcBorders>
              <w:top w:val="single" w:sz="4" w:space="0" w:color="auto"/>
              <w:left w:val="nil"/>
              <w:bottom w:val="single" w:sz="4" w:space="0" w:color="auto"/>
              <w:right w:val="nil"/>
            </w:tcBorders>
            <w:vAlign w:val="center"/>
            <w:hideMark/>
          </w:tcPr>
          <w:p w14:paraId="2F2A6769" w14:textId="77777777" w:rsidR="00652A54" w:rsidRDefault="00652A54" w:rsidP="0091354F">
            <w:pPr>
              <w:rPr>
                <w:lang w:bidi="he-IL"/>
              </w:rPr>
            </w:pPr>
          </w:p>
        </w:tc>
        <w:tc>
          <w:tcPr>
            <w:tcW w:w="1870" w:type="dxa"/>
            <w:tcBorders>
              <w:top w:val="nil"/>
              <w:left w:val="nil"/>
              <w:bottom w:val="single" w:sz="4" w:space="0" w:color="auto"/>
              <w:right w:val="single" w:sz="4" w:space="0" w:color="auto"/>
            </w:tcBorders>
            <w:vAlign w:val="center"/>
            <w:hideMark/>
          </w:tcPr>
          <w:p w14:paraId="08CDEF14" w14:textId="77777777" w:rsidR="00652A54" w:rsidRDefault="00652A54"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5F599420" w14:textId="77777777" w:rsidR="00652A54" w:rsidRDefault="00652A54" w:rsidP="0091354F">
            <w:pPr>
              <w:jc w:val="center"/>
              <w:rPr>
                <w:color w:val="000000"/>
              </w:rPr>
            </w:pPr>
            <w:r>
              <w:rPr>
                <w:color w:val="000000"/>
              </w:rPr>
              <w:t>49 / 44</w:t>
            </w:r>
          </w:p>
          <w:p w14:paraId="0A9482DE" w14:textId="77777777" w:rsidR="00652A54" w:rsidRDefault="00652A54" w:rsidP="0091354F">
            <w:pPr>
              <w:jc w:val="center"/>
              <w:rPr>
                <w:lang w:bidi="he-IL"/>
              </w:rPr>
            </w:pPr>
            <w:r>
              <w:rPr>
                <w:color w:val="000000"/>
              </w:rPr>
              <w:t>(68.67 / 69.90)</w:t>
            </w:r>
          </w:p>
        </w:tc>
        <w:tc>
          <w:tcPr>
            <w:tcW w:w="1870" w:type="dxa"/>
            <w:tcBorders>
              <w:top w:val="nil"/>
              <w:left w:val="nil"/>
              <w:bottom w:val="single" w:sz="4" w:space="0" w:color="auto"/>
              <w:right w:val="single" w:sz="4" w:space="0" w:color="auto"/>
            </w:tcBorders>
            <w:vAlign w:val="center"/>
            <w:hideMark/>
          </w:tcPr>
          <w:p w14:paraId="7E6D400F" w14:textId="77777777" w:rsidR="00652A54" w:rsidRDefault="00652A54" w:rsidP="0091354F">
            <w:pPr>
              <w:jc w:val="center"/>
              <w:rPr>
                <w:color w:val="000000"/>
              </w:rPr>
            </w:pPr>
            <w:r>
              <w:rPr>
                <w:color w:val="000000"/>
              </w:rPr>
              <w:t>85 /117</w:t>
            </w:r>
          </w:p>
          <w:p w14:paraId="403F6F3E" w14:textId="77777777" w:rsidR="00652A54" w:rsidRDefault="00652A54" w:rsidP="0091354F">
            <w:pPr>
              <w:jc w:val="center"/>
              <w:rPr>
                <w:lang w:bidi="he-IL"/>
              </w:rPr>
            </w:pPr>
            <w:r>
              <w:rPr>
                <w:color w:val="000000"/>
              </w:rPr>
              <w:t>(65.33 / 91.10)</w:t>
            </w:r>
          </w:p>
        </w:tc>
        <w:tc>
          <w:tcPr>
            <w:tcW w:w="1870" w:type="dxa"/>
            <w:tcBorders>
              <w:top w:val="nil"/>
              <w:left w:val="single" w:sz="4" w:space="0" w:color="auto"/>
              <w:bottom w:val="single" w:sz="4" w:space="0" w:color="auto"/>
              <w:right w:val="nil"/>
            </w:tcBorders>
            <w:vAlign w:val="center"/>
            <w:hideMark/>
          </w:tcPr>
          <w:p w14:paraId="5C9B77A9" w14:textId="77777777" w:rsidR="00652A54" w:rsidRDefault="00652A54" w:rsidP="0091354F">
            <w:pPr>
              <w:jc w:val="center"/>
              <w:rPr>
                <w:lang w:bidi="he-IL"/>
              </w:rPr>
            </w:pPr>
            <w:r>
              <w:rPr>
                <w:color w:val="000000"/>
              </w:rPr>
              <w:t>134 / 161</w:t>
            </w:r>
          </w:p>
        </w:tc>
      </w:tr>
      <w:tr w:rsidR="00652A54" w14:paraId="2C455EBB" w14:textId="77777777" w:rsidTr="0091354F">
        <w:tc>
          <w:tcPr>
            <w:tcW w:w="1870" w:type="dxa"/>
            <w:tcBorders>
              <w:top w:val="single" w:sz="4" w:space="0" w:color="auto"/>
              <w:left w:val="nil"/>
              <w:bottom w:val="single" w:sz="4" w:space="0" w:color="auto"/>
              <w:right w:val="nil"/>
            </w:tcBorders>
            <w:vAlign w:val="center"/>
          </w:tcPr>
          <w:p w14:paraId="6B819574" w14:textId="77777777" w:rsidR="00652A54" w:rsidRDefault="00652A54" w:rsidP="0091354F">
            <w:pPr>
              <w:jc w:val="center"/>
              <w:rPr>
                <w:lang w:bidi="he-IL"/>
              </w:rPr>
            </w:pPr>
          </w:p>
        </w:tc>
        <w:tc>
          <w:tcPr>
            <w:tcW w:w="1870" w:type="dxa"/>
            <w:tcBorders>
              <w:top w:val="single" w:sz="4" w:space="0" w:color="auto"/>
              <w:left w:val="nil"/>
              <w:bottom w:val="single" w:sz="4" w:space="0" w:color="auto"/>
              <w:right w:val="single" w:sz="4" w:space="0" w:color="auto"/>
            </w:tcBorders>
            <w:vAlign w:val="center"/>
            <w:hideMark/>
          </w:tcPr>
          <w:p w14:paraId="654F793A" w14:textId="77777777" w:rsidR="00652A54" w:rsidRDefault="00652A54" w:rsidP="0091354F">
            <w:pPr>
              <w:jc w:val="center"/>
              <w:rPr>
                <w:lang w:bidi="he-IL"/>
              </w:rPr>
            </w:pPr>
            <w:r>
              <w:rPr>
                <w:lang w:bidi="he-IL"/>
              </w:rPr>
              <w:t>Total</w:t>
            </w:r>
          </w:p>
        </w:tc>
        <w:tc>
          <w:tcPr>
            <w:tcW w:w="1870" w:type="dxa"/>
            <w:tcBorders>
              <w:top w:val="single" w:sz="4" w:space="0" w:color="auto"/>
              <w:left w:val="single" w:sz="4" w:space="0" w:color="auto"/>
              <w:bottom w:val="single" w:sz="4" w:space="0" w:color="auto"/>
              <w:right w:val="nil"/>
            </w:tcBorders>
            <w:vAlign w:val="center"/>
            <w:hideMark/>
          </w:tcPr>
          <w:p w14:paraId="34EA8A1A" w14:textId="77777777" w:rsidR="00652A54" w:rsidRDefault="00652A54" w:rsidP="0091354F">
            <w:pPr>
              <w:jc w:val="center"/>
              <w:rPr>
                <w:lang w:bidi="he-IL"/>
              </w:rPr>
            </w:pPr>
            <w:r>
              <w:rPr>
                <w:color w:val="000000"/>
              </w:rPr>
              <w:t>144 / 122</w:t>
            </w:r>
          </w:p>
        </w:tc>
        <w:tc>
          <w:tcPr>
            <w:tcW w:w="1870" w:type="dxa"/>
            <w:tcBorders>
              <w:top w:val="single" w:sz="4" w:space="0" w:color="auto"/>
              <w:left w:val="nil"/>
              <w:bottom w:val="single" w:sz="4" w:space="0" w:color="auto"/>
              <w:right w:val="single" w:sz="4" w:space="0" w:color="auto"/>
            </w:tcBorders>
            <w:vAlign w:val="center"/>
            <w:hideMark/>
          </w:tcPr>
          <w:p w14:paraId="24C0CDBB" w14:textId="77777777" w:rsidR="00652A54" w:rsidRDefault="00652A54" w:rsidP="0091354F">
            <w:pPr>
              <w:jc w:val="center"/>
              <w:rPr>
                <w:lang w:bidi="he-IL"/>
              </w:rPr>
            </w:pPr>
            <w:r>
              <w:rPr>
                <w:lang w:bidi="he-IL"/>
              </w:rPr>
              <w:t>137 / 159</w:t>
            </w:r>
          </w:p>
        </w:tc>
        <w:tc>
          <w:tcPr>
            <w:tcW w:w="1870" w:type="dxa"/>
            <w:tcBorders>
              <w:top w:val="single" w:sz="4" w:space="0" w:color="auto"/>
              <w:left w:val="single" w:sz="4" w:space="0" w:color="auto"/>
              <w:bottom w:val="single" w:sz="4" w:space="0" w:color="auto"/>
              <w:right w:val="nil"/>
            </w:tcBorders>
            <w:vAlign w:val="center"/>
            <w:hideMark/>
          </w:tcPr>
          <w:p w14:paraId="13A140F3" w14:textId="77777777" w:rsidR="00652A54" w:rsidRDefault="00652A54" w:rsidP="0091354F">
            <w:pPr>
              <w:jc w:val="center"/>
              <w:rPr>
                <w:lang w:bidi="he-IL"/>
              </w:rPr>
            </w:pPr>
            <w:r>
              <w:rPr>
                <w:color w:val="000000"/>
              </w:rPr>
              <w:t>281</w:t>
            </w:r>
          </w:p>
        </w:tc>
      </w:tr>
    </w:tbl>
    <w:p w14:paraId="0E358FFE" w14:textId="7928061B" w:rsidR="00652A54" w:rsidRDefault="00652A54" w:rsidP="00C71DDD">
      <w:pPr>
        <w:rPr>
          <w:lang w:bidi="he-IL"/>
        </w:rPr>
      </w:pPr>
    </w:p>
    <w:p w14:paraId="0F7F3572" w14:textId="77777777" w:rsidR="00985F59" w:rsidRDefault="00985F59" w:rsidP="00C71DDD">
      <w:pPr>
        <w:rPr>
          <w:lang w:bidi="he-IL"/>
        </w:rPr>
      </w:pPr>
    </w:p>
    <w:p w14:paraId="7FC848EC" w14:textId="77777777" w:rsidR="00295ADF" w:rsidRDefault="00295ADF" w:rsidP="00295ADF">
      <w:pPr>
        <w:pStyle w:val="Caption"/>
        <w:keepNext/>
        <w:rPr>
          <w:b/>
          <w:bCs/>
          <w:i w:val="0"/>
          <w:iCs w:val="0"/>
          <w:color w:val="auto"/>
          <w:sz w:val="24"/>
          <w:szCs w:val="24"/>
        </w:rPr>
      </w:pPr>
      <w:r>
        <w:rPr>
          <w:b/>
          <w:bCs/>
          <w:i w:val="0"/>
          <w:iCs w:val="0"/>
          <w:color w:val="auto"/>
          <w:sz w:val="24"/>
          <w:szCs w:val="24"/>
        </w:rPr>
        <w:t xml:space="preserve">Table 4: </w:t>
      </w:r>
      <w:r>
        <w:rPr>
          <w:i w:val="0"/>
          <w:iCs w:val="0"/>
          <w:color w:val="auto"/>
          <w:sz w:val="24"/>
          <w:szCs w:val="24"/>
        </w:rPr>
        <w:t>Contingency for The Rich Young Man (Mt 19:16–22; Mk 10:17–22; Lk 18:18–23) (Form/Lemma)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295ADF" w14:paraId="42429C99" w14:textId="77777777" w:rsidTr="0091354F">
        <w:tc>
          <w:tcPr>
            <w:tcW w:w="1870" w:type="dxa"/>
            <w:tcBorders>
              <w:top w:val="single" w:sz="4" w:space="0" w:color="auto"/>
              <w:left w:val="nil"/>
              <w:bottom w:val="nil"/>
              <w:right w:val="nil"/>
            </w:tcBorders>
            <w:vAlign w:val="center"/>
          </w:tcPr>
          <w:p w14:paraId="41A28CFB" w14:textId="77777777" w:rsidR="00295ADF" w:rsidRDefault="00295ADF" w:rsidP="0091354F">
            <w:pPr>
              <w:jc w:val="center"/>
              <w:rPr>
                <w:lang w:bidi="he-IL"/>
              </w:rPr>
            </w:pPr>
          </w:p>
        </w:tc>
        <w:tc>
          <w:tcPr>
            <w:tcW w:w="1870" w:type="dxa"/>
            <w:tcBorders>
              <w:top w:val="single" w:sz="4" w:space="0" w:color="auto"/>
              <w:left w:val="nil"/>
              <w:bottom w:val="nil"/>
              <w:right w:val="single" w:sz="4" w:space="0" w:color="auto"/>
            </w:tcBorders>
            <w:vAlign w:val="center"/>
          </w:tcPr>
          <w:p w14:paraId="14074DC8" w14:textId="77777777" w:rsidR="00295ADF" w:rsidRDefault="00295ADF" w:rsidP="0091354F">
            <w:pPr>
              <w:jc w:val="center"/>
              <w:rPr>
                <w:lang w:bidi="he-IL"/>
              </w:rPr>
            </w:pPr>
          </w:p>
        </w:tc>
        <w:tc>
          <w:tcPr>
            <w:tcW w:w="3740" w:type="dxa"/>
            <w:gridSpan w:val="2"/>
            <w:tcBorders>
              <w:top w:val="single" w:sz="4" w:space="0" w:color="auto"/>
              <w:left w:val="single" w:sz="4" w:space="0" w:color="auto"/>
              <w:bottom w:val="nil"/>
              <w:right w:val="single" w:sz="4" w:space="0" w:color="auto"/>
            </w:tcBorders>
            <w:vAlign w:val="center"/>
            <w:hideMark/>
          </w:tcPr>
          <w:p w14:paraId="773FA7E7" w14:textId="77777777" w:rsidR="00295ADF" w:rsidRDefault="00295ADF" w:rsidP="0091354F">
            <w:pPr>
              <w:jc w:val="center"/>
              <w:rPr>
                <w:lang w:bidi="he-IL"/>
              </w:rPr>
            </w:pPr>
            <w:r>
              <w:rPr>
                <w:lang w:bidi="he-IL"/>
              </w:rPr>
              <w:t>Luke</w:t>
            </w:r>
          </w:p>
        </w:tc>
        <w:tc>
          <w:tcPr>
            <w:tcW w:w="1870" w:type="dxa"/>
            <w:tcBorders>
              <w:top w:val="single" w:sz="4" w:space="0" w:color="auto"/>
              <w:left w:val="single" w:sz="4" w:space="0" w:color="auto"/>
              <w:bottom w:val="nil"/>
              <w:right w:val="nil"/>
            </w:tcBorders>
            <w:vAlign w:val="center"/>
          </w:tcPr>
          <w:p w14:paraId="6019363D" w14:textId="77777777" w:rsidR="00295ADF" w:rsidRDefault="00295ADF" w:rsidP="0091354F">
            <w:pPr>
              <w:jc w:val="center"/>
              <w:rPr>
                <w:lang w:bidi="he-IL"/>
              </w:rPr>
            </w:pPr>
          </w:p>
        </w:tc>
      </w:tr>
      <w:tr w:rsidR="00295ADF" w14:paraId="27BA457C" w14:textId="77777777" w:rsidTr="0091354F">
        <w:tc>
          <w:tcPr>
            <w:tcW w:w="1870" w:type="dxa"/>
            <w:tcBorders>
              <w:top w:val="nil"/>
              <w:left w:val="nil"/>
              <w:bottom w:val="single" w:sz="4" w:space="0" w:color="auto"/>
              <w:right w:val="nil"/>
            </w:tcBorders>
            <w:vAlign w:val="center"/>
          </w:tcPr>
          <w:p w14:paraId="107E7CA4" w14:textId="77777777" w:rsidR="00295ADF" w:rsidRDefault="00295ADF" w:rsidP="0091354F">
            <w:pPr>
              <w:jc w:val="center"/>
              <w:rPr>
                <w:lang w:bidi="he-IL"/>
              </w:rPr>
            </w:pPr>
          </w:p>
        </w:tc>
        <w:tc>
          <w:tcPr>
            <w:tcW w:w="1870" w:type="dxa"/>
            <w:tcBorders>
              <w:top w:val="nil"/>
              <w:left w:val="nil"/>
              <w:bottom w:val="single" w:sz="4" w:space="0" w:color="auto"/>
              <w:right w:val="single" w:sz="4" w:space="0" w:color="auto"/>
            </w:tcBorders>
            <w:vAlign w:val="center"/>
          </w:tcPr>
          <w:p w14:paraId="5F8057FF" w14:textId="77777777" w:rsidR="00295ADF" w:rsidRDefault="00295ADF" w:rsidP="0091354F">
            <w:pPr>
              <w:jc w:val="center"/>
              <w:rPr>
                <w:lang w:bidi="he-IL"/>
              </w:rPr>
            </w:pPr>
          </w:p>
        </w:tc>
        <w:tc>
          <w:tcPr>
            <w:tcW w:w="1870" w:type="dxa"/>
            <w:tcBorders>
              <w:top w:val="nil"/>
              <w:left w:val="single" w:sz="4" w:space="0" w:color="auto"/>
              <w:bottom w:val="single" w:sz="4" w:space="0" w:color="auto"/>
              <w:right w:val="nil"/>
            </w:tcBorders>
            <w:vAlign w:val="center"/>
            <w:hideMark/>
          </w:tcPr>
          <w:p w14:paraId="59BCC939" w14:textId="77777777" w:rsidR="00295ADF" w:rsidRDefault="00295ADF" w:rsidP="0091354F">
            <w:pPr>
              <w:jc w:val="center"/>
              <w:rPr>
                <w:lang w:bidi="he-IL"/>
              </w:rPr>
            </w:pPr>
            <w:r>
              <w:rPr>
                <w:lang w:bidi="he-IL"/>
              </w:rPr>
              <w:t>0</w:t>
            </w:r>
          </w:p>
        </w:tc>
        <w:tc>
          <w:tcPr>
            <w:tcW w:w="1870" w:type="dxa"/>
            <w:tcBorders>
              <w:top w:val="nil"/>
              <w:left w:val="nil"/>
              <w:bottom w:val="single" w:sz="4" w:space="0" w:color="auto"/>
              <w:right w:val="single" w:sz="4" w:space="0" w:color="auto"/>
            </w:tcBorders>
            <w:vAlign w:val="center"/>
            <w:hideMark/>
          </w:tcPr>
          <w:p w14:paraId="3A8065A7" w14:textId="77777777" w:rsidR="00295ADF" w:rsidRDefault="00295ADF"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6AC87841" w14:textId="77777777" w:rsidR="00295ADF" w:rsidRDefault="00295ADF" w:rsidP="0091354F">
            <w:pPr>
              <w:jc w:val="center"/>
              <w:rPr>
                <w:lang w:bidi="he-IL"/>
              </w:rPr>
            </w:pPr>
            <w:r>
              <w:rPr>
                <w:lang w:bidi="he-IL"/>
              </w:rPr>
              <w:t>Total</w:t>
            </w:r>
          </w:p>
        </w:tc>
      </w:tr>
      <w:tr w:rsidR="00295ADF" w14:paraId="525366F8" w14:textId="77777777" w:rsidTr="0091354F">
        <w:tc>
          <w:tcPr>
            <w:tcW w:w="1870" w:type="dxa"/>
            <w:vMerge w:val="restart"/>
            <w:tcBorders>
              <w:top w:val="single" w:sz="4" w:space="0" w:color="auto"/>
              <w:left w:val="nil"/>
              <w:bottom w:val="single" w:sz="4" w:space="0" w:color="auto"/>
              <w:right w:val="nil"/>
            </w:tcBorders>
            <w:vAlign w:val="center"/>
            <w:hideMark/>
          </w:tcPr>
          <w:p w14:paraId="300860DE" w14:textId="77777777" w:rsidR="00295ADF" w:rsidRDefault="00295ADF" w:rsidP="0091354F">
            <w:pPr>
              <w:jc w:val="center"/>
              <w:rPr>
                <w:lang w:bidi="he-IL"/>
              </w:rPr>
            </w:pPr>
            <w:r>
              <w:rPr>
                <w:lang w:bidi="he-IL"/>
              </w:rPr>
              <w:t>Matthew</w:t>
            </w:r>
          </w:p>
        </w:tc>
        <w:tc>
          <w:tcPr>
            <w:tcW w:w="1870" w:type="dxa"/>
            <w:tcBorders>
              <w:top w:val="single" w:sz="4" w:space="0" w:color="auto"/>
              <w:left w:val="nil"/>
              <w:bottom w:val="nil"/>
              <w:right w:val="single" w:sz="4" w:space="0" w:color="auto"/>
            </w:tcBorders>
            <w:vAlign w:val="center"/>
            <w:hideMark/>
          </w:tcPr>
          <w:p w14:paraId="4C78EEAD" w14:textId="77777777" w:rsidR="00295ADF" w:rsidRDefault="00295ADF" w:rsidP="0091354F">
            <w:pPr>
              <w:jc w:val="center"/>
              <w:rPr>
                <w:lang w:bidi="he-IL"/>
              </w:rPr>
            </w:pPr>
            <w:r>
              <w:rPr>
                <w:lang w:bidi="he-IL"/>
              </w:rPr>
              <w:t>0</w:t>
            </w:r>
          </w:p>
          <w:p w14:paraId="56694E5E" w14:textId="77777777" w:rsidR="00295ADF" w:rsidRDefault="00295ADF" w:rsidP="0091354F">
            <w:pPr>
              <w:jc w:val="center"/>
              <w:rPr>
                <w:lang w:bidi="he-IL"/>
              </w:rPr>
            </w:pPr>
          </w:p>
          <w:p w14:paraId="20F05F17" w14:textId="77777777" w:rsidR="00295ADF" w:rsidRDefault="00295ADF"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407CC142" w14:textId="77777777" w:rsidR="00295ADF" w:rsidRDefault="00295ADF" w:rsidP="0091354F">
            <w:pPr>
              <w:jc w:val="center"/>
              <w:rPr>
                <w:color w:val="000000"/>
              </w:rPr>
            </w:pPr>
            <w:r>
              <w:rPr>
                <w:color w:val="000000"/>
              </w:rPr>
              <w:t>29 / 21</w:t>
            </w:r>
          </w:p>
          <w:p w14:paraId="0D0EDAE5" w14:textId="77777777" w:rsidR="00295ADF" w:rsidRDefault="00295ADF" w:rsidP="0091354F">
            <w:pPr>
              <w:jc w:val="center"/>
              <w:rPr>
                <w:color w:val="000000"/>
              </w:rPr>
            </w:pPr>
            <w:r>
              <w:rPr>
                <w:color w:val="000000"/>
              </w:rPr>
              <w:t>(21.09 / 11.55)</w:t>
            </w:r>
          </w:p>
          <w:p w14:paraId="0DF03579" w14:textId="77777777" w:rsidR="00295ADF" w:rsidRDefault="00295ADF" w:rsidP="0091354F">
            <w:pPr>
              <w:jc w:val="center"/>
              <w:rPr>
                <w:color w:val="000000"/>
              </w:rPr>
            </w:pPr>
          </w:p>
          <w:p w14:paraId="534011DC" w14:textId="77777777" w:rsidR="00295ADF" w:rsidRDefault="00295ADF" w:rsidP="0091354F">
            <w:pPr>
              <w:jc w:val="center"/>
              <w:rPr>
                <w:lang w:bidi="he-IL"/>
              </w:rPr>
            </w:pPr>
          </w:p>
        </w:tc>
        <w:tc>
          <w:tcPr>
            <w:tcW w:w="1870" w:type="dxa"/>
            <w:tcBorders>
              <w:top w:val="single" w:sz="4" w:space="0" w:color="auto"/>
              <w:left w:val="nil"/>
              <w:bottom w:val="nil"/>
              <w:right w:val="single" w:sz="4" w:space="0" w:color="auto"/>
            </w:tcBorders>
            <w:vAlign w:val="center"/>
            <w:hideMark/>
          </w:tcPr>
          <w:p w14:paraId="5BFA19E2" w14:textId="77777777" w:rsidR="00295ADF" w:rsidRDefault="00295ADF" w:rsidP="0091354F">
            <w:pPr>
              <w:jc w:val="center"/>
              <w:rPr>
                <w:color w:val="000000"/>
              </w:rPr>
            </w:pPr>
            <w:r>
              <w:rPr>
                <w:color w:val="000000"/>
              </w:rPr>
              <w:t>29 / 20</w:t>
            </w:r>
          </w:p>
          <w:p w14:paraId="24BFE1B3" w14:textId="77777777" w:rsidR="00295ADF" w:rsidRDefault="00295ADF" w:rsidP="0091354F">
            <w:pPr>
              <w:jc w:val="center"/>
              <w:rPr>
                <w:color w:val="000000"/>
              </w:rPr>
            </w:pPr>
            <w:r>
              <w:rPr>
                <w:color w:val="000000"/>
              </w:rPr>
              <w:t>(36.91 / 29.45)</w:t>
            </w:r>
          </w:p>
          <w:p w14:paraId="70424766" w14:textId="77777777" w:rsidR="00295ADF" w:rsidRDefault="00295ADF" w:rsidP="0091354F">
            <w:pPr>
              <w:jc w:val="center"/>
              <w:rPr>
                <w:color w:val="000000"/>
              </w:rPr>
            </w:pPr>
          </w:p>
          <w:p w14:paraId="39B9F6D0" w14:textId="77777777" w:rsidR="00295ADF" w:rsidRDefault="00295ADF"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2E3E4CA0" w14:textId="77777777" w:rsidR="00295ADF" w:rsidRDefault="00295ADF" w:rsidP="0091354F">
            <w:pPr>
              <w:jc w:val="center"/>
              <w:rPr>
                <w:color w:val="000000"/>
              </w:rPr>
            </w:pPr>
            <w:r>
              <w:rPr>
                <w:color w:val="000000"/>
              </w:rPr>
              <w:t>58 /41</w:t>
            </w:r>
          </w:p>
          <w:p w14:paraId="270E5F68" w14:textId="77777777" w:rsidR="00295ADF" w:rsidRDefault="00295ADF" w:rsidP="0091354F">
            <w:pPr>
              <w:jc w:val="center"/>
              <w:rPr>
                <w:color w:val="000000"/>
              </w:rPr>
            </w:pPr>
          </w:p>
          <w:p w14:paraId="6D6EE4FB" w14:textId="77777777" w:rsidR="00295ADF" w:rsidRDefault="00295ADF" w:rsidP="0091354F">
            <w:pPr>
              <w:jc w:val="center"/>
              <w:rPr>
                <w:lang w:bidi="he-IL"/>
              </w:rPr>
            </w:pPr>
          </w:p>
        </w:tc>
      </w:tr>
      <w:tr w:rsidR="00295ADF" w14:paraId="38713FD4" w14:textId="77777777" w:rsidTr="0091354F">
        <w:tc>
          <w:tcPr>
            <w:tcW w:w="0" w:type="auto"/>
            <w:vMerge/>
            <w:tcBorders>
              <w:top w:val="single" w:sz="4" w:space="0" w:color="auto"/>
              <w:left w:val="nil"/>
              <w:bottom w:val="single" w:sz="4" w:space="0" w:color="auto"/>
              <w:right w:val="nil"/>
            </w:tcBorders>
            <w:vAlign w:val="center"/>
            <w:hideMark/>
          </w:tcPr>
          <w:p w14:paraId="64A2269C" w14:textId="77777777" w:rsidR="00295ADF" w:rsidRDefault="00295ADF" w:rsidP="0091354F">
            <w:pPr>
              <w:rPr>
                <w:lang w:bidi="he-IL"/>
              </w:rPr>
            </w:pPr>
          </w:p>
        </w:tc>
        <w:tc>
          <w:tcPr>
            <w:tcW w:w="1870" w:type="dxa"/>
            <w:tcBorders>
              <w:top w:val="nil"/>
              <w:left w:val="nil"/>
              <w:bottom w:val="single" w:sz="4" w:space="0" w:color="auto"/>
              <w:right w:val="single" w:sz="4" w:space="0" w:color="auto"/>
            </w:tcBorders>
            <w:vAlign w:val="center"/>
            <w:hideMark/>
          </w:tcPr>
          <w:p w14:paraId="3BB02BCD" w14:textId="77777777" w:rsidR="00295ADF" w:rsidRDefault="00295ADF"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708D3E59" w14:textId="77777777" w:rsidR="00295ADF" w:rsidRDefault="00295ADF" w:rsidP="0091354F">
            <w:pPr>
              <w:jc w:val="center"/>
              <w:rPr>
                <w:color w:val="000000"/>
              </w:rPr>
            </w:pPr>
            <w:r>
              <w:rPr>
                <w:color w:val="000000"/>
              </w:rPr>
              <w:t xml:space="preserve">11 /10 </w:t>
            </w:r>
          </w:p>
          <w:p w14:paraId="759DC53B" w14:textId="77777777" w:rsidR="00295ADF" w:rsidRDefault="00295ADF" w:rsidP="0091354F">
            <w:pPr>
              <w:jc w:val="center"/>
              <w:rPr>
                <w:lang w:bidi="he-IL"/>
              </w:rPr>
            </w:pPr>
            <w:r>
              <w:rPr>
                <w:color w:val="000000"/>
              </w:rPr>
              <w:t>(18.91 / 19.45)</w:t>
            </w:r>
          </w:p>
        </w:tc>
        <w:tc>
          <w:tcPr>
            <w:tcW w:w="1870" w:type="dxa"/>
            <w:tcBorders>
              <w:top w:val="nil"/>
              <w:left w:val="nil"/>
              <w:bottom w:val="single" w:sz="4" w:space="0" w:color="auto"/>
              <w:right w:val="single" w:sz="4" w:space="0" w:color="auto"/>
            </w:tcBorders>
            <w:vAlign w:val="center"/>
            <w:hideMark/>
          </w:tcPr>
          <w:p w14:paraId="40A44DA9" w14:textId="77777777" w:rsidR="00295ADF" w:rsidRDefault="00295ADF" w:rsidP="0091354F">
            <w:pPr>
              <w:jc w:val="center"/>
              <w:rPr>
                <w:color w:val="000000"/>
              </w:rPr>
            </w:pPr>
            <w:r>
              <w:rPr>
                <w:color w:val="000000"/>
              </w:rPr>
              <w:t>41 / 59</w:t>
            </w:r>
          </w:p>
          <w:p w14:paraId="7A443584" w14:textId="77777777" w:rsidR="00295ADF" w:rsidRDefault="00295ADF" w:rsidP="0091354F">
            <w:pPr>
              <w:jc w:val="center"/>
              <w:rPr>
                <w:lang w:bidi="he-IL"/>
              </w:rPr>
            </w:pPr>
            <w:r>
              <w:rPr>
                <w:color w:val="000000"/>
              </w:rPr>
              <w:t>(33.09 / 49.55)</w:t>
            </w:r>
          </w:p>
        </w:tc>
        <w:tc>
          <w:tcPr>
            <w:tcW w:w="1870" w:type="dxa"/>
            <w:tcBorders>
              <w:top w:val="nil"/>
              <w:left w:val="single" w:sz="4" w:space="0" w:color="auto"/>
              <w:bottom w:val="single" w:sz="4" w:space="0" w:color="auto"/>
              <w:right w:val="nil"/>
            </w:tcBorders>
            <w:vAlign w:val="center"/>
            <w:hideMark/>
          </w:tcPr>
          <w:p w14:paraId="25C60317" w14:textId="77777777" w:rsidR="00295ADF" w:rsidRDefault="00295ADF" w:rsidP="0091354F">
            <w:pPr>
              <w:jc w:val="center"/>
              <w:rPr>
                <w:lang w:bidi="he-IL"/>
              </w:rPr>
            </w:pPr>
            <w:r>
              <w:rPr>
                <w:color w:val="000000"/>
              </w:rPr>
              <w:t>52 / 69</w:t>
            </w:r>
          </w:p>
        </w:tc>
      </w:tr>
      <w:tr w:rsidR="00295ADF" w14:paraId="45825F6D" w14:textId="77777777" w:rsidTr="0091354F">
        <w:tc>
          <w:tcPr>
            <w:tcW w:w="1870" w:type="dxa"/>
            <w:tcBorders>
              <w:top w:val="single" w:sz="4" w:space="0" w:color="auto"/>
              <w:left w:val="nil"/>
              <w:bottom w:val="single" w:sz="4" w:space="0" w:color="auto"/>
              <w:right w:val="nil"/>
            </w:tcBorders>
            <w:vAlign w:val="center"/>
          </w:tcPr>
          <w:p w14:paraId="6BAA83E0" w14:textId="77777777" w:rsidR="00295ADF" w:rsidRDefault="00295ADF" w:rsidP="0091354F">
            <w:pPr>
              <w:jc w:val="center"/>
              <w:rPr>
                <w:lang w:bidi="he-IL"/>
              </w:rPr>
            </w:pPr>
          </w:p>
        </w:tc>
        <w:tc>
          <w:tcPr>
            <w:tcW w:w="1870" w:type="dxa"/>
            <w:tcBorders>
              <w:top w:val="single" w:sz="4" w:space="0" w:color="auto"/>
              <w:left w:val="nil"/>
              <w:bottom w:val="single" w:sz="4" w:space="0" w:color="auto"/>
              <w:right w:val="single" w:sz="4" w:space="0" w:color="auto"/>
            </w:tcBorders>
            <w:vAlign w:val="center"/>
            <w:hideMark/>
          </w:tcPr>
          <w:p w14:paraId="07921CBE" w14:textId="77777777" w:rsidR="00295ADF" w:rsidRDefault="00295ADF" w:rsidP="0091354F">
            <w:pPr>
              <w:jc w:val="center"/>
              <w:rPr>
                <w:lang w:bidi="he-IL"/>
              </w:rPr>
            </w:pPr>
            <w:r>
              <w:rPr>
                <w:lang w:bidi="he-IL"/>
              </w:rPr>
              <w:t>Total</w:t>
            </w:r>
          </w:p>
        </w:tc>
        <w:tc>
          <w:tcPr>
            <w:tcW w:w="1870" w:type="dxa"/>
            <w:tcBorders>
              <w:top w:val="single" w:sz="4" w:space="0" w:color="auto"/>
              <w:left w:val="single" w:sz="4" w:space="0" w:color="auto"/>
              <w:bottom w:val="single" w:sz="4" w:space="0" w:color="auto"/>
              <w:right w:val="nil"/>
            </w:tcBorders>
            <w:vAlign w:val="center"/>
            <w:hideMark/>
          </w:tcPr>
          <w:p w14:paraId="0B655BF3" w14:textId="77777777" w:rsidR="00295ADF" w:rsidRDefault="00295ADF" w:rsidP="0091354F">
            <w:pPr>
              <w:jc w:val="center"/>
              <w:rPr>
                <w:lang w:bidi="he-IL"/>
              </w:rPr>
            </w:pPr>
            <w:r>
              <w:rPr>
                <w:color w:val="000000"/>
              </w:rPr>
              <w:t>40 / 31</w:t>
            </w:r>
          </w:p>
        </w:tc>
        <w:tc>
          <w:tcPr>
            <w:tcW w:w="1870" w:type="dxa"/>
            <w:tcBorders>
              <w:top w:val="single" w:sz="4" w:space="0" w:color="auto"/>
              <w:left w:val="nil"/>
              <w:bottom w:val="single" w:sz="4" w:space="0" w:color="auto"/>
              <w:right w:val="single" w:sz="4" w:space="0" w:color="auto"/>
            </w:tcBorders>
            <w:vAlign w:val="center"/>
            <w:hideMark/>
          </w:tcPr>
          <w:p w14:paraId="4A853239" w14:textId="77777777" w:rsidR="00295ADF" w:rsidRDefault="00295ADF" w:rsidP="0091354F">
            <w:pPr>
              <w:jc w:val="center"/>
              <w:rPr>
                <w:lang w:bidi="he-IL"/>
              </w:rPr>
            </w:pPr>
            <w:r>
              <w:rPr>
                <w:lang w:bidi="he-IL"/>
              </w:rPr>
              <w:t>70 / 79</w:t>
            </w:r>
          </w:p>
        </w:tc>
        <w:tc>
          <w:tcPr>
            <w:tcW w:w="1870" w:type="dxa"/>
            <w:tcBorders>
              <w:top w:val="single" w:sz="4" w:space="0" w:color="auto"/>
              <w:left w:val="single" w:sz="4" w:space="0" w:color="auto"/>
              <w:bottom w:val="single" w:sz="4" w:space="0" w:color="auto"/>
              <w:right w:val="nil"/>
            </w:tcBorders>
            <w:vAlign w:val="center"/>
            <w:hideMark/>
          </w:tcPr>
          <w:p w14:paraId="72E49057" w14:textId="77777777" w:rsidR="00295ADF" w:rsidRDefault="00295ADF" w:rsidP="0091354F">
            <w:pPr>
              <w:jc w:val="center"/>
              <w:rPr>
                <w:lang w:bidi="he-IL"/>
              </w:rPr>
            </w:pPr>
            <w:r>
              <w:rPr>
                <w:color w:val="000000"/>
              </w:rPr>
              <w:t>110</w:t>
            </w:r>
          </w:p>
        </w:tc>
      </w:tr>
    </w:tbl>
    <w:p w14:paraId="758078DA" w14:textId="77777777" w:rsidR="00985F59" w:rsidRDefault="00985F59" w:rsidP="00985F59">
      <w:pPr>
        <w:pStyle w:val="Caption"/>
        <w:keepNext/>
        <w:rPr>
          <w:b/>
          <w:bCs/>
          <w:i w:val="0"/>
          <w:iCs w:val="0"/>
          <w:color w:val="auto"/>
          <w:sz w:val="24"/>
          <w:szCs w:val="24"/>
        </w:rPr>
      </w:pPr>
      <w:r>
        <w:rPr>
          <w:b/>
          <w:bCs/>
          <w:i w:val="0"/>
          <w:iCs w:val="0"/>
          <w:color w:val="auto"/>
          <w:sz w:val="24"/>
          <w:szCs w:val="24"/>
        </w:rPr>
        <w:lastRenderedPageBreak/>
        <w:t xml:space="preserve">Table 5: </w:t>
      </w:r>
      <w:r>
        <w:rPr>
          <w:i w:val="0"/>
          <w:iCs w:val="0"/>
          <w:color w:val="auto"/>
          <w:sz w:val="24"/>
          <w:szCs w:val="24"/>
        </w:rPr>
        <w:t>Contingency for On the Riches and Rewards of Discipleship (Mt 19:23–30; Mk 10:23–31; Lk 18:24–30) (Form/Lemma)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985F59" w14:paraId="16ED206D" w14:textId="77777777" w:rsidTr="0091354F">
        <w:tc>
          <w:tcPr>
            <w:tcW w:w="1870" w:type="dxa"/>
            <w:tcBorders>
              <w:top w:val="single" w:sz="4" w:space="0" w:color="auto"/>
              <w:left w:val="nil"/>
              <w:bottom w:val="nil"/>
              <w:right w:val="nil"/>
            </w:tcBorders>
            <w:vAlign w:val="center"/>
          </w:tcPr>
          <w:p w14:paraId="5CA937DB" w14:textId="77777777" w:rsidR="00985F59" w:rsidRDefault="00985F59" w:rsidP="0091354F">
            <w:pPr>
              <w:jc w:val="center"/>
              <w:rPr>
                <w:lang w:bidi="he-IL"/>
              </w:rPr>
            </w:pPr>
          </w:p>
        </w:tc>
        <w:tc>
          <w:tcPr>
            <w:tcW w:w="1870" w:type="dxa"/>
            <w:tcBorders>
              <w:top w:val="single" w:sz="4" w:space="0" w:color="auto"/>
              <w:left w:val="nil"/>
              <w:bottom w:val="nil"/>
              <w:right w:val="single" w:sz="4" w:space="0" w:color="auto"/>
            </w:tcBorders>
            <w:vAlign w:val="center"/>
          </w:tcPr>
          <w:p w14:paraId="62D0C5B7" w14:textId="77777777" w:rsidR="00985F59" w:rsidRDefault="00985F59" w:rsidP="0091354F">
            <w:pPr>
              <w:jc w:val="center"/>
              <w:rPr>
                <w:lang w:bidi="he-IL"/>
              </w:rPr>
            </w:pPr>
          </w:p>
        </w:tc>
        <w:tc>
          <w:tcPr>
            <w:tcW w:w="3740" w:type="dxa"/>
            <w:gridSpan w:val="2"/>
            <w:tcBorders>
              <w:top w:val="single" w:sz="4" w:space="0" w:color="auto"/>
              <w:left w:val="single" w:sz="4" w:space="0" w:color="auto"/>
              <w:bottom w:val="nil"/>
              <w:right w:val="single" w:sz="4" w:space="0" w:color="auto"/>
            </w:tcBorders>
            <w:vAlign w:val="center"/>
            <w:hideMark/>
          </w:tcPr>
          <w:p w14:paraId="7E3DF2AA" w14:textId="77777777" w:rsidR="00985F59" w:rsidRDefault="00985F59" w:rsidP="0091354F">
            <w:pPr>
              <w:jc w:val="center"/>
              <w:rPr>
                <w:lang w:bidi="he-IL"/>
              </w:rPr>
            </w:pPr>
            <w:r>
              <w:rPr>
                <w:lang w:bidi="he-IL"/>
              </w:rPr>
              <w:t>Luke</w:t>
            </w:r>
          </w:p>
        </w:tc>
        <w:tc>
          <w:tcPr>
            <w:tcW w:w="1870" w:type="dxa"/>
            <w:tcBorders>
              <w:top w:val="single" w:sz="4" w:space="0" w:color="auto"/>
              <w:left w:val="single" w:sz="4" w:space="0" w:color="auto"/>
              <w:bottom w:val="nil"/>
              <w:right w:val="nil"/>
            </w:tcBorders>
            <w:vAlign w:val="center"/>
          </w:tcPr>
          <w:p w14:paraId="29936742" w14:textId="77777777" w:rsidR="00985F59" w:rsidRDefault="00985F59" w:rsidP="0091354F">
            <w:pPr>
              <w:jc w:val="center"/>
              <w:rPr>
                <w:lang w:bidi="he-IL"/>
              </w:rPr>
            </w:pPr>
          </w:p>
        </w:tc>
      </w:tr>
      <w:tr w:rsidR="00985F59" w14:paraId="01A6C383" w14:textId="77777777" w:rsidTr="0091354F">
        <w:tc>
          <w:tcPr>
            <w:tcW w:w="1870" w:type="dxa"/>
            <w:tcBorders>
              <w:top w:val="nil"/>
              <w:left w:val="nil"/>
              <w:bottom w:val="single" w:sz="4" w:space="0" w:color="auto"/>
              <w:right w:val="nil"/>
            </w:tcBorders>
            <w:vAlign w:val="center"/>
          </w:tcPr>
          <w:p w14:paraId="2201BA16" w14:textId="77777777" w:rsidR="00985F59" w:rsidRDefault="00985F59" w:rsidP="0091354F">
            <w:pPr>
              <w:jc w:val="center"/>
              <w:rPr>
                <w:lang w:bidi="he-IL"/>
              </w:rPr>
            </w:pPr>
          </w:p>
        </w:tc>
        <w:tc>
          <w:tcPr>
            <w:tcW w:w="1870" w:type="dxa"/>
            <w:tcBorders>
              <w:top w:val="nil"/>
              <w:left w:val="nil"/>
              <w:bottom w:val="single" w:sz="4" w:space="0" w:color="auto"/>
              <w:right w:val="single" w:sz="4" w:space="0" w:color="auto"/>
            </w:tcBorders>
            <w:vAlign w:val="center"/>
          </w:tcPr>
          <w:p w14:paraId="374C9238" w14:textId="77777777" w:rsidR="00985F59" w:rsidRDefault="00985F59" w:rsidP="0091354F">
            <w:pPr>
              <w:jc w:val="center"/>
              <w:rPr>
                <w:lang w:bidi="he-IL"/>
              </w:rPr>
            </w:pPr>
          </w:p>
        </w:tc>
        <w:tc>
          <w:tcPr>
            <w:tcW w:w="1870" w:type="dxa"/>
            <w:tcBorders>
              <w:top w:val="nil"/>
              <w:left w:val="single" w:sz="4" w:space="0" w:color="auto"/>
              <w:bottom w:val="single" w:sz="4" w:space="0" w:color="auto"/>
              <w:right w:val="nil"/>
            </w:tcBorders>
            <w:vAlign w:val="center"/>
            <w:hideMark/>
          </w:tcPr>
          <w:p w14:paraId="0F9238FA" w14:textId="77777777" w:rsidR="00985F59" w:rsidRDefault="00985F59" w:rsidP="0091354F">
            <w:pPr>
              <w:jc w:val="center"/>
              <w:rPr>
                <w:lang w:bidi="he-IL"/>
              </w:rPr>
            </w:pPr>
            <w:r>
              <w:rPr>
                <w:lang w:bidi="he-IL"/>
              </w:rPr>
              <w:t>0</w:t>
            </w:r>
          </w:p>
        </w:tc>
        <w:tc>
          <w:tcPr>
            <w:tcW w:w="1870" w:type="dxa"/>
            <w:tcBorders>
              <w:top w:val="nil"/>
              <w:left w:val="nil"/>
              <w:bottom w:val="single" w:sz="4" w:space="0" w:color="auto"/>
              <w:right w:val="single" w:sz="4" w:space="0" w:color="auto"/>
            </w:tcBorders>
            <w:vAlign w:val="center"/>
            <w:hideMark/>
          </w:tcPr>
          <w:p w14:paraId="77A07EFF" w14:textId="77777777" w:rsidR="00985F59" w:rsidRDefault="00985F59"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6334F4F8" w14:textId="77777777" w:rsidR="00985F59" w:rsidRDefault="00985F59" w:rsidP="0091354F">
            <w:pPr>
              <w:jc w:val="center"/>
              <w:rPr>
                <w:lang w:bidi="he-IL"/>
              </w:rPr>
            </w:pPr>
            <w:r>
              <w:rPr>
                <w:lang w:bidi="he-IL"/>
              </w:rPr>
              <w:t>Total</w:t>
            </w:r>
          </w:p>
        </w:tc>
      </w:tr>
      <w:tr w:rsidR="00985F59" w14:paraId="611A3AE2" w14:textId="77777777" w:rsidTr="0091354F">
        <w:tc>
          <w:tcPr>
            <w:tcW w:w="1870" w:type="dxa"/>
            <w:vMerge w:val="restart"/>
            <w:tcBorders>
              <w:top w:val="single" w:sz="4" w:space="0" w:color="auto"/>
              <w:left w:val="nil"/>
              <w:bottom w:val="single" w:sz="4" w:space="0" w:color="auto"/>
              <w:right w:val="nil"/>
            </w:tcBorders>
            <w:vAlign w:val="center"/>
            <w:hideMark/>
          </w:tcPr>
          <w:p w14:paraId="75A71DE7" w14:textId="77777777" w:rsidR="00985F59" w:rsidRDefault="00985F59" w:rsidP="0091354F">
            <w:pPr>
              <w:jc w:val="center"/>
              <w:rPr>
                <w:lang w:bidi="he-IL"/>
              </w:rPr>
            </w:pPr>
            <w:r>
              <w:rPr>
                <w:lang w:bidi="he-IL"/>
              </w:rPr>
              <w:t>Matthew</w:t>
            </w:r>
          </w:p>
        </w:tc>
        <w:tc>
          <w:tcPr>
            <w:tcW w:w="1870" w:type="dxa"/>
            <w:tcBorders>
              <w:top w:val="single" w:sz="4" w:space="0" w:color="auto"/>
              <w:left w:val="nil"/>
              <w:bottom w:val="nil"/>
              <w:right w:val="single" w:sz="4" w:space="0" w:color="auto"/>
            </w:tcBorders>
            <w:vAlign w:val="center"/>
            <w:hideMark/>
          </w:tcPr>
          <w:p w14:paraId="2733124B" w14:textId="77777777" w:rsidR="00985F59" w:rsidRDefault="00985F59" w:rsidP="0091354F">
            <w:pPr>
              <w:jc w:val="center"/>
              <w:rPr>
                <w:lang w:bidi="he-IL"/>
              </w:rPr>
            </w:pPr>
            <w:r>
              <w:rPr>
                <w:lang w:bidi="he-IL"/>
              </w:rPr>
              <w:t>0</w:t>
            </w:r>
          </w:p>
          <w:p w14:paraId="6D51917F" w14:textId="77777777" w:rsidR="00985F59" w:rsidRDefault="00985F59" w:rsidP="0091354F">
            <w:pPr>
              <w:jc w:val="center"/>
              <w:rPr>
                <w:lang w:bidi="he-IL"/>
              </w:rPr>
            </w:pPr>
          </w:p>
          <w:p w14:paraId="6D47B590" w14:textId="77777777" w:rsidR="00985F59" w:rsidRDefault="00985F59"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730D3C09" w14:textId="77777777" w:rsidR="00985F59" w:rsidRDefault="00985F59" w:rsidP="0091354F">
            <w:pPr>
              <w:jc w:val="center"/>
              <w:rPr>
                <w:color w:val="000000"/>
              </w:rPr>
            </w:pPr>
            <w:r>
              <w:rPr>
                <w:color w:val="000000"/>
              </w:rPr>
              <w:t>66 / 57</w:t>
            </w:r>
          </w:p>
          <w:p w14:paraId="5DC526AB" w14:textId="77777777" w:rsidR="00985F59" w:rsidRDefault="00985F59" w:rsidP="0091354F">
            <w:pPr>
              <w:jc w:val="center"/>
              <w:rPr>
                <w:color w:val="000000"/>
              </w:rPr>
            </w:pPr>
            <w:r>
              <w:rPr>
                <w:color w:val="000000"/>
              </w:rPr>
              <w:t>(54.13 / 42.04)</w:t>
            </w:r>
          </w:p>
          <w:p w14:paraId="6F6962A2" w14:textId="77777777" w:rsidR="00985F59" w:rsidRDefault="00985F59" w:rsidP="0091354F">
            <w:pPr>
              <w:jc w:val="center"/>
              <w:rPr>
                <w:color w:val="000000"/>
              </w:rPr>
            </w:pPr>
          </w:p>
          <w:p w14:paraId="38F9CC00" w14:textId="77777777" w:rsidR="00985F59" w:rsidRDefault="00985F59" w:rsidP="0091354F">
            <w:pPr>
              <w:jc w:val="center"/>
              <w:rPr>
                <w:lang w:bidi="he-IL"/>
              </w:rPr>
            </w:pPr>
          </w:p>
        </w:tc>
        <w:tc>
          <w:tcPr>
            <w:tcW w:w="1870" w:type="dxa"/>
            <w:tcBorders>
              <w:top w:val="single" w:sz="4" w:space="0" w:color="auto"/>
              <w:left w:val="nil"/>
              <w:bottom w:val="nil"/>
              <w:right w:val="single" w:sz="4" w:space="0" w:color="auto"/>
            </w:tcBorders>
            <w:vAlign w:val="center"/>
            <w:hideMark/>
          </w:tcPr>
          <w:p w14:paraId="6213EC3F" w14:textId="77777777" w:rsidR="00985F59" w:rsidRDefault="00985F59" w:rsidP="0091354F">
            <w:pPr>
              <w:jc w:val="center"/>
              <w:rPr>
                <w:color w:val="000000"/>
              </w:rPr>
            </w:pPr>
            <w:r>
              <w:rPr>
                <w:color w:val="000000"/>
              </w:rPr>
              <w:t xml:space="preserve">23 / 22 </w:t>
            </w:r>
          </w:p>
          <w:p w14:paraId="315B1B55" w14:textId="77777777" w:rsidR="00985F59" w:rsidRDefault="00985F59" w:rsidP="0091354F">
            <w:pPr>
              <w:jc w:val="center"/>
              <w:rPr>
                <w:color w:val="000000"/>
              </w:rPr>
            </w:pPr>
            <w:r>
              <w:rPr>
                <w:color w:val="000000"/>
              </w:rPr>
              <w:t>(34.87 / 36.96)</w:t>
            </w:r>
          </w:p>
          <w:p w14:paraId="0F345BAE" w14:textId="77777777" w:rsidR="00985F59" w:rsidRDefault="00985F59" w:rsidP="0091354F">
            <w:pPr>
              <w:jc w:val="center"/>
              <w:rPr>
                <w:color w:val="000000"/>
              </w:rPr>
            </w:pPr>
          </w:p>
          <w:p w14:paraId="66ADE6D8" w14:textId="77777777" w:rsidR="00985F59" w:rsidRDefault="00985F59"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387DD4FF" w14:textId="77777777" w:rsidR="00985F59" w:rsidRDefault="00985F59" w:rsidP="0091354F">
            <w:pPr>
              <w:jc w:val="center"/>
              <w:rPr>
                <w:color w:val="000000"/>
              </w:rPr>
            </w:pPr>
            <w:r>
              <w:rPr>
                <w:color w:val="000000"/>
              </w:rPr>
              <w:t>89 / 79</w:t>
            </w:r>
          </w:p>
          <w:p w14:paraId="4E60FD06" w14:textId="77777777" w:rsidR="00985F59" w:rsidRDefault="00985F59" w:rsidP="0091354F">
            <w:pPr>
              <w:jc w:val="center"/>
              <w:rPr>
                <w:color w:val="000000"/>
              </w:rPr>
            </w:pPr>
          </w:p>
          <w:p w14:paraId="79D7A678" w14:textId="77777777" w:rsidR="00985F59" w:rsidRDefault="00985F59" w:rsidP="0091354F">
            <w:pPr>
              <w:jc w:val="center"/>
              <w:rPr>
                <w:lang w:bidi="he-IL"/>
              </w:rPr>
            </w:pPr>
          </w:p>
        </w:tc>
      </w:tr>
      <w:tr w:rsidR="00985F59" w14:paraId="198CABF5" w14:textId="77777777" w:rsidTr="0091354F">
        <w:tc>
          <w:tcPr>
            <w:tcW w:w="0" w:type="auto"/>
            <w:vMerge/>
            <w:tcBorders>
              <w:top w:val="single" w:sz="4" w:space="0" w:color="auto"/>
              <w:left w:val="nil"/>
              <w:bottom w:val="single" w:sz="4" w:space="0" w:color="auto"/>
              <w:right w:val="nil"/>
            </w:tcBorders>
            <w:vAlign w:val="center"/>
            <w:hideMark/>
          </w:tcPr>
          <w:p w14:paraId="4651E284" w14:textId="77777777" w:rsidR="00985F59" w:rsidRDefault="00985F59" w:rsidP="0091354F">
            <w:pPr>
              <w:rPr>
                <w:lang w:bidi="he-IL"/>
              </w:rPr>
            </w:pPr>
          </w:p>
        </w:tc>
        <w:tc>
          <w:tcPr>
            <w:tcW w:w="1870" w:type="dxa"/>
            <w:tcBorders>
              <w:top w:val="nil"/>
              <w:left w:val="nil"/>
              <w:bottom w:val="single" w:sz="4" w:space="0" w:color="auto"/>
              <w:right w:val="single" w:sz="4" w:space="0" w:color="auto"/>
            </w:tcBorders>
            <w:vAlign w:val="center"/>
            <w:hideMark/>
          </w:tcPr>
          <w:p w14:paraId="4E6BC9CE" w14:textId="77777777" w:rsidR="00985F59" w:rsidRDefault="00985F59"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1829B43D" w14:textId="77777777" w:rsidR="00985F59" w:rsidRDefault="00985F59" w:rsidP="0091354F">
            <w:pPr>
              <w:jc w:val="center"/>
              <w:rPr>
                <w:color w:val="000000"/>
              </w:rPr>
            </w:pPr>
            <w:r>
              <w:rPr>
                <w:color w:val="000000"/>
              </w:rPr>
              <w:t>38 / 34</w:t>
            </w:r>
          </w:p>
          <w:p w14:paraId="12F437D1" w14:textId="77777777" w:rsidR="00985F59" w:rsidRDefault="00985F59" w:rsidP="0091354F">
            <w:pPr>
              <w:jc w:val="center"/>
              <w:rPr>
                <w:lang w:bidi="he-IL"/>
              </w:rPr>
            </w:pPr>
            <w:r>
              <w:rPr>
                <w:color w:val="000000"/>
              </w:rPr>
              <w:t>(49.87 / 48.96)</w:t>
            </w:r>
          </w:p>
        </w:tc>
        <w:tc>
          <w:tcPr>
            <w:tcW w:w="1870" w:type="dxa"/>
            <w:tcBorders>
              <w:top w:val="nil"/>
              <w:left w:val="nil"/>
              <w:bottom w:val="single" w:sz="4" w:space="0" w:color="auto"/>
              <w:right w:val="single" w:sz="4" w:space="0" w:color="auto"/>
            </w:tcBorders>
            <w:vAlign w:val="center"/>
            <w:hideMark/>
          </w:tcPr>
          <w:p w14:paraId="3E0E147C" w14:textId="77777777" w:rsidR="00985F59" w:rsidRDefault="00985F59" w:rsidP="0091354F">
            <w:pPr>
              <w:jc w:val="center"/>
              <w:rPr>
                <w:color w:val="000000"/>
              </w:rPr>
            </w:pPr>
            <w:r>
              <w:rPr>
                <w:color w:val="000000"/>
              </w:rPr>
              <w:t>44 / 58</w:t>
            </w:r>
          </w:p>
          <w:p w14:paraId="3D349E6E" w14:textId="77777777" w:rsidR="00985F59" w:rsidRDefault="00985F59" w:rsidP="0091354F">
            <w:pPr>
              <w:jc w:val="center"/>
              <w:rPr>
                <w:lang w:bidi="he-IL"/>
              </w:rPr>
            </w:pPr>
            <w:r>
              <w:rPr>
                <w:color w:val="000000"/>
              </w:rPr>
              <w:t>(32.13 / 43.04)</w:t>
            </w:r>
          </w:p>
        </w:tc>
        <w:tc>
          <w:tcPr>
            <w:tcW w:w="1870" w:type="dxa"/>
            <w:tcBorders>
              <w:top w:val="nil"/>
              <w:left w:val="single" w:sz="4" w:space="0" w:color="auto"/>
              <w:bottom w:val="single" w:sz="4" w:space="0" w:color="auto"/>
              <w:right w:val="nil"/>
            </w:tcBorders>
            <w:vAlign w:val="center"/>
            <w:hideMark/>
          </w:tcPr>
          <w:p w14:paraId="26AEC372" w14:textId="77777777" w:rsidR="00985F59" w:rsidRDefault="00985F59" w:rsidP="0091354F">
            <w:pPr>
              <w:jc w:val="center"/>
              <w:rPr>
                <w:lang w:bidi="he-IL"/>
              </w:rPr>
            </w:pPr>
            <w:r>
              <w:rPr>
                <w:color w:val="000000"/>
              </w:rPr>
              <w:t>82 / 92</w:t>
            </w:r>
          </w:p>
        </w:tc>
      </w:tr>
      <w:tr w:rsidR="00985F59" w14:paraId="15F8BE62" w14:textId="77777777" w:rsidTr="0091354F">
        <w:tc>
          <w:tcPr>
            <w:tcW w:w="1870" w:type="dxa"/>
            <w:tcBorders>
              <w:top w:val="single" w:sz="4" w:space="0" w:color="auto"/>
              <w:left w:val="nil"/>
              <w:bottom w:val="single" w:sz="4" w:space="0" w:color="auto"/>
              <w:right w:val="nil"/>
            </w:tcBorders>
            <w:vAlign w:val="center"/>
          </w:tcPr>
          <w:p w14:paraId="44AD8AAE" w14:textId="77777777" w:rsidR="00985F59" w:rsidRDefault="00985F59" w:rsidP="0091354F">
            <w:pPr>
              <w:jc w:val="center"/>
              <w:rPr>
                <w:lang w:bidi="he-IL"/>
              </w:rPr>
            </w:pPr>
          </w:p>
        </w:tc>
        <w:tc>
          <w:tcPr>
            <w:tcW w:w="1870" w:type="dxa"/>
            <w:tcBorders>
              <w:top w:val="single" w:sz="4" w:space="0" w:color="auto"/>
              <w:left w:val="nil"/>
              <w:bottom w:val="single" w:sz="4" w:space="0" w:color="auto"/>
              <w:right w:val="single" w:sz="4" w:space="0" w:color="auto"/>
            </w:tcBorders>
            <w:vAlign w:val="center"/>
            <w:hideMark/>
          </w:tcPr>
          <w:p w14:paraId="50AE0349" w14:textId="77777777" w:rsidR="00985F59" w:rsidRDefault="00985F59" w:rsidP="0091354F">
            <w:pPr>
              <w:jc w:val="center"/>
              <w:rPr>
                <w:lang w:bidi="he-IL"/>
              </w:rPr>
            </w:pPr>
            <w:r>
              <w:rPr>
                <w:lang w:bidi="he-IL"/>
              </w:rPr>
              <w:t>Total</w:t>
            </w:r>
          </w:p>
        </w:tc>
        <w:tc>
          <w:tcPr>
            <w:tcW w:w="1870" w:type="dxa"/>
            <w:tcBorders>
              <w:top w:val="single" w:sz="4" w:space="0" w:color="auto"/>
              <w:left w:val="single" w:sz="4" w:space="0" w:color="auto"/>
              <w:bottom w:val="single" w:sz="4" w:space="0" w:color="auto"/>
              <w:right w:val="nil"/>
            </w:tcBorders>
            <w:vAlign w:val="center"/>
            <w:hideMark/>
          </w:tcPr>
          <w:p w14:paraId="3EC0EBB3" w14:textId="77777777" w:rsidR="00985F59" w:rsidRDefault="00985F59" w:rsidP="0091354F">
            <w:pPr>
              <w:jc w:val="center"/>
              <w:rPr>
                <w:lang w:bidi="he-IL"/>
              </w:rPr>
            </w:pPr>
            <w:r>
              <w:rPr>
                <w:color w:val="000000"/>
              </w:rPr>
              <w:t>104 / 91</w:t>
            </w:r>
          </w:p>
        </w:tc>
        <w:tc>
          <w:tcPr>
            <w:tcW w:w="1870" w:type="dxa"/>
            <w:tcBorders>
              <w:top w:val="single" w:sz="4" w:space="0" w:color="auto"/>
              <w:left w:val="nil"/>
              <w:bottom w:val="single" w:sz="4" w:space="0" w:color="auto"/>
              <w:right w:val="single" w:sz="4" w:space="0" w:color="auto"/>
            </w:tcBorders>
            <w:vAlign w:val="center"/>
            <w:hideMark/>
          </w:tcPr>
          <w:p w14:paraId="0A1F0640" w14:textId="77777777" w:rsidR="00985F59" w:rsidRDefault="00985F59" w:rsidP="0091354F">
            <w:pPr>
              <w:jc w:val="center"/>
              <w:rPr>
                <w:lang w:bidi="he-IL"/>
              </w:rPr>
            </w:pPr>
            <w:r>
              <w:rPr>
                <w:lang w:bidi="he-IL"/>
              </w:rPr>
              <w:t>67 / 80</w:t>
            </w:r>
          </w:p>
        </w:tc>
        <w:tc>
          <w:tcPr>
            <w:tcW w:w="1870" w:type="dxa"/>
            <w:tcBorders>
              <w:top w:val="single" w:sz="4" w:space="0" w:color="auto"/>
              <w:left w:val="single" w:sz="4" w:space="0" w:color="auto"/>
              <w:bottom w:val="single" w:sz="4" w:space="0" w:color="auto"/>
              <w:right w:val="nil"/>
            </w:tcBorders>
            <w:vAlign w:val="center"/>
            <w:hideMark/>
          </w:tcPr>
          <w:p w14:paraId="633F7F05" w14:textId="77777777" w:rsidR="00985F59" w:rsidRDefault="00985F59" w:rsidP="0091354F">
            <w:pPr>
              <w:jc w:val="center"/>
              <w:rPr>
                <w:lang w:bidi="he-IL"/>
              </w:rPr>
            </w:pPr>
            <w:r>
              <w:rPr>
                <w:color w:val="000000"/>
              </w:rPr>
              <w:t>171</w:t>
            </w:r>
          </w:p>
        </w:tc>
      </w:tr>
    </w:tbl>
    <w:p w14:paraId="411248D2" w14:textId="0E49DE42" w:rsidR="00985F59" w:rsidRDefault="00985F59" w:rsidP="00C71DDD">
      <w:pPr>
        <w:rPr>
          <w:lang w:bidi="he-IL"/>
        </w:rPr>
      </w:pPr>
    </w:p>
    <w:p w14:paraId="42E037D5" w14:textId="77777777" w:rsidR="005F2995" w:rsidRDefault="005F2995" w:rsidP="00C71DDD">
      <w:pPr>
        <w:rPr>
          <w:lang w:bidi="he-IL"/>
        </w:rPr>
      </w:pPr>
    </w:p>
    <w:p w14:paraId="68C41A33" w14:textId="77DC8844" w:rsidR="005266B5" w:rsidRDefault="005266B5" w:rsidP="005266B5">
      <w:pPr>
        <w:pStyle w:val="Caption"/>
        <w:keepNext/>
        <w:rPr>
          <w:b/>
          <w:bCs/>
          <w:i w:val="0"/>
          <w:iCs w:val="0"/>
          <w:color w:val="auto"/>
          <w:sz w:val="24"/>
          <w:szCs w:val="24"/>
        </w:rPr>
      </w:pPr>
      <w:r>
        <w:rPr>
          <w:b/>
          <w:bCs/>
          <w:i w:val="0"/>
          <w:iCs w:val="0"/>
          <w:color w:val="auto"/>
          <w:sz w:val="24"/>
          <w:szCs w:val="24"/>
        </w:rPr>
        <w:t xml:space="preserve">Table 6: </w:t>
      </w:r>
      <w:r>
        <w:rPr>
          <w:i w:val="0"/>
          <w:iCs w:val="0"/>
          <w:color w:val="auto"/>
          <w:sz w:val="24"/>
          <w:szCs w:val="24"/>
        </w:rPr>
        <w:t xml:space="preserve">Contingency for </w:t>
      </w:r>
      <w:r w:rsidRPr="000D7609">
        <w:rPr>
          <w:i w:val="0"/>
          <w:iCs w:val="0"/>
          <w:color w:val="auto"/>
          <w:sz w:val="24"/>
          <w:szCs w:val="24"/>
        </w:rPr>
        <w:t>The Sick Healed at Evening (Mt 8:16–17; Mk 1:32–34; Lk 4:40–41)</w:t>
      </w:r>
      <w:r>
        <w:rPr>
          <w:i w:val="0"/>
          <w:iCs w:val="0"/>
          <w:color w:val="auto"/>
          <w:sz w:val="24"/>
          <w:szCs w:val="24"/>
        </w:rPr>
        <w:t xml:space="preserve"> (Form/Lemma)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5266B5" w14:paraId="7BE0AF78" w14:textId="77777777" w:rsidTr="0091354F">
        <w:tc>
          <w:tcPr>
            <w:tcW w:w="1870" w:type="dxa"/>
            <w:tcBorders>
              <w:top w:val="single" w:sz="4" w:space="0" w:color="auto"/>
              <w:left w:val="nil"/>
              <w:bottom w:val="nil"/>
              <w:right w:val="nil"/>
            </w:tcBorders>
            <w:vAlign w:val="center"/>
          </w:tcPr>
          <w:p w14:paraId="462DF7B6" w14:textId="77777777" w:rsidR="005266B5" w:rsidRDefault="005266B5" w:rsidP="0091354F">
            <w:pPr>
              <w:jc w:val="center"/>
              <w:rPr>
                <w:lang w:bidi="he-IL"/>
              </w:rPr>
            </w:pPr>
          </w:p>
        </w:tc>
        <w:tc>
          <w:tcPr>
            <w:tcW w:w="1870" w:type="dxa"/>
            <w:tcBorders>
              <w:top w:val="single" w:sz="4" w:space="0" w:color="auto"/>
              <w:left w:val="nil"/>
              <w:bottom w:val="nil"/>
              <w:right w:val="single" w:sz="4" w:space="0" w:color="auto"/>
            </w:tcBorders>
            <w:vAlign w:val="center"/>
          </w:tcPr>
          <w:p w14:paraId="6C84CB25" w14:textId="77777777" w:rsidR="005266B5" w:rsidRDefault="005266B5" w:rsidP="0091354F">
            <w:pPr>
              <w:jc w:val="center"/>
              <w:rPr>
                <w:lang w:bidi="he-IL"/>
              </w:rPr>
            </w:pPr>
          </w:p>
        </w:tc>
        <w:tc>
          <w:tcPr>
            <w:tcW w:w="3740" w:type="dxa"/>
            <w:gridSpan w:val="2"/>
            <w:tcBorders>
              <w:top w:val="single" w:sz="4" w:space="0" w:color="auto"/>
              <w:left w:val="single" w:sz="4" w:space="0" w:color="auto"/>
              <w:bottom w:val="nil"/>
              <w:right w:val="single" w:sz="4" w:space="0" w:color="auto"/>
            </w:tcBorders>
            <w:vAlign w:val="center"/>
            <w:hideMark/>
          </w:tcPr>
          <w:p w14:paraId="3D7235F7" w14:textId="77777777" w:rsidR="005266B5" w:rsidRDefault="005266B5" w:rsidP="0091354F">
            <w:pPr>
              <w:jc w:val="center"/>
              <w:rPr>
                <w:lang w:bidi="he-IL"/>
              </w:rPr>
            </w:pPr>
            <w:r>
              <w:rPr>
                <w:lang w:bidi="he-IL"/>
              </w:rPr>
              <w:t>Luke</w:t>
            </w:r>
          </w:p>
        </w:tc>
        <w:tc>
          <w:tcPr>
            <w:tcW w:w="1870" w:type="dxa"/>
            <w:tcBorders>
              <w:top w:val="single" w:sz="4" w:space="0" w:color="auto"/>
              <w:left w:val="single" w:sz="4" w:space="0" w:color="auto"/>
              <w:bottom w:val="nil"/>
              <w:right w:val="nil"/>
            </w:tcBorders>
            <w:vAlign w:val="center"/>
          </w:tcPr>
          <w:p w14:paraId="618D1161" w14:textId="77777777" w:rsidR="005266B5" w:rsidRDefault="005266B5" w:rsidP="0091354F">
            <w:pPr>
              <w:jc w:val="center"/>
              <w:rPr>
                <w:lang w:bidi="he-IL"/>
              </w:rPr>
            </w:pPr>
          </w:p>
        </w:tc>
      </w:tr>
      <w:tr w:rsidR="005266B5" w14:paraId="0119027E" w14:textId="77777777" w:rsidTr="0091354F">
        <w:tc>
          <w:tcPr>
            <w:tcW w:w="1870" w:type="dxa"/>
            <w:tcBorders>
              <w:top w:val="nil"/>
              <w:left w:val="nil"/>
              <w:bottom w:val="single" w:sz="4" w:space="0" w:color="auto"/>
              <w:right w:val="nil"/>
            </w:tcBorders>
            <w:vAlign w:val="center"/>
          </w:tcPr>
          <w:p w14:paraId="75B88ABF" w14:textId="77777777" w:rsidR="005266B5" w:rsidRDefault="005266B5" w:rsidP="0091354F">
            <w:pPr>
              <w:jc w:val="center"/>
              <w:rPr>
                <w:lang w:bidi="he-IL"/>
              </w:rPr>
            </w:pPr>
          </w:p>
        </w:tc>
        <w:tc>
          <w:tcPr>
            <w:tcW w:w="1870" w:type="dxa"/>
            <w:tcBorders>
              <w:top w:val="nil"/>
              <w:left w:val="nil"/>
              <w:bottom w:val="single" w:sz="4" w:space="0" w:color="auto"/>
              <w:right w:val="single" w:sz="4" w:space="0" w:color="auto"/>
            </w:tcBorders>
            <w:vAlign w:val="center"/>
          </w:tcPr>
          <w:p w14:paraId="43AFC0D7" w14:textId="77777777" w:rsidR="005266B5" w:rsidRDefault="005266B5" w:rsidP="0091354F">
            <w:pPr>
              <w:jc w:val="center"/>
              <w:rPr>
                <w:lang w:bidi="he-IL"/>
              </w:rPr>
            </w:pPr>
          </w:p>
        </w:tc>
        <w:tc>
          <w:tcPr>
            <w:tcW w:w="1870" w:type="dxa"/>
            <w:tcBorders>
              <w:top w:val="nil"/>
              <w:left w:val="single" w:sz="4" w:space="0" w:color="auto"/>
              <w:bottom w:val="single" w:sz="4" w:space="0" w:color="auto"/>
              <w:right w:val="nil"/>
            </w:tcBorders>
            <w:vAlign w:val="center"/>
            <w:hideMark/>
          </w:tcPr>
          <w:p w14:paraId="4885D0E5" w14:textId="77777777" w:rsidR="005266B5" w:rsidRDefault="005266B5" w:rsidP="0091354F">
            <w:pPr>
              <w:jc w:val="center"/>
              <w:rPr>
                <w:lang w:bidi="he-IL"/>
              </w:rPr>
            </w:pPr>
            <w:r>
              <w:rPr>
                <w:lang w:bidi="he-IL"/>
              </w:rPr>
              <w:t>0</w:t>
            </w:r>
          </w:p>
        </w:tc>
        <w:tc>
          <w:tcPr>
            <w:tcW w:w="1870" w:type="dxa"/>
            <w:tcBorders>
              <w:top w:val="nil"/>
              <w:left w:val="nil"/>
              <w:bottom w:val="single" w:sz="4" w:space="0" w:color="auto"/>
              <w:right w:val="single" w:sz="4" w:space="0" w:color="auto"/>
            </w:tcBorders>
            <w:vAlign w:val="center"/>
            <w:hideMark/>
          </w:tcPr>
          <w:p w14:paraId="50ABC465" w14:textId="77777777" w:rsidR="005266B5" w:rsidRDefault="005266B5"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689A4369" w14:textId="77777777" w:rsidR="005266B5" w:rsidRDefault="005266B5" w:rsidP="0091354F">
            <w:pPr>
              <w:jc w:val="center"/>
              <w:rPr>
                <w:lang w:bidi="he-IL"/>
              </w:rPr>
            </w:pPr>
            <w:r>
              <w:rPr>
                <w:lang w:bidi="he-IL"/>
              </w:rPr>
              <w:t>Total</w:t>
            </w:r>
          </w:p>
        </w:tc>
      </w:tr>
      <w:tr w:rsidR="005266B5" w14:paraId="462918BC" w14:textId="77777777" w:rsidTr="0091354F">
        <w:tc>
          <w:tcPr>
            <w:tcW w:w="1870" w:type="dxa"/>
            <w:vMerge w:val="restart"/>
            <w:tcBorders>
              <w:top w:val="single" w:sz="4" w:space="0" w:color="auto"/>
              <w:left w:val="nil"/>
              <w:bottom w:val="single" w:sz="4" w:space="0" w:color="auto"/>
              <w:right w:val="nil"/>
            </w:tcBorders>
            <w:vAlign w:val="center"/>
            <w:hideMark/>
          </w:tcPr>
          <w:p w14:paraId="37814C1A" w14:textId="77777777" w:rsidR="005266B5" w:rsidRDefault="005266B5" w:rsidP="0091354F">
            <w:pPr>
              <w:jc w:val="center"/>
              <w:rPr>
                <w:lang w:bidi="he-IL"/>
              </w:rPr>
            </w:pPr>
            <w:r>
              <w:rPr>
                <w:lang w:bidi="he-IL"/>
              </w:rPr>
              <w:t>Matthew</w:t>
            </w:r>
          </w:p>
        </w:tc>
        <w:tc>
          <w:tcPr>
            <w:tcW w:w="1870" w:type="dxa"/>
            <w:tcBorders>
              <w:top w:val="single" w:sz="4" w:space="0" w:color="auto"/>
              <w:left w:val="nil"/>
              <w:bottom w:val="nil"/>
              <w:right w:val="single" w:sz="4" w:space="0" w:color="auto"/>
            </w:tcBorders>
            <w:vAlign w:val="center"/>
            <w:hideMark/>
          </w:tcPr>
          <w:p w14:paraId="7651615A" w14:textId="77777777" w:rsidR="005266B5" w:rsidRDefault="005266B5" w:rsidP="0091354F">
            <w:pPr>
              <w:jc w:val="center"/>
              <w:rPr>
                <w:lang w:bidi="he-IL"/>
              </w:rPr>
            </w:pPr>
            <w:r>
              <w:rPr>
                <w:lang w:bidi="he-IL"/>
              </w:rPr>
              <w:t>0</w:t>
            </w:r>
          </w:p>
          <w:p w14:paraId="2B10B22E" w14:textId="77777777" w:rsidR="005266B5" w:rsidRDefault="005266B5" w:rsidP="0091354F">
            <w:pPr>
              <w:jc w:val="center"/>
              <w:rPr>
                <w:lang w:bidi="he-IL"/>
              </w:rPr>
            </w:pPr>
          </w:p>
          <w:p w14:paraId="3A906B8C" w14:textId="77777777" w:rsidR="005266B5" w:rsidRDefault="005266B5"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517AB5B9" w14:textId="77777777" w:rsidR="005266B5" w:rsidRDefault="005266B5" w:rsidP="0091354F">
            <w:pPr>
              <w:jc w:val="center"/>
              <w:rPr>
                <w:color w:val="000000"/>
              </w:rPr>
            </w:pPr>
            <w:r>
              <w:rPr>
                <w:color w:val="000000"/>
              </w:rPr>
              <w:t>24 / 21</w:t>
            </w:r>
          </w:p>
          <w:p w14:paraId="6B9A4834" w14:textId="77777777" w:rsidR="005266B5" w:rsidRDefault="005266B5" w:rsidP="0091354F">
            <w:pPr>
              <w:jc w:val="center"/>
              <w:rPr>
                <w:color w:val="000000"/>
              </w:rPr>
            </w:pPr>
            <w:r>
              <w:rPr>
                <w:color w:val="000000"/>
              </w:rPr>
              <w:t>(25.11 / 22.17)</w:t>
            </w:r>
          </w:p>
          <w:p w14:paraId="18D0F678" w14:textId="77777777" w:rsidR="005266B5" w:rsidRDefault="005266B5" w:rsidP="0091354F">
            <w:pPr>
              <w:jc w:val="center"/>
              <w:rPr>
                <w:color w:val="000000"/>
              </w:rPr>
            </w:pPr>
          </w:p>
          <w:p w14:paraId="238C0B93" w14:textId="77777777" w:rsidR="005266B5" w:rsidRDefault="005266B5" w:rsidP="0091354F">
            <w:pPr>
              <w:jc w:val="center"/>
              <w:rPr>
                <w:lang w:bidi="he-IL"/>
              </w:rPr>
            </w:pPr>
          </w:p>
        </w:tc>
        <w:tc>
          <w:tcPr>
            <w:tcW w:w="1870" w:type="dxa"/>
            <w:tcBorders>
              <w:top w:val="single" w:sz="4" w:space="0" w:color="auto"/>
              <w:left w:val="nil"/>
              <w:bottom w:val="nil"/>
              <w:right w:val="single" w:sz="4" w:space="0" w:color="auto"/>
            </w:tcBorders>
            <w:vAlign w:val="center"/>
            <w:hideMark/>
          </w:tcPr>
          <w:p w14:paraId="4EA4BFCC" w14:textId="77777777" w:rsidR="005266B5" w:rsidRDefault="005266B5" w:rsidP="0091354F">
            <w:pPr>
              <w:jc w:val="center"/>
              <w:rPr>
                <w:color w:val="000000"/>
              </w:rPr>
            </w:pPr>
            <w:r>
              <w:rPr>
                <w:color w:val="000000"/>
              </w:rPr>
              <w:t xml:space="preserve">11 / 13 </w:t>
            </w:r>
          </w:p>
          <w:p w14:paraId="215ED432" w14:textId="77777777" w:rsidR="005266B5" w:rsidRDefault="005266B5" w:rsidP="0091354F">
            <w:pPr>
              <w:jc w:val="center"/>
              <w:rPr>
                <w:color w:val="000000"/>
              </w:rPr>
            </w:pPr>
            <w:r>
              <w:rPr>
                <w:color w:val="000000"/>
              </w:rPr>
              <w:t>(9.89 / 11.83)</w:t>
            </w:r>
          </w:p>
          <w:p w14:paraId="4DFF48E5" w14:textId="77777777" w:rsidR="005266B5" w:rsidRDefault="005266B5" w:rsidP="0091354F">
            <w:pPr>
              <w:jc w:val="center"/>
              <w:rPr>
                <w:color w:val="000000"/>
              </w:rPr>
            </w:pPr>
          </w:p>
          <w:p w14:paraId="559C6503" w14:textId="77777777" w:rsidR="005266B5" w:rsidRDefault="005266B5"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6BDC0C8A" w14:textId="77777777" w:rsidR="005266B5" w:rsidRDefault="005266B5" w:rsidP="0091354F">
            <w:pPr>
              <w:jc w:val="center"/>
              <w:rPr>
                <w:color w:val="000000"/>
              </w:rPr>
            </w:pPr>
            <w:r>
              <w:rPr>
                <w:color w:val="000000"/>
              </w:rPr>
              <w:t>35 / 34</w:t>
            </w:r>
          </w:p>
          <w:p w14:paraId="73D9EBE9" w14:textId="77777777" w:rsidR="005266B5" w:rsidRDefault="005266B5" w:rsidP="0091354F">
            <w:pPr>
              <w:jc w:val="center"/>
              <w:rPr>
                <w:color w:val="000000"/>
              </w:rPr>
            </w:pPr>
          </w:p>
          <w:p w14:paraId="0A3C4B80" w14:textId="77777777" w:rsidR="005266B5" w:rsidRDefault="005266B5" w:rsidP="0091354F">
            <w:pPr>
              <w:jc w:val="center"/>
              <w:rPr>
                <w:lang w:bidi="he-IL"/>
              </w:rPr>
            </w:pPr>
          </w:p>
        </w:tc>
      </w:tr>
      <w:tr w:rsidR="005266B5" w14:paraId="06BAB3E5" w14:textId="77777777" w:rsidTr="0091354F">
        <w:tc>
          <w:tcPr>
            <w:tcW w:w="0" w:type="auto"/>
            <w:vMerge/>
            <w:tcBorders>
              <w:top w:val="single" w:sz="4" w:space="0" w:color="auto"/>
              <w:left w:val="nil"/>
              <w:bottom w:val="single" w:sz="4" w:space="0" w:color="auto"/>
              <w:right w:val="nil"/>
            </w:tcBorders>
            <w:vAlign w:val="center"/>
            <w:hideMark/>
          </w:tcPr>
          <w:p w14:paraId="31A6B6B8" w14:textId="77777777" w:rsidR="005266B5" w:rsidRDefault="005266B5" w:rsidP="0091354F">
            <w:pPr>
              <w:rPr>
                <w:lang w:bidi="he-IL"/>
              </w:rPr>
            </w:pPr>
          </w:p>
        </w:tc>
        <w:tc>
          <w:tcPr>
            <w:tcW w:w="1870" w:type="dxa"/>
            <w:tcBorders>
              <w:top w:val="nil"/>
              <w:left w:val="nil"/>
              <w:bottom w:val="single" w:sz="4" w:space="0" w:color="auto"/>
              <w:right w:val="single" w:sz="4" w:space="0" w:color="auto"/>
            </w:tcBorders>
            <w:vAlign w:val="center"/>
            <w:hideMark/>
          </w:tcPr>
          <w:p w14:paraId="63BC8330" w14:textId="77777777" w:rsidR="005266B5" w:rsidRDefault="005266B5"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5201BA2E" w14:textId="77777777" w:rsidR="005266B5" w:rsidRDefault="005266B5" w:rsidP="0091354F">
            <w:pPr>
              <w:jc w:val="center"/>
              <w:rPr>
                <w:color w:val="000000"/>
              </w:rPr>
            </w:pPr>
            <w:r>
              <w:rPr>
                <w:color w:val="000000"/>
              </w:rPr>
              <w:t>9 / 9</w:t>
            </w:r>
          </w:p>
          <w:p w14:paraId="27504636" w14:textId="77777777" w:rsidR="005266B5" w:rsidRDefault="005266B5" w:rsidP="0091354F">
            <w:pPr>
              <w:jc w:val="center"/>
              <w:rPr>
                <w:lang w:bidi="he-IL"/>
              </w:rPr>
            </w:pPr>
            <w:r>
              <w:rPr>
                <w:color w:val="000000"/>
              </w:rPr>
              <w:t>(7.89 / 7.83)</w:t>
            </w:r>
          </w:p>
        </w:tc>
        <w:tc>
          <w:tcPr>
            <w:tcW w:w="1870" w:type="dxa"/>
            <w:tcBorders>
              <w:top w:val="nil"/>
              <w:left w:val="nil"/>
              <w:bottom w:val="single" w:sz="4" w:space="0" w:color="auto"/>
              <w:right w:val="single" w:sz="4" w:space="0" w:color="auto"/>
            </w:tcBorders>
            <w:vAlign w:val="center"/>
            <w:hideMark/>
          </w:tcPr>
          <w:p w14:paraId="4DA254BE" w14:textId="77777777" w:rsidR="005266B5" w:rsidRDefault="005266B5" w:rsidP="0091354F">
            <w:pPr>
              <w:jc w:val="center"/>
              <w:rPr>
                <w:color w:val="000000"/>
              </w:rPr>
            </w:pPr>
            <w:r>
              <w:rPr>
                <w:color w:val="000000"/>
              </w:rPr>
              <w:t>2 / 3</w:t>
            </w:r>
          </w:p>
          <w:p w14:paraId="6799CFAB" w14:textId="77777777" w:rsidR="005266B5" w:rsidRDefault="005266B5" w:rsidP="0091354F">
            <w:pPr>
              <w:jc w:val="center"/>
              <w:rPr>
                <w:lang w:bidi="he-IL"/>
              </w:rPr>
            </w:pPr>
            <w:r>
              <w:rPr>
                <w:color w:val="000000"/>
              </w:rPr>
              <w:t>(3.11 / 4.17)</w:t>
            </w:r>
          </w:p>
        </w:tc>
        <w:tc>
          <w:tcPr>
            <w:tcW w:w="1870" w:type="dxa"/>
            <w:tcBorders>
              <w:top w:val="nil"/>
              <w:left w:val="single" w:sz="4" w:space="0" w:color="auto"/>
              <w:bottom w:val="single" w:sz="4" w:space="0" w:color="auto"/>
              <w:right w:val="nil"/>
            </w:tcBorders>
            <w:vAlign w:val="center"/>
            <w:hideMark/>
          </w:tcPr>
          <w:p w14:paraId="12C0BA60" w14:textId="77777777" w:rsidR="005266B5" w:rsidRDefault="005266B5" w:rsidP="0091354F">
            <w:pPr>
              <w:jc w:val="center"/>
              <w:rPr>
                <w:lang w:bidi="he-IL"/>
              </w:rPr>
            </w:pPr>
            <w:r>
              <w:rPr>
                <w:color w:val="000000"/>
              </w:rPr>
              <w:t>11 / 12</w:t>
            </w:r>
          </w:p>
        </w:tc>
      </w:tr>
      <w:tr w:rsidR="005266B5" w14:paraId="361430D2" w14:textId="77777777" w:rsidTr="0091354F">
        <w:tc>
          <w:tcPr>
            <w:tcW w:w="1870" w:type="dxa"/>
            <w:tcBorders>
              <w:top w:val="single" w:sz="4" w:space="0" w:color="auto"/>
              <w:left w:val="nil"/>
              <w:bottom w:val="single" w:sz="4" w:space="0" w:color="auto"/>
              <w:right w:val="nil"/>
            </w:tcBorders>
            <w:vAlign w:val="center"/>
          </w:tcPr>
          <w:p w14:paraId="43940273" w14:textId="77777777" w:rsidR="005266B5" w:rsidRDefault="005266B5" w:rsidP="0091354F">
            <w:pPr>
              <w:jc w:val="center"/>
              <w:rPr>
                <w:lang w:bidi="he-IL"/>
              </w:rPr>
            </w:pPr>
          </w:p>
        </w:tc>
        <w:tc>
          <w:tcPr>
            <w:tcW w:w="1870" w:type="dxa"/>
            <w:tcBorders>
              <w:top w:val="single" w:sz="4" w:space="0" w:color="auto"/>
              <w:left w:val="nil"/>
              <w:bottom w:val="single" w:sz="4" w:space="0" w:color="auto"/>
              <w:right w:val="single" w:sz="4" w:space="0" w:color="auto"/>
            </w:tcBorders>
            <w:vAlign w:val="center"/>
            <w:hideMark/>
          </w:tcPr>
          <w:p w14:paraId="202EE0B4" w14:textId="77777777" w:rsidR="005266B5" w:rsidRDefault="005266B5" w:rsidP="0091354F">
            <w:pPr>
              <w:jc w:val="center"/>
              <w:rPr>
                <w:lang w:bidi="he-IL"/>
              </w:rPr>
            </w:pPr>
            <w:r>
              <w:rPr>
                <w:lang w:bidi="he-IL"/>
              </w:rPr>
              <w:t>Total</w:t>
            </w:r>
          </w:p>
        </w:tc>
        <w:tc>
          <w:tcPr>
            <w:tcW w:w="1870" w:type="dxa"/>
            <w:tcBorders>
              <w:top w:val="single" w:sz="4" w:space="0" w:color="auto"/>
              <w:left w:val="single" w:sz="4" w:space="0" w:color="auto"/>
              <w:bottom w:val="single" w:sz="4" w:space="0" w:color="auto"/>
              <w:right w:val="nil"/>
            </w:tcBorders>
            <w:vAlign w:val="center"/>
            <w:hideMark/>
          </w:tcPr>
          <w:p w14:paraId="416F1496" w14:textId="77777777" w:rsidR="005266B5" w:rsidRDefault="005266B5" w:rsidP="0091354F">
            <w:pPr>
              <w:jc w:val="center"/>
              <w:rPr>
                <w:lang w:bidi="he-IL"/>
              </w:rPr>
            </w:pPr>
            <w:r>
              <w:rPr>
                <w:color w:val="000000"/>
              </w:rPr>
              <w:t>33 / 30</w:t>
            </w:r>
          </w:p>
        </w:tc>
        <w:tc>
          <w:tcPr>
            <w:tcW w:w="1870" w:type="dxa"/>
            <w:tcBorders>
              <w:top w:val="single" w:sz="4" w:space="0" w:color="auto"/>
              <w:left w:val="nil"/>
              <w:bottom w:val="single" w:sz="4" w:space="0" w:color="auto"/>
              <w:right w:val="single" w:sz="4" w:space="0" w:color="auto"/>
            </w:tcBorders>
            <w:vAlign w:val="center"/>
            <w:hideMark/>
          </w:tcPr>
          <w:p w14:paraId="5D758500" w14:textId="77777777" w:rsidR="005266B5" w:rsidRDefault="005266B5" w:rsidP="0091354F">
            <w:pPr>
              <w:jc w:val="center"/>
              <w:rPr>
                <w:lang w:bidi="he-IL"/>
              </w:rPr>
            </w:pPr>
            <w:r>
              <w:rPr>
                <w:lang w:bidi="he-IL"/>
              </w:rPr>
              <w:t>13 / 16</w:t>
            </w:r>
          </w:p>
        </w:tc>
        <w:tc>
          <w:tcPr>
            <w:tcW w:w="1870" w:type="dxa"/>
            <w:tcBorders>
              <w:top w:val="single" w:sz="4" w:space="0" w:color="auto"/>
              <w:left w:val="single" w:sz="4" w:space="0" w:color="auto"/>
              <w:bottom w:val="single" w:sz="4" w:space="0" w:color="auto"/>
              <w:right w:val="nil"/>
            </w:tcBorders>
            <w:vAlign w:val="center"/>
            <w:hideMark/>
          </w:tcPr>
          <w:p w14:paraId="007C27EC" w14:textId="77777777" w:rsidR="005266B5" w:rsidRDefault="005266B5" w:rsidP="0091354F">
            <w:pPr>
              <w:jc w:val="center"/>
              <w:rPr>
                <w:lang w:bidi="he-IL"/>
              </w:rPr>
            </w:pPr>
            <w:r>
              <w:rPr>
                <w:lang w:bidi="he-IL"/>
              </w:rPr>
              <w:t>46</w:t>
            </w:r>
          </w:p>
        </w:tc>
      </w:tr>
    </w:tbl>
    <w:p w14:paraId="2B143844" w14:textId="2599F949" w:rsidR="00985F59" w:rsidRDefault="00985F59" w:rsidP="00C71DDD">
      <w:pPr>
        <w:rPr>
          <w:lang w:bidi="he-IL"/>
        </w:rPr>
      </w:pPr>
    </w:p>
    <w:p w14:paraId="1EFD3732" w14:textId="733B2C30" w:rsidR="00790666" w:rsidRDefault="00790666" w:rsidP="00C71DDD">
      <w:pPr>
        <w:rPr>
          <w:lang w:bidi="he-IL"/>
        </w:rPr>
      </w:pPr>
    </w:p>
    <w:p w14:paraId="38975996" w14:textId="77777777" w:rsidR="00790666" w:rsidRDefault="00790666" w:rsidP="00C71DDD">
      <w:pPr>
        <w:rPr>
          <w:lang w:bidi="he-IL"/>
        </w:rPr>
        <w:sectPr w:rsidR="00790666">
          <w:pgSz w:w="12240" w:h="15840"/>
          <w:pgMar w:top="1440" w:right="1440" w:bottom="1440" w:left="1440" w:header="720" w:footer="720" w:gutter="0"/>
          <w:cols w:space="720"/>
          <w:docGrid w:linePitch="360"/>
        </w:sectPr>
      </w:pPr>
    </w:p>
    <w:p w14:paraId="4A54FDB7" w14:textId="77777777" w:rsidR="005C04D2" w:rsidRDefault="005C04D2" w:rsidP="005C04D2">
      <w:pPr>
        <w:spacing w:line="240" w:lineRule="auto"/>
        <w:ind w:left="720" w:hanging="720"/>
        <w:jc w:val="center"/>
        <w:rPr>
          <w:b/>
          <w:bCs/>
        </w:rPr>
      </w:pPr>
      <w:r w:rsidRPr="00427804">
        <w:rPr>
          <w:b/>
          <w:bCs/>
        </w:rPr>
        <w:lastRenderedPageBreak/>
        <w:t>Abbreviations:</w:t>
      </w:r>
    </w:p>
    <w:p w14:paraId="399622BB" w14:textId="77777777" w:rsidR="005C04D2" w:rsidRPr="00427804" w:rsidRDefault="005C04D2" w:rsidP="005C04D2">
      <w:pPr>
        <w:spacing w:line="240" w:lineRule="auto"/>
        <w:ind w:left="720" w:hanging="720"/>
        <w:jc w:val="center"/>
        <w:rPr>
          <w:b/>
          <w:bCs/>
        </w:rPr>
      </w:pPr>
    </w:p>
    <w:p w14:paraId="4FBF4430" w14:textId="77777777" w:rsidR="005C04D2" w:rsidRDefault="005C04D2" w:rsidP="005C04D2">
      <w:pPr>
        <w:spacing w:line="240" w:lineRule="auto"/>
        <w:ind w:left="720" w:hanging="720"/>
      </w:pPr>
      <w:r>
        <w:t>AB</w:t>
      </w:r>
      <w:r>
        <w:tab/>
      </w:r>
      <w:r>
        <w:tab/>
      </w:r>
      <w:r>
        <w:tab/>
        <w:t>Anchor Bible</w:t>
      </w:r>
    </w:p>
    <w:p w14:paraId="4758A287" w14:textId="77777777" w:rsidR="00CA45CF" w:rsidRPr="00CA45CF" w:rsidRDefault="0092423E" w:rsidP="00CA45CF">
      <w:pPr>
        <w:spacing w:line="240" w:lineRule="auto"/>
        <w:ind w:left="720" w:hanging="720"/>
        <w:rPr>
          <w:lang w:val="de-DE"/>
        </w:rPr>
      </w:pPr>
      <w:r w:rsidRPr="00CA45CF">
        <w:rPr>
          <w:lang w:val="de-DE"/>
        </w:rPr>
        <w:t>BDAG</w:t>
      </w:r>
      <w:r w:rsidRPr="00CA45CF">
        <w:rPr>
          <w:lang w:val="de-DE"/>
        </w:rPr>
        <w:tab/>
      </w:r>
      <w:r w:rsidRPr="00CA45CF">
        <w:rPr>
          <w:lang w:val="de-DE"/>
        </w:rPr>
        <w:tab/>
      </w:r>
      <w:r w:rsidRPr="00CA45CF">
        <w:rPr>
          <w:lang w:val="de-DE"/>
        </w:rPr>
        <w:tab/>
      </w:r>
      <w:r w:rsidR="00CA45CF" w:rsidRPr="00CA45CF">
        <w:rPr>
          <w:lang w:val="de-DE"/>
        </w:rPr>
        <w:t>Bauer, W., F. W. Danker, W. F. Arndt, and F. W. Gingrich.</w:t>
      </w:r>
    </w:p>
    <w:p w14:paraId="2E5FF0D5" w14:textId="77777777" w:rsidR="00CA45CF" w:rsidRPr="00CA45CF" w:rsidRDefault="00CA45CF" w:rsidP="00CA45CF">
      <w:pPr>
        <w:spacing w:line="240" w:lineRule="auto"/>
        <w:ind w:left="1440" w:firstLine="720"/>
        <w:rPr>
          <w:i/>
          <w:iCs/>
        </w:rPr>
      </w:pPr>
      <w:r w:rsidRPr="00CA45CF">
        <w:rPr>
          <w:i/>
          <w:iCs/>
        </w:rPr>
        <w:t>Greek-English Lexicon of the New Testament and Other Early</w:t>
      </w:r>
    </w:p>
    <w:p w14:paraId="4BA0ECD0" w14:textId="1A44E39F" w:rsidR="0092423E" w:rsidRDefault="00CA45CF" w:rsidP="00CA45CF">
      <w:pPr>
        <w:spacing w:line="240" w:lineRule="auto"/>
        <w:ind w:left="1440" w:firstLine="720"/>
      </w:pPr>
      <w:r w:rsidRPr="00CA45CF">
        <w:rPr>
          <w:i/>
          <w:iCs/>
        </w:rPr>
        <w:t xml:space="preserve">Christian Literature. </w:t>
      </w:r>
      <w:r w:rsidRPr="00CA45CF">
        <w:t>3</w:t>
      </w:r>
      <w:r w:rsidR="00CE4905">
        <w:t>r</w:t>
      </w:r>
      <w:r w:rsidRPr="00CA45CF">
        <w:t>d ed. Chicago, 1999</w:t>
      </w:r>
      <w:r w:rsidR="00CE4905">
        <w:t>.</w:t>
      </w:r>
    </w:p>
    <w:p w14:paraId="77A7C09F" w14:textId="070AFD37" w:rsidR="005C04D2" w:rsidRPr="00043954" w:rsidRDefault="005C04D2" w:rsidP="005C04D2">
      <w:pPr>
        <w:spacing w:line="240" w:lineRule="auto"/>
        <w:ind w:left="720" w:hanging="720"/>
        <w:rPr>
          <w:lang w:val="de-DE"/>
        </w:rPr>
      </w:pPr>
      <w:r w:rsidRPr="00043954">
        <w:rPr>
          <w:lang w:val="de-DE"/>
        </w:rPr>
        <w:t>BETL</w:t>
      </w:r>
      <w:r w:rsidRPr="00043954">
        <w:rPr>
          <w:lang w:val="de-DE"/>
        </w:rPr>
        <w:tab/>
      </w:r>
      <w:r w:rsidRPr="00043954">
        <w:rPr>
          <w:lang w:val="de-DE"/>
        </w:rPr>
        <w:tab/>
      </w:r>
      <w:r w:rsidRPr="00043954">
        <w:rPr>
          <w:lang w:val="de-DE"/>
        </w:rPr>
        <w:tab/>
        <w:t>Bibliotheca Ephemeridum Theologicarum Lovaniensium</w:t>
      </w:r>
    </w:p>
    <w:p w14:paraId="79959622" w14:textId="77777777" w:rsidR="005C04D2" w:rsidRPr="009C2B4A" w:rsidRDefault="005C04D2" w:rsidP="005C04D2">
      <w:pPr>
        <w:spacing w:line="240" w:lineRule="auto"/>
        <w:ind w:left="720" w:hanging="720"/>
        <w:rPr>
          <w:lang w:val="de-DE"/>
        </w:rPr>
      </w:pPr>
      <w:r w:rsidRPr="009C2B4A">
        <w:rPr>
          <w:lang w:val="de-DE"/>
        </w:rPr>
        <w:t>BZNW</w:t>
      </w:r>
      <w:r w:rsidRPr="009C2B4A">
        <w:rPr>
          <w:lang w:val="de-DE"/>
        </w:rPr>
        <w:tab/>
      </w:r>
      <w:r w:rsidRPr="009C2B4A">
        <w:rPr>
          <w:lang w:val="de-DE"/>
        </w:rPr>
        <w:tab/>
      </w:r>
      <w:r w:rsidRPr="009C2B4A">
        <w:rPr>
          <w:lang w:val="de-DE"/>
        </w:rPr>
        <w:tab/>
      </w:r>
      <w:r w:rsidRPr="008F6D40">
        <w:rPr>
          <w:lang w:val="de-DE"/>
        </w:rPr>
        <w:t>Beihefte zur Zeitschrift für die neutestamentliche Wissenschaft</w:t>
      </w:r>
    </w:p>
    <w:p w14:paraId="7AAD98A6" w14:textId="77777777" w:rsidR="005C04D2" w:rsidRPr="004A17B7" w:rsidRDefault="005C04D2" w:rsidP="005C04D2">
      <w:pPr>
        <w:spacing w:line="240" w:lineRule="auto"/>
        <w:ind w:left="720" w:hanging="720"/>
        <w:rPr>
          <w:i/>
          <w:iCs/>
        </w:rPr>
      </w:pPr>
      <w:r w:rsidRPr="004A17B7">
        <w:rPr>
          <w:i/>
          <w:iCs/>
        </w:rPr>
        <w:t>CBR</w:t>
      </w:r>
      <w:r w:rsidRPr="004A17B7">
        <w:rPr>
          <w:i/>
          <w:iCs/>
        </w:rPr>
        <w:tab/>
      </w:r>
      <w:r w:rsidRPr="004A17B7">
        <w:rPr>
          <w:i/>
          <w:iCs/>
        </w:rPr>
        <w:tab/>
      </w:r>
      <w:r w:rsidRPr="004A17B7">
        <w:rPr>
          <w:i/>
          <w:iCs/>
        </w:rPr>
        <w:tab/>
        <w:t>Currents in Biblical Research</w:t>
      </w:r>
    </w:p>
    <w:p w14:paraId="70C613B5" w14:textId="77777777" w:rsidR="005C04D2" w:rsidRPr="004A17B7" w:rsidRDefault="005C04D2" w:rsidP="005C04D2">
      <w:pPr>
        <w:spacing w:line="240" w:lineRule="auto"/>
        <w:ind w:left="720" w:hanging="720"/>
        <w:rPr>
          <w:i/>
          <w:iCs/>
        </w:rPr>
      </w:pPr>
      <w:r w:rsidRPr="004A17B7">
        <w:rPr>
          <w:i/>
          <w:iCs/>
        </w:rPr>
        <w:t>HTR</w:t>
      </w:r>
      <w:r w:rsidRPr="004A17B7">
        <w:rPr>
          <w:i/>
          <w:iCs/>
        </w:rPr>
        <w:tab/>
      </w:r>
      <w:r w:rsidRPr="004A17B7">
        <w:rPr>
          <w:i/>
          <w:iCs/>
        </w:rPr>
        <w:tab/>
      </w:r>
      <w:r w:rsidRPr="004A17B7">
        <w:rPr>
          <w:i/>
          <w:iCs/>
        </w:rPr>
        <w:tab/>
        <w:t>Harvard Theological Review</w:t>
      </w:r>
    </w:p>
    <w:p w14:paraId="79EF0D3F" w14:textId="77777777" w:rsidR="005C04D2" w:rsidRDefault="005C04D2" w:rsidP="005C04D2">
      <w:pPr>
        <w:spacing w:line="240" w:lineRule="auto"/>
        <w:ind w:left="720" w:hanging="720"/>
        <w:rPr>
          <w:i/>
          <w:iCs/>
        </w:rPr>
      </w:pPr>
      <w:r w:rsidRPr="004A17B7">
        <w:rPr>
          <w:i/>
          <w:iCs/>
        </w:rPr>
        <w:t>JBL</w:t>
      </w:r>
      <w:r w:rsidRPr="004A17B7">
        <w:rPr>
          <w:i/>
          <w:iCs/>
        </w:rPr>
        <w:tab/>
      </w:r>
      <w:r w:rsidRPr="004A17B7">
        <w:rPr>
          <w:i/>
          <w:iCs/>
        </w:rPr>
        <w:tab/>
      </w:r>
      <w:r w:rsidRPr="004A17B7">
        <w:rPr>
          <w:i/>
          <w:iCs/>
        </w:rPr>
        <w:tab/>
        <w:t>Journal of Biblical Literature</w:t>
      </w:r>
    </w:p>
    <w:p w14:paraId="62DC2BE3" w14:textId="77777777" w:rsidR="005C04D2" w:rsidRPr="004A17B7" w:rsidRDefault="005C04D2" w:rsidP="005C04D2">
      <w:pPr>
        <w:spacing w:line="240" w:lineRule="auto"/>
        <w:ind w:left="720" w:hanging="720"/>
        <w:rPr>
          <w:i/>
          <w:iCs/>
        </w:rPr>
      </w:pPr>
      <w:r w:rsidRPr="005031CA">
        <w:rPr>
          <w:i/>
          <w:iCs/>
        </w:rPr>
        <w:t>JGRChJ</w:t>
      </w:r>
      <w:r>
        <w:rPr>
          <w:i/>
          <w:iCs/>
        </w:rPr>
        <w:tab/>
      </w:r>
      <w:r>
        <w:rPr>
          <w:i/>
          <w:iCs/>
        </w:rPr>
        <w:tab/>
        <w:t>Journal of Greco-Roman Christianity and Judaism</w:t>
      </w:r>
    </w:p>
    <w:p w14:paraId="338C8300" w14:textId="77777777" w:rsidR="005C04D2" w:rsidRPr="004A17B7" w:rsidRDefault="005C04D2" w:rsidP="005C04D2">
      <w:pPr>
        <w:spacing w:line="240" w:lineRule="auto"/>
        <w:ind w:left="720" w:hanging="720"/>
        <w:rPr>
          <w:i/>
          <w:iCs/>
        </w:rPr>
      </w:pPr>
      <w:r w:rsidRPr="004A17B7">
        <w:rPr>
          <w:i/>
          <w:iCs/>
        </w:rPr>
        <w:t>JSNT</w:t>
      </w:r>
      <w:r w:rsidRPr="004A17B7">
        <w:rPr>
          <w:i/>
          <w:iCs/>
        </w:rPr>
        <w:tab/>
      </w:r>
      <w:r w:rsidRPr="004A17B7">
        <w:rPr>
          <w:i/>
          <w:iCs/>
        </w:rPr>
        <w:tab/>
      </w:r>
      <w:r w:rsidRPr="004A17B7">
        <w:rPr>
          <w:i/>
          <w:iCs/>
        </w:rPr>
        <w:tab/>
        <w:t>Journal for the Study of the New Testament</w:t>
      </w:r>
    </w:p>
    <w:p w14:paraId="308A612E" w14:textId="77777777" w:rsidR="005C04D2" w:rsidRDefault="005C04D2" w:rsidP="005C04D2">
      <w:pPr>
        <w:spacing w:line="240" w:lineRule="auto"/>
        <w:ind w:left="720" w:hanging="720"/>
      </w:pPr>
      <w:r w:rsidRPr="00657ACA">
        <w:t>JSNTSup</w:t>
      </w:r>
      <w:r w:rsidRPr="00657ACA">
        <w:tab/>
      </w:r>
      <w:r w:rsidRPr="00657ACA">
        <w:tab/>
        <w:t>Journal for t</w:t>
      </w:r>
      <w:r>
        <w:t xml:space="preserve">he Study of the New Testament Supplement Series </w:t>
      </w:r>
    </w:p>
    <w:p w14:paraId="47BEF4CE" w14:textId="77777777" w:rsidR="005C04D2" w:rsidRDefault="005C04D2" w:rsidP="005C04D2">
      <w:pPr>
        <w:spacing w:line="240" w:lineRule="auto"/>
        <w:ind w:left="720" w:hanging="720"/>
      </w:pPr>
      <w:r w:rsidRPr="00C61379">
        <w:t>LCL</w:t>
      </w:r>
      <w:r>
        <w:tab/>
      </w:r>
      <w:r>
        <w:tab/>
      </w:r>
      <w:r>
        <w:tab/>
        <w:t xml:space="preserve">Loeb Classical Library </w:t>
      </w:r>
    </w:p>
    <w:p w14:paraId="03C26D8A" w14:textId="77777777" w:rsidR="005C04D2" w:rsidRPr="00657ACA" w:rsidRDefault="005C04D2" w:rsidP="005C04D2">
      <w:pPr>
        <w:spacing w:line="240" w:lineRule="auto"/>
        <w:ind w:left="720" w:hanging="720"/>
      </w:pPr>
      <w:r>
        <w:t>LNTS</w:t>
      </w:r>
      <w:r>
        <w:tab/>
      </w:r>
      <w:r>
        <w:tab/>
      </w:r>
      <w:r>
        <w:tab/>
        <w:t xml:space="preserve">Library of New Testament Studies </w:t>
      </w:r>
    </w:p>
    <w:p w14:paraId="54F0ED6C" w14:textId="77777777" w:rsidR="005C04D2" w:rsidRDefault="005C04D2" w:rsidP="005C04D2">
      <w:pPr>
        <w:spacing w:line="240" w:lineRule="auto"/>
        <w:ind w:left="720" w:hanging="720"/>
      </w:pPr>
      <w:r w:rsidRPr="00CD0814">
        <w:rPr>
          <w:i/>
          <w:iCs/>
        </w:rPr>
        <w:t>Neot</w:t>
      </w:r>
      <w:r w:rsidRPr="00CD0814">
        <w:tab/>
      </w:r>
      <w:r w:rsidRPr="00CD0814">
        <w:tab/>
      </w:r>
      <w:r w:rsidRPr="00CD0814">
        <w:tab/>
      </w:r>
      <w:r w:rsidRPr="00CD0814">
        <w:rPr>
          <w:i/>
          <w:iCs/>
        </w:rPr>
        <w:t>Neotestamentica</w:t>
      </w:r>
      <w:r w:rsidRPr="00CD0814">
        <w:t xml:space="preserve"> </w:t>
      </w:r>
    </w:p>
    <w:p w14:paraId="39D11B1B" w14:textId="77777777" w:rsidR="005C04D2" w:rsidRPr="00CD0814" w:rsidRDefault="005C04D2" w:rsidP="005C04D2">
      <w:pPr>
        <w:spacing w:line="240" w:lineRule="auto"/>
        <w:ind w:left="720" w:hanging="720"/>
      </w:pPr>
      <w:r>
        <w:t>NIGTC</w:t>
      </w:r>
      <w:r>
        <w:tab/>
      </w:r>
      <w:r>
        <w:tab/>
        <w:t xml:space="preserve">New International Greek Testament Commentary </w:t>
      </w:r>
    </w:p>
    <w:p w14:paraId="2609B09A" w14:textId="77777777" w:rsidR="005C04D2" w:rsidRPr="004A17B7" w:rsidRDefault="005C04D2" w:rsidP="005C04D2">
      <w:pPr>
        <w:spacing w:line="240" w:lineRule="auto"/>
        <w:ind w:left="720" w:hanging="720"/>
        <w:rPr>
          <w:i/>
          <w:iCs/>
        </w:rPr>
      </w:pPr>
      <w:r w:rsidRPr="004A17B7">
        <w:rPr>
          <w:i/>
          <w:iCs/>
        </w:rPr>
        <w:t>NovT</w:t>
      </w:r>
      <w:r w:rsidRPr="004A17B7">
        <w:rPr>
          <w:i/>
          <w:iCs/>
        </w:rPr>
        <w:tab/>
      </w:r>
      <w:r w:rsidRPr="004A17B7">
        <w:rPr>
          <w:i/>
          <w:iCs/>
        </w:rPr>
        <w:tab/>
      </w:r>
      <w:r w:rsidRPr="004A17B7">
        <w:rPr>
          <w:i/>
          <w:iCs/>
        </w:rPr>
        <w:tab/>
        <w:t>Novum Testamentum</w:t>
      </w:r>
    </w:p>
    <w:p w14:paraId="5CC8DCF5" w14:textId="77777777" w:rsidR="005C04D2" w:rsidRPr="004A17B7" w:rsidRDefault="005C04D2" w:rsidP="005C04D2">
      <w:pPr>
        <w:spacing w:line="240" w:lineRule="auto"/>
        <w:ind w:left="720" w:hanging="720"/>
      </w:pPr>
      <w:r w:rsidRPr="004A17B7">
        <w:t>NovTSup</w:t>
      </w:r>
      <w:r w:rsidRPr="004A17B7">
        <w:tab/>
      </w:r>
      <w:r w:rsidRPr="004A17B7">
        <w:tab/>
      </w:r>
      <w:r>
        <w:t xml:space="preserve">Novum Testamentum </w:t>
      </w:r>
      <w:r w:rsidRPr="004A17B7">
        <w:t>Supple</w:t>
      </w:r>
      <w:r>
        <w:t>ments</w:t>
      </w:r>
    </w:p>
    <w:p w14:paraId="20D19B1E" w14:textId="77777777" w:rsidR="005C04D2" w:rsidRPr="00A2232B" w:rsidRDefault="005C04D2" w:rsidP="005C04D2">
      <w:pPr>
        <w:spacing w:line="240" w:lineRule="auto"/>
        <w:ind w:left="720" w:hanging="720"/>
      </w:pPr>
      <w:r>
        <w:t>NPNF</w:t>
      </w:r>
      <w:r w:rsidRPr="004E5C7E">
        <w:rPr>
          <w:vertAlign w:val="superscript"/>
        </w:rPr>
        <w:t>1</w:t>
      </w:r>
      <w:r>
        <w:tab/>
      </w:r>
      <w:r>
        <w:tab/>
      </w:r>
      <w:r>
        <w:tab/>
      </w:r>
      <w:r w:rsidRPr="00A2232B">
        <w:rPr>
          <w:i/>
          <w:iCs/>
        </w:rPr>
        <w:t>Nicene and Post-Nicene Fathers</w:t>
      </w:r>
      <w:r>
        <w:t>, Series 1</w:t>
      </w:r>
    </w:p>
    <w:p w14:paraId="243887E5" w14:textId="77777777" w:rsidR="005C04D2" w:rsidRDefault="005C04D2" w:rsidP="005C04D2">
      <w:pPr>
        <w:spacing w:line="240" w:lineRule="auto"/>
        <w:ind w:left="720" w:hanging="720"/>
        <w:rPr>
          <w:i/>
          <w:iCs/>
        </w:rPr>
      </w:pPr>
      <w:r w:rsidRPr="007A766C">
        <w:rPr>
          <w:i/>
          <w:iCs/>
        </w:rPr>
        <w:t>NTS</w:t>
      </w:r>
      <w:r w:rsidRPr="007A766C">
        <w:rPr>
          <w:i/>
          <w:iCs/>
        </w:rPr>
        <w:tab/>
      </w:r>
      <w:r w:rsidRPr="007A766C">
        <w:rPr>
          <w:i/>
          <w:iCs/>
        </w:rPr>
        <w:tab/>
      </w:r>
      <w:r w:rsidRPr="007A766C">
        <w:rPr>
          <w:i/>
          <w:iCs/>
        </w:rPr>
        <w:tab/>
        <w:t>New Testament Studies</w:t>
      </w:r>
    </w:p>
    <w:p w14:paraId="27C2264C" w14:textId="77777777" w:rsidR="005C04D2" w:rsidRDefault="005C04D2" w:rsidP="005C04D2">
      <w:pPr>
        <w:spacing w:line="240" w:lineRule="auto"/>
        <w:ind w:left="720" w:hanging="720"/>
      </w:pPr>
      <w:r>
        <w:t>PNTC</w:t>
      </w:r>
      <w:r>
        <w:tab/>
      </w:r>
      <w:r>
        <w:tab/>
      </w:r>
      <w:r>
        <w:tab/>
        <w:t xml:space="preserve">Pillar New Testament Commentary </w:t>
      </w:r>
    </w:p>
    <w:p w14:paraId="5E43FDBC" w14:textId="77777777" w:rsidR="005C04D2" w:rsidRPr="002D4C86" w:rsidRDefault="005C04D2" w:rsidP="005C04D2">
      <w:pPr>
        <w:spacing w:line="240" w:lineRule="auto"/>
        <w:ind w:left="720" w:hanging="720"/>
        <w:rPr>
          <w:i/>
          <w:iCs/>
        </w:rPr>
      </w:pPr>
      <w:r w:rsidRPr="002D4C86">
        <w:rPr>
          <w:i/>
          <w:iCs/>
        </w:rPr>
        <w:t>ResQ</w:t>
      </w:r>
      <w:r w:rsidRPr="002D4C86">
        <w:rPr>
          <w:i/>
          <w:iCs/>
        </w:rPr>
        <w:tab/>
      </w:r>
      <w:r w:rsidRPr="002D4C86">
        <w:rPr>
          <w:i/>
          <w:iCs/>
        </w:rPr>
        <w:tab/>
      </w:r>
      <w:r w:rsidRPr="002D4C86">
        <w:rPr>
          <w:i/>
          <w:iCs/>
        </w:rPr>
        <w:tab/>
        <w:t>Restoration Quarterly</w:t>
      </w:r>
    </w:p>
    <w:p w14:paraId="716A041D" w14:textId="77777777" w:rsidR="005C04D2" w:rsidRDefault="005C04D2" w:rsidP="005C04D2">
      <w:pPr>
        <w:spacing w:line="240" w:lineRule="auto"/>
        <w:ind w:left="720" w:hanging="720"/>
      </w:pPr>
      <w:r w:rsidRPr="005C0CAD">
        <w:t>SNTSMS</w:t>
      </w:r>
      <w:r w:rsidRPr="005C0CAD">
        <w:tab/>
      </w:r>
      <w:r w:rsidRPr="005C0CAD">
        <w:tab/>
        <w:t>Society for New Testam</w:t>
      </w:r>
      <w:r>
        <w:t xml:space="preserve">ent Studies Monograph Series </w:t>
      </w:r>
    </w:p>
    <w:p w14:paraId="0B2CBF2E" w14:textId="77777777" w:rsidR="005C04D2" w:rsidRPr="006271F1" w:rsidRDefault="005C04D2" w:rsidP="005C04D2">
      <w:pPr>
        <w:spacing w:line="240" w:lineRule="auto"/>
        <w:ind w:left="720" w:hanging="720"/>
        <w:rPr>
          <w:i/>
          <w:iCs/>
        </w:rPr>
      </w:pPr>
      <w:r w:rsidRPr="006271F1">
        <w:rPr>
          <w:i/>
          <w:iCs/>
        </w:rPr>
        <w:t>ST</w:t>
      </w:r>
      <w:r w:rsidRPr="006271F1">
        <w:rPr>
          <w:i/>
          <w:iCs/>
        </w:rPr>
        <w:tab/>
      </w:r>
      <w:r w:rsidRPr="006271F1">
        <w:rPr>
          <w:i/>
          <w:iCs/>
        </w:rPr>
        <w:tab/>
      </w:r>
      <w:r w:rsidRPr="006271F1">
        <w:rPr>
          <w:i/>
          <w:iCs/>
        </w:rPr>
        <w:tab/>
        <w:t xml:space="preserve">Studia Theologica </w:t>
      </w:r>
    </w:p>
    <w:p w14:paraId="4EAEF7E4" w14:textId="77777777" w:rsidR="005C04D2" w:rsidRDefault="005C04D2" w:rsidP="005C04D2">
      <w:pPr>
        <w:spacing w:line="240" w:lineRule="auto"/>
        <w:ind w:left="720" w:hanging="720"/>
      </w:pPr>
      <w:r w:rsidRPr="00421015">
        <w:t>TENTS</w:t>
      </w:r>
      <w:r w:rsidRPr="00421015">
        <w:tab/>
      </w:r>
      <w:r w:rsidRPr="00421015">
        <w:tab/>
        <w:t>Texts and Editions f</w:t>
      </w:r>
      <w:r>
        <w:t>or New Testament Study</w:t>
      </w:r>
    </w:p>
    <w:p w14:paraId="2968B7CD" w14:textId="77777777" w:rsidR="005C04D2" w:rsidRPr="00705B72" w:rsidRDefault="005C04D2" w:rsidP="005C04D2">
      <w:pPr>
        <w:spacing w:line="240" w:lineRule="auto"/>
        <w:ind w:left="720" w:hanging="720"/>
        <w:rPr>
          <w:lang w:val="de-DE"/>
        </w:rPr>
      </w:pPr>
      <w:r w:rsidRPr="00705B72">
        <w:rPr>
          <w:i/>
          <w:iCs/>
          <w:lang w:val="de-DE"/>
        </w:rPr>
        <w:t>WTJ</w:t>
      </w:r>
      <w:r w:rsidRPr="00705B72">
        <w:rPr>
          <w:i/>
          <w:iCs/>
          <w:lang w:val="de-DE"/>
        </w:rPr>
        <w:tab/>
      </w:r>
      <w:r w:rsidRPr="00705B72">
        <w:rPr>
          <w:i/>
          <w:iCs/>
          <w:lang w:val="de-DE"/>
        </w:rPr>
        <w:tab/>
      </w:r>
      <w:r w:rsidRPr="00705B72">
        <w:rPr>
          <w:i/>
          <w:iCs/>
          <w:lang w:val="de-DE"/>
        </w:rPr>
        <w:tab/>
        <w:t>Westminster Theological Journal</w:t>
      </w:r>
    </w:p>
    <w:p w14:paraId="31600260" w14:textId="77777777" w:rsidR="005C04D2" w:rsidRDefault="005C04D2" w:rsidP="005C04D2">
      <w:pPr>
        <w:spacing w:line="240" w:lineRule="auto"/>
        <w:ind w:left="720" w:hanging="720"/>
        <w:rPr>
          <w:lang w:val="de-DE"/>
        </w:rPr>
      </w:pPr>
      <w:r w:rsidRPr="0070548D">
        <w:rPr>
          <w:lang w:val="de-DE"/>
        </w:rPr>
        <w:t>WUNT</w:t>
      </w:r>
      <w:r w:rsidRPr="0070548D">
        <w:rPr>
          <w:lang w:val="de-DE"/>
        </w:rPr>
        <w:tab/>
      </w:r>
      <w:r w:rsidRPr="0070548D">
        <w:rPr>
          <w:lang w:val="de-DE"/>
        </w:rPr>
        <w:tab/>
      </w:r>
      <w:r w:rsidRPr="0070548D">
        <w:rPr>
          <w:lang w:val="de-DE"/>
        </w:rPr>
        <w:tab/>
      </w:r>
      <w:r w:rsidRPr="00F864A7">
        <w:rPr>
          <w:lang w:val="de-DE"/>
        </w:rPr>
        <w:t>Wissenschaftliche Untersuchungen zum Neuen Testament</w:t>
      </w:r>
    </w:p>
    <w:p w14:paraId="4B47DA9E" w14:textId="77777777" w:rsidR="005C04D2" w:rsidRDefault="005C04D2" w:rsidP="005C04D2">
      <w:pPr>
        <w:spacing w:line="240" w:lineRule="auto"/>
        <w:ind w:left="720" w:hanging="720"/>
        <w:rPr>
          <w:lang w:val="de-DE"/>
        </w:rPr>
      </w:pPr>
    </w:p>
    <w:p w14:paraId="1E9AACA7" w14:textId="77777777" w:rsidR="005C04D2" w:rsidRDefault="005C04D2" w:rsidP="005C04D2">
      <w:pPr>
        <w:spacing w:line="240" w:lineRule="auto"/>
        <w:ind w:left="720" w:hanging="720"/>
        <w:jc w:val="center"/>
        <w:rPr>
          <w:b/>
          <w:bCs/>
        </w:rPr>
      </w:pPr>
      <w:r>
        <w:rPr>
          <w:b/>
          <w:bCs/>
        </w:rPr>
        <w:t>Bibliography</w:t>
      </w:r>
    </w:p>
    <w:p w14:paraId="2EDE408F" w14:textId="77777777" w:rsidR="005C04D2" w:rsidRDefault="005C04D2" w:rsidP="005C04D2">
      <w:pPr>
        <w:spacing w:line="240" w:lineRule="auto"/>
        <w:ind w:left="720" w:hanging="720"/>
        <w:jc w:val="center"/>
        <w:rPr>
          <w:b/>
          <w:bCs/>
        </w:rPr>
      </w:pPr>
    </w:p>
    <w:p w14:paraId="1F5F8924" w14:textId="77777777" w:rsidR="005C04D2" w:rsidRPr="00427804" w:rsidRDefault="005C04D2" w:rsidP="005C04D2">
      <w:pPr>
        <w:spacing w:line="240" w:lineRule="auto"/>
        <w:ind w:left="720" w:hanging="720"/>
        <w:rPr>
          <w:b/>
          <w:bCs/>
        </w:rPr>
      </w:pPr>
      <w:r w:rsidRPr="00427804">
        <w:rPr>
          <w:b/>
          <w:bCs/>
        </w:rPr>
        <w:t>Primary Sources and Collections:</w:t>
      </w:r>
    </w:p>
    <w:p w14:paraId="5AB2B8CE" w14:textId="77777777" w:rsidR="00FD365F" w:rsidRPr="00505B77" w:rsidRDefault="00FD365F" w:rsidP="005C04D2">
      <w:pPr>
        <w:spacing w:line="240" w:lineRule="auto"/>
        <w:ind w:left="720" w:hanging="720"/>
      </w:pPr>
      <w:r w:rsidRPr="00505B77">
        <w:t xml:space="preserve">Aland, Barbara and Kurt Aland, </w:t>
      </w:r>
      <w:r w:rsidRPr="00505B77">
        <w:rPr>
          <w:i/>
          <w:iCs/>
        </w:rPr>
        <w:t>et al</w:t>
      </w:r>
      <w:r w:rsidRPr="00505B77">
        <w:t xml:space="preserve">., eds. </w:t>
      </w:r>
      <w:r w:rsidRPr="00505B77">
        <w:rPr>
          <w:i/>
          <w:iCs/>
        </w:rPr>
        <w:t>Novum Testamentum Graece</w:t>
      </w:r>
      <w:r w:rsidRPr="00505B77">
        <w:t>. 28th ed. Stuttgart: Deutsche Bibelgesellschaft, 2012.</w:t>
      </w:r>
    </w:p>
    <w:p w14:paraId="1568A7FB" w14:textId="77777777" w:rsidR="00FD365F" w:rsidRPr="00505B77" w:rsidRDefault="00FD365F" w:rsidP="005C04D2">
      <w:pPr>
        <w:spacing w:line="240" w:lineRule="auto"/>
        <w:ind w:left="720" w:hanging="720"/>
      </w:pPr>
      <w:bookmarkStart w:id="3" w:name="_Hlk8899379"/>
      <w:r w:rsidRPr="00505B77">
        <w:t xml:space="preserve">Aland, Kurt, ed. </w:t>
      </w:r>
      <w:r w:rsidRPr="00505B77">
        <w:rPr>
          <w:i/>
          <w:iCs/>
        </w:rPr>
        <w:t>Synopsis of the Four Gospels: Greek-English Edition of the Synopsis Quattuor Evangeliorum</w:t>
      </w:r>
      <w:r w:rsidRPr="00505B77">
        <w:t>. 15th ed. Stuttgart: German Bible Society, 2013.</w:t>
      </w:r>
    </w:p>
    <w:bookmarkEnd w:id="3"/>
    <w:p w14:paraId="6B01064C" w14:textId="77777777" w:rsidR="00FD365F" w:rsidRPr="00505B77" w:rsidRDefault="00FD365F" w:rsidP="005C04D2">
      <w:pPr>
        <w:spacing w:line="240" w:lineRule="auto"/>
        <w:ind w:left="720" w:hanging="720"/>
      </w:pPr>
      <w:r w:rsidRPr="00505B77">
        <w:t xml:space="preserve">Augustine. </w:t>
      </w:r>
      <w:r w:rsidRPr="00505B77">
        <w:rPr>
          <w:i/>
          <w:iCs/>
        </w:rPr>
        <w:t>De consensus evangelistarum libri quattuor</w:t>
      </w:r>
      <w:r w:rsidRPr="00505B77">
        <w:t>. Sancti Aureli Augustini Opera. Vol. 43. Edited by Franz Weihrich. 1904. Reprint, New York, Johnson, 1963.</w:t>
      </w:r>
    </w:p>
    <w:p w14:paraId="215B81B4" w14:textId="77777777" w:rsidR="00FD365F" w:rsidRPr="00505B77" w:rsidRDefault="00FD365F" w:rsidP="005C04D2">
      <w:pPr>
        <w:spacing w:line="240" w:lineRule="auto"/>
        <w:ind w:left="720" w:hanging="720"/>
      </w:pPr>
      <w:r w:rsidRPr="00505B77">
        <w:t xml:space="preserve">Augustine. </w:t>
      </w:r>
      <w:r w:rsidRPr="00505B77">
        <w:rPr>
          <w:i/>
          <w:iCs/>
        </w:rPr>
        <w:t>The Harmony of the Gospels</w:t>
      </w:r>
      <w:r w:rsidRPr="00505B77">
        <w:t>. Translated by S. D. F. Salmond. NPNF</w:t>
      </w:r>
      <w:r w:rsidRPr="00505B77">
        <w:rPr>
          <w:vertAlign w:val="superscript"/>
        </w:rPr>
        <w:t>1</w:t>
      </w:r>
      <w:r w:rsidRPr="00505B77">
        <w:t>. Vol. 6. Peabody, MA: Hendrickson, 2004.</w:t>
      </w:r>
    </w:p>
    <w:p w14:paraId="4E8BA60A" w14:textId="77777777" w:rsidR="00FD365F" w:rsidRPr="00505B77" w:rsidRDefault="00FD365F" w:rsidP="005C04D2">
      <w:pPr>
        <w:spacing w:line="240" w:lineRule="auto"/>
        <w:ind w:left="720" w:hanging="720"/>
      </w:pPr>
      <w:r w:rsidRPr="00505B77">
        <w:t xml:space="preserve">Eusebius. </w:t>
      </w:r>
      <w:r w:rsidRPr="00505B77">
        <w:rPr>
          <w:i/>
          <w:iCs/>
        </w:rPr>
        <w:t>Ecclesiastical History</w:t>
      </w:r>
      <w:r w:rsidRPr="00505B77">
        <w:t>. Translated by J. E. L. Oulton. Vol. 2. LCL. Cambridge: Harvard University Press, 1932.</w:t>
      </w:r>
    </w:p>
    <w:p w14:paraId="5E6DAAB1" w14:textId="77777777" w:rsidR="00FD365F" w:rsidRPr="00505B77" w:rsidRDefault="00FD365F" w:rsidP="005C04D2">
      <w:pPr>
        <w:spacing w:line="240" w:lineRule="auto"/>
        <w:ind w:left="720" w:hanging="720"/>
      </w:pPr>
      <w:r w:rsidRPr="00505B77">
        <w:t xml:space="preserve">Eusebius. </w:t>
      </w:r>
      <w:r w:rsidRPr="00505B77">
        <w:rPr>
          <w:i/>
          <w:iCs/>
        </w:rPr>
        <w:t>Ecclesiastical History</w:t>
      </w:r>
      <w:r w:rsidRPr="00505B77">
        <w:t>. Translated by Kirsopp Lake. Vol. 1. LCL. Cambridge: Harvard University Press, 1926.</w:t>
      </w:r>
    </w:p>
    <w:p w14:paraId="303A3912" w14:textId="77777777" w:rsidR="00FD365F" w:rsidRPr="00505B77" w:rsidRDefault="00FD365F" w:rsidP="005C04D2">
      <w:pPr>
        <w:spacing w:line="240" w:lineRule="auto"/>
        <w:ind w:left="720" w:hanging="720"/>
      </w:pPr>
      <w:r w:rsidRPr="00505B77">
        <w:lastRenderedPageBreak/>
        <w:t xml:space="preserve">McCarthy, Carmel, ed. </w:t>
      </w:r>
      <w:r w:rsidRPr="00505B77">
        <w:rPr>
          <w:i/>
          <w:iCs/>
        </w:rPr>
        <w:t xml:space="preserve">Saint Ephrem’s Commentary on Tatian’s Diatessaron: An English Translation of </w:t>
      </w:r>
      <w:r w:rsidRPr="00505B77">
        <w:t>Chester Beatty</w:t>
      </w:r>
      <w:r w:rsidRPr="00505B77">
        <w:rPr>
          <w:i/>
          <w:iCs/>
        </w:rPr>
        <w:t xml:space="preserve"> Syriac MS 709 with Introduction and Notes</w:t>
      </w:r>
      <w:r w:rsidRPr="00505B77">
        <w:t>. Oxford: Oxford University Press, 1993.</w:t>
      </w:r>
    </w:p>
    <w:p w14:paraId="44AC292D" w14:textId="77777777" w:rsidR="00FD365F" w:rsidRPr="00505B77" w:rsidRDefault="00FD365F" w:rsidP="005C04D2">
      <w:pPr>
        <w:spacing w:line="240" w:lineRule="auto"/>
        <w:ind w:left="720" w:hanging="720"/>
      </w:pPr>
      <w:r w:rsidRPr="00505B77">
        <w:t xml:space="preserve">Swanson, Reuben, ed. </w:t>
      </w:r>
      <w:r w:rsidRPr="00505B77">
        <w:rPr>
          <w:i/>
          <w:iCs/>
        </w:rPr>
        <w:t>New Testament Greek Manuscripts: Luke</w:t>
      </w:r>
      <w:r w:rsidRPr="00505B77">
        <w:t>. William Carey International University Press, 2005.</w:t>
      </w:r>
    </w:p>
    <w:p w14:paraId="1BB481AF" w14:textId="77777777" w:rsidR="00FD365F" w:rsidRPr="00505B77" w:rsidRDefault="00FD365F" w:rsidP="005C04D2">
      <w:pPr>
        <w:spacing w:line="240" w:lineRule="auto"/>
        <w:ind w:left="720" w:hanging="720"/>
      </w:pPr>
      <w:r w:rsidRPr="00505B77">
        <w:t xml:space="preserve">Swanson, Reuben, ed. </w:t>
      </w:r>
      <w:r w:rsidRPr="00505B77">
        <w:rPr>
          <w:i/>
          <w:iCs/>
        </w:rPr>
        <w:t>New Testament Greek Manuscripts: Mark</w:t>
      </w:r>
      <w:r w:rsidRPr="00505B77">
        <w:t>. William Carey International University Press, 2005.</w:t>
      </w:r>
    </w:p>
    <w:p w14:paraId="76DFE459" w14:textId="77777777" w:rsidR="00FD365F" w:rsidRPr="00505B77" w:rsidRDefault="00FD365F" w:rsidP="005C04D2">
      <w:pPr>
        <w:spacing w:line="240" w:lineRule="auto"/>
        <w:ind w:left="720" w:hanging="720"/>
      </w:pPr>
      <w:r w:rsidRPr="00505B77">
        <w:t xml:space="preserve">Swanson, Reuben, ed. </w:t>
      </w:r>
      <w:r w:rsidRPr="00505B77">
        <w:rPr>
          <w:i/>
          <w:iCs/>
        </w:rPr>
        <w:t>New Testament Greek Manuscripts: Matthew</w:t>
      </w:r>
      <w:r w:rsidRPr="00505B77">
        <w:t>. William Carey International University Press, 2005.</w:t>
      </w:r>
    </w:p>
    <w:p w14:paraId="06481901" w14:textId="77777777" w:rsidR="00FD365F" w:rsidRPr="00505B77" w:rsidRDefault="00FD365F" w:rsidP="005C04D2">
      <w:pPr>
        <w:spacing w:line="240" w:lineRule="auto"/>
        <w:ind w:left="720" w:hanging="720"/>
      </w:pPr>
      <w:r w:rsidRPr="00505B77">
        <w:t xml:space="preserve">Tatian. </w:t>
      </w:r>
      <w:r w:rsidRPr="00505B77">
        <w:rPr>
          <w:i/>
          <w:iCs/>
        </w:rPr>
        <w:t>The Diatessaron of Tatian</w:t>
      </w:r>
      <w:r w:rsidRPr="00505B77">
        <w:t>. Translated by Samuel Hemphill. London: Hodder &amp; Stoughton, 1888.</w:t>
      </w:r>
    </w:p>
    <w:p w14:paraId="49F6189F" w14:textId="77777777" w:rsidR="005C04D2" w:rsidRPr="00505B77" w:rsidRDefault="005C04D2" w:rsidP="005C04D2">
      <w:pPr>
        <w:spacing w:line="240" w:lineRule="auto"/>
        <w:rPr>
          <w:b/>
          <w:bCs/>
          <w:u w:val="single"/>
        </w:rPr>
      </w:pPr>
    </w:p>
    <w:p w14:paraId="011B6F58" w14:textId="77777777" w:rsidR="005C04D2" w:rsidRPr="00505B77" w:rsidRDefault="005C04D2" w:rsidP="005C04D2">
      <w:pPr>
        <w:spacing w:line="240" w:lineRule="auto"/>
        <w:ind w:left="720" w:hanging="720"/>
        <w:rPr>
          <w:b/>
          <w:bCs/>
        </w:rPr>
      </w:pPr>
      <w:r w:rsidRPr="00505B77">
        <w:rPr>
          <w:b/>
          <w:bCs/>
        </w:rPr>
        <w:t>Secondary Sources:</w:t>
      </w:r>
    </w:p>
    <w:p w14:paraId="148B45CF" w14:textId="77777777" w:rsidR="005C04D2" w:rsidRPr="00505B77" w:rsidRDefault="005C04D2" w:rsidP="005C04D2">
      <w:pPr>
        <w:spacing w:line="240" w:lineRule="auto"/>
        <w:ind w:left="720" w:hanging="720"/>
      </w:pPr>
      <w:r w:rsidRPr="00505B77">
        <w:rPr>
          <w:b/>
          <w:bCs/>
        </w:rPr>
        <w:t>Articles</w:t>
      </w:r>
      <w:r w:rsidRPr="00505B77">
        <w:t>:</w:t>
      </w:r>
    </w:p>
    <w:p w14:paraId="494B2525" w14:textId="77777777" w:rsidR="00FD365F" w:rsidRPr="00505B77" w:rsidRDefault="00FD365F" w:rsidP="005C04D2">
      <w:pPr>
        <w:spacing w:line="240" w:lineRule="auto"/>
        <w:ind w:left="720" w:hanging="720"/>
      </w:pPr>
      <w:r w:rsidRPr="00505B77">
        <w:t xml:space="preserve">Abakuks, Andris. “A Modification of Honore’s Triple-Link Model in the Synoptic Problem.” </w:t>
      </w:r>
      <w:r w:rsidRPr="00505B77">
        <w:rPr>
          <w:i/>
          <w:iCs/>
        </w:rPr>
        <w:t xml:space="preserve">Journal of the Royal Statistical Society. Series A (Statistics in Society) </w:t>
      </w:r>
      <w:r w:rsidRPr="00505B77">
        <w:t>170, no. 3 (2007): 841–850.</w:t>
      </w:r>
    </w:p>
    <w:p w14:paraId="62DCCC03" w14:textId="77777777" w:rsidR="00FD365F" w:rsidRPr="00505B77" w:rsidRDefault="00FD365F" w:rsidP="005C04D2">
      <w:pPr>
        <w:spacing w:line="240" w:lineRule="auto"/>
        <w:ind w:left="720" w:hanging="720"/>
      </w:pPr>
      <w:r w:rsidRPr="00505B77">
        <w:t xml:space="preserve">Abakuks, Andris. “A Statistical Study of the Triple-Link Model in the Synoptic Problem.” </w:t>
      </w:r>
      <w:r w:rsidRPr="00505B77">
        <w:rPr>
          <w:i/>
          <w:iCs/>
        </w:rPr>
        <w:t xml:space="preserve">Journal of the Royal Statistical Society. Series A (Statistics in Society) </w:t>
      </w:r>
      <w:r w:rsidRPr="00505B77">
        <w:t>169, no. 1 (2006): 49–60.</w:t>
      </w:r>
    </w:p>
    <w:p w14:paraId="4B8B8B8C" w14:textId="77777777" w:rsidR="00FD365F" w:rsidRPr="00505B77" w:rsidRDefault="00FD365F" w:rsidP="005C04D2">
      <w:pPr>
        <w:spacing w:line="240" w:lineRule="auto"/>
        <w:ind w:left="720" w:hanging="720"/>
      </w:pPr>
      <w:r w:rsidRPr="00505B77">
        <w:t xml:space="preserve">Abakuks, Andris. “The synoptic problem and statistics.” </w:t>
      </w:r>
      <w:r w:rsidRPr="00505B77">
        <w:rPr>
          <w:i/>
          <w:iCs/>
        </w:rPr>
        <w:t>Significance</w:t>
      </w:r>
      <w:r w:rsidRPr="00505B77">
        <w:t xml:space="preserve"> 3, no. 4 (2006): 153–157.</w:t>
      </w:r>
    </w:p>
    <w:p w14:paraId="43754862" w14:textId="77777777" w:rsidR="00FD365F" w:rsidRPr="00505B77" w:rsidRDefault="00FD365F" w:rsidP="005C04D2">
      <w:pPr>
        <w:spacing w:line="240" w:lineRule="auto"/>
        <w:ind w:left="720" w:hanging="720"/>
      </w:pPr>
      <w:r w:rsidRPr="00505B77">
        <w:t xml:space="preserve">Abakuks, Andris. “The synoptic problem: on Matthew’s and Luke’s use of Mark.” </w:t>
      </w:r>
      <w:r w:rsidRPr="00505B77">
        <w:rPr>
          <w:i/>
          <w:iCs/>
        </w:rPr>
        <w:t>Journal of the Royal Statistical Society. Series A (Statistics in Society)</w:t>
      </w:r>
      <w:r w:rsidRPr="00505B77">
        <w:t xml:space="preserve"> 175, no. 4 (Oct 2012): 959–975.</w:t>
      </w:r>
    </w:p>
    <w:p w14:paraId="0566BF3B" w14:textId="77777777" w:rsidR="00FD365F" w:rsidRPr="00505B77" w:rsidRDefault="00FD365F" w:rsidP="005C04D2">
      <w:pPr>
        <w:spacing w:line="240" w:lineRule="auto"/>
        <w:ind w:left="720" w:hanging="720"/>
      </w:pPr>
      <w:r w:rsidRPr="00505B77">
        <w:t xml:space="preserve">Bailey, Jon Nelson. “Looking for Luke’s Fingerprints: Identifying Evidence of Redaction Activity in ‘The Healing of the Paralytic’ (Luke 5:17-26).” </w:t>
      </w:r>
      <w:r w:rsidRPr="00505B77">
        <w:rPr>
          <w:i/>
          <w:iCs/>
        </w:rPr>
        <w:t>ResQ</w:t>
      </w:r>
      <w:r w:rsidRPr="00505B77">
        <w:t xml:space="preserve"> 48, no. 3 (2006): 143–156.</w:t>
      </w:r>
    </w:p>
    <w:p w14:paraId="51C2F5ED" w14:textId="77777777" w:rsidR="00FD365F" w:rsidRPr="00505B77" w:rsidRDefault="00FD365F" w:rsidP="005C04D2">
      <w:pPr>
        <w:spacing w:line="240" w:lineRule="auto"/>
        <w:ind w:left="720" w:hanging="720"/>
      </w:pPr>
      <w:r w:rsidRPr="00505B77">
        <w:t xml:space="preserve">Borgen, Peder. “Miracles of Healing in the New Testament: Some Observations.” </w:t>
      </w:r>
      <w:r w:rsidRPr="00505B77">
        <w:rPr>
          <w:i/>
          <w:iCs/>
        </w:rPr>
        <w:t>ST</w:t>
      </w:r>
      <w:r w:rsidRPr="00505B77">
        <w:t xml:space="preserve"> 35, no. 2 (1981): 91–106.</w:t>
      </w:r>
    </w:p>
    <w:p w14:paraId="3F61677B" w14:textId="77777777" w:rsidR="00FD365F" w:rsidRPr="00505B77" w:rsidRDefault="00FD365F" w:rsidP="005C04D2">
      <w:pPr>
        <w:spacing w:line="240" w:lineRule="auto"/>
        <w:ind w:left="720" w:hanging="720"/>
      </w:pPr>
      <w:r w:rsidRPr="00505B77">
        <w:t xml:space="preserve">Cameron, Ron. “The Sayings Gospel Q and the Quest of the Historical Jesus: A Response to John S. Kloppenborg.” </w:t>
      </w:r>
      <w:r w:rsidRPr="00505B77">
        <w:rPr>
          <w:i/>
          <w:iCs/>
        </w:rPr>
        <w:t>HTR</w:t>
      </w:r>
      <w:r w:rsidRPr="00505B77">
        <w:t xml:space="preserve"> 89, no. 4 (1996): 351–354.</w:t>
      </w:r>
    </w:p>
    <w:p w14:paraId="16CBA01E" w14:textId="77777777" w:rsidR="00FD365F" w:rsidRPr="00505B77" w:rsidRDefault="00FD365F" w:rsidP="005C04D2">
      <w:pPr>
        <w:spacing w:line="240" w:lineRule="auto"/>
        <w:ind w:left="720" w:hanging="720"/>
      </w:pPr>
      <w:r w:rsidRPr="00505B77">
        <w:t xml:space="preserve">Carlson, Stephen C. “Clement of Alexandria on the ‘Order’ of the Gospels.” </w:t>
      </w:r>
      <w:r w:rsidRPr="00505B77">
        <w:rPr>
          <w:i/>
          <w:iCs/>
        </w:rPr>
        <w:t>NTS</w:t>
      </w:r>
      <w:r w:rsidRPr="00505B77">
        <w:t xml:space="preserve"> 47, no. 1 (Jan 2001): 118–125.</w:t>
      </w:r>
    </w:p>
    <w:p w14:paraId="1CCA6ED9" w14:textId="77777777" w:rsidR="00FD365F" w:rsidRPr="00505B77" w:rsidRDefault="00FD365F" w:rsidP="005C04D2">
      <w:pPr>
        <w:spacing w:line="240" w:lineRule="auto"/>
        <w:ind w:left="720" w:hanging="720"/>
      </w:pPr>
      <w:r w:rsidRPr="00505B77">
        <w:t xml:space="preserve">Carlston, Charles E. and Dennis Norlin. “Once More: Statistics and Q.” </w:t>
      </w:r>
      <w:r w:rsidRPr="00505B77">
        <w:rPr>
          <w:i/>
          <w:iCs/>
        </w:rPr>
        <w:t>HTR</w:t>
      </w:r>
      <w:r w:rsidRPr="00505B77">
        <w:t xml:space="preserve"> 64, no. 1 (Jan 1971): 59–78.</w:t>
      </w:r>
    </w:p>
    <w:p w14:paraId="1D0B4D68" w14:textId="77777777" w:rsidR="00FD365F" w:rsidRPr="00505B77" w:rsidRDefault="00FD365F" w:rsidP="005C04D2">
      <w:pPr>
        <w:spacing w:line="240" w:lineRule="auto"/>
        <w:ind w:left="720" w:hanging="720"/>
      </w:pPr>
      <w:r w:rsidRPr="00505B77">
        <w:t xml:space="preserve">Carlston, Charles E. and Dennis Norlin. “Statistics and Q: Some Further Observations.” </w:t>
      </w:r>
      <w:r w:rsidRPr="00505B77">
        <w:rPr>
          <w:i/>
          <w:iCs/>
        </w:rPr>
        <w:t>NovT</w:t>
      </w:r>
      <w:r w:rsidRPr="00505B77">
        <w:t xml:space="preserve"> 41, no. 2 (April 1999): 108–123.</w:t>
      </w:r>
    </w:p>
    <w:p w14:paraId="55A548B3" w14:textId="77777777" w:rsidR="00FD365F" w:rsidRPr="00505B77" w:rsidRDefault="00FD365F" w:rsidP="005C04D2">
      <w:pPr>
        <w:spacing w:line="240" w:lineRule="auto"/>
        <w:ind w:left="720" w:hanging="720"/>
      </w:pPr>
      <w:r w:rsidRPr="00505B77">
        <w:t xml:space="preserve">Emmrich, Martin. “The Lucan Account of the Beelzebul Controversy.” </w:t>
      </w:r>
      <w:r w:rsidRPr="00505B77">
        <w:rPr>
          <w:i/>
          <w:iCs/>
        </w:rPr>
        <w:t>WTJ</w:t>
      </w:r>
      <w:r w:rsidRPr="00505B77">
        <w:t xml:space="preserve"> 62 (2000): 267–279.</w:t>
      </w:r>
    </w:p>
    <w:p w14:paraId="40E2E487" w14:textId="77777777" w:rsidR="00FD365F" w:rsidRPr="00505B77" w:rsidRDefault="00FD365F" w:rsidP="005C04D2">
      <w:pPr>
        <w:spacing w:line="240" w:lineRule="auto"/>
        <w:ind w:left="720" w:hanging="720"/>
      </w:pPr>
      <w:r w:rsidRPr="00505B77">
        <w:t xml:space="preserve">Foster, Paul. “Is It Possible to Dispense with Q?” </w:t>
      </w:r>
      <w:r w:rsidRPr="00505B77">
        <w:rPr>
          <w:i/>
          <w:iCs/>
        </w:rPr>
        <w:t>NovT</w:t>
      </w:r>
      <w:r w:rsidRPr="00505B77">
        <w:t xml:space="preserve"> 45, no. 4 (Oct 2003): 313–337.</w:t>
      </w:r>
    </w:p>
    <w:p w14:paraId="5B65DF4A" w14:textId="77777777" w:rsidR="00FD365F" w:rsidRPr="00505B77" w:rsidRDefault="00FD365F" w:rsidP="005C04D2">
      <w:pPr>
        <w:spacing w:line="240" w:lineRule="auto"/>
        <w:ind w:left="720" w:hanging="720"/>
      </w:pPr>
      <w:r w:rsidRPr="00505B77">
        <w:t xml:space="preserve">Goodacre, Mark. “Fatigue in the Synoptics.” </w:t>
      </w:r>
      <w:r w:rsidRPr="00505B77">
        <w:rPr>
          <w:i/>
          <w:iCs/>
        </w:rPr>
        <w:t>NTS</w:t>
      </w:r>
      <w:r w:rsidRPr="00505B77">
        <w:t xml:space="preserve"> 44 (1998): 45–58.</w:t>
      </w:r>
    </w:p>
    <w:p w14:paraId="6E340853" w14:textId="77777777" w:rsidR="00FD365F" w:rsidRPr="00505B77" w:rsidRDefault="00FD365F" w:rsidP="005C04D2">
      <w:pPr>
        <w:spacing w:line="240" w:lineRule="auto"/>
        <w:ind w:left="720" w:hanging="720"/>
      </w:pPr>
      <w:r w:rsidRPr="00505B77">
        <w:t xml:space="preserve">Goulder, Michael D. “Is Q a Juggernaut?” </w:t>
      </w:r>
      <w:r w:rsidRPr="00505B77">
        <w:rPr>
          <w:i/>
          <w:iCs/>
        </w:rPr>
        <w:t>JBL</w:t>
      </w:r>
      <w:r w:rsidRPr="00505B77">
        <w:t xml:space="preserve"> 115, no. 4 (1996): 667–681.</w:t>
      </w:r>
    </w:p>
    <w:p w14:paraId="5D304E50" w14:textId="77777777" w:rsidR="00FD365F" w:rsidRPr="00505B77" w:rsidRDefault="00FD365F" w:rsidP="005C04D2">
      <w:pPr>
        <w:spacing w:line="240" w:lineRule="auto"/>
        <w:ind w:left="720" w:hanging="720"/>
      </w:pPr>
      <w:r w:rsidRPr="00505B77">
        <w:t xml:space="preserve">Goulder, Michael. “Two Significant Minor Agreements (Mat. 4:13 Par.: Mat. 26:67–68 Par.).” </w:t>
      </w:r>
      <w:r w:rsidRPr="00505B77">
        <w:rPr>
          <w:i/>
          <w:iCs/>
        </w:rPr>
        <w:t>NovT</w:t>
      </w:r>
      <w:r w:rsidRPr="00505B77">
        <w:t xml:space="preserve"> 45, no. 4 (Oct 2003): 365–373.</w:t>
      </w:r>
    </w:p>
    <w:p w14:paraId="21393E23" w14:textId="77777777" w:rsidR="00FD365F" w:rsidRPr="00505B77" w:rsidRDefault="00FD365F" w:rsidP="005C04D2">
      <w:pPr>
        <w:spacing w:line="240" w:lineRule="auto"/>
        <w:ind w:left="720" w:hanging="720"/>
      </w:pPr>
      <w:r w:rsidRPr="00505B77">
        <w:t xml:space="preserve">Hobbs, Edward C. “A Quarter-Century Without ‘Q.’” </w:t>
      </w:r>
      <w:r w:rsidRPr="00505B77">
        <w:rPr>
          <w:i/>
          <w:iCs/>
        </w:rPr>
        <w:t>Perkins School of Theology Journal</w:t>
      </w:r>
      <w:r w:rsidRPr="00505B77">
        <w:t xml:space="preserve"> 33, no. 4 (1980): 10–19. </w:t>
      </w:r>
    </w:p>
    <w:p w14:paraId="2C118DD9" w14:textId="77777777" w:rsidR="00FD365F" w:rsidRPr="00505B77" w:rsidRDefault="00FD365F" w:rsidP="005C04D2">
      <w:pPr>
        <w:spacing w:line="240" w:lineRule="auto"/>
        <w:ind w:left="720" w:hanging="720"/>
      </w:pPr>
      <w:r w:rsidRPr="00505B77">
        <w:lastRenderedPageBreak/>
        <w:t xml:space="preserve">Honoré, A. M. “A Statistical Study of the Synoptic Problem.” </w:t>
      </w:r>
      <w:r w:rsidRPr="00505B77">
        <w:rPr>
          <w:i/>
          <w:iCs/>
        </w:rPr>
        <w:t>NovT</w:t>
      </w:r>
      <w:r w:rsidRPr="00505B77">
        <w:t xml:space="preserve"> 10, no. 2/3 (Apr–Jul 1968): 95–147. </w:t>
      </w:r>
    </w:p>
    <w:p w14:paraId="387B7C19" w14:textId="77777777" w:rsidR="00FD365F" w:rsidRPr="00505B77" w:rsidRDefault="00FD365F" w:rsidP="005C04D2">
      <w:pPr>
        <w:spacing w:line="240" w:lineRule="auto"/>
        <w:ind w:left="720" w:hanging="720"/>
      </w:pPr>
      <w:r w:rsidRPr="00505B77">
        <w:t xml:space="preserve">Kloppenborg, John S. “On Dispensing with Q?: Goodacre on the Relation of Luke to Matthew.” </w:t>
      </w:r>
      <w:r w:rsidRPr="00505B77">
        <w:rPr>
          <w:i/>
          <w:iCs/>
        </w:rPr>
        <w:t>NTS</w:t>
      </w:r>
      <w:r w:rsidRPr="00505B77">
        <w:t xml:space="preserve"> 49 (2003): 210–236.</w:t>
      </w:r>
    </w:p>
    <w:p w14:paraId="7454A2BF" w14:textId="77777777" w:rsidR="00FD365F" w:rsidRPr="00505B77" w:rsidRDefault="00FD365F" w:rsidP="005C04D2">
      <w:pPr>
        <w:spacing w:line="240" w:lineRule="auto"/>
        <w:ind w:left="720" w:hanging="720"/>
      </w:pPr>
      <w:r w:rsidRPr="00505B77">
        <w:t xml:space="preserve">Kloppenborg, John S. “The Sayings Gospel Q and the Quest of the Historical Jesus.” </w:t>
      </w:r>
      <w:r w:rsidRPr="00505B77">
        <w:rPr>
          <w:i/>
          <w:iCs/>
        </w:rPr>
        <w:t>HTR</w:t>
      </w:r>
      <w:r w:rsidRPr="00505B77">
        <w:t xml:space="preserve"> 89, no. 4 (1996): 307–344.</w:t>
      </w:r>
    </w:p>
    <w:p w14:paraId="6DF46727" w14:textId="77777777" w:rsidR="00FD365F" w:rsidRPr="00505B77" w:rsidRDefault="00FD365F" w:rsidP="005C04D2">
      <w:pPr>
        <w:spacing w:line="240" w:lineRule="auto"/>
        <w:ind w:left="720" w:hanging="720"/>
      </w:pPr>
      <w:r w:rsidRPr="00505B77">
        <w:t xml:space="preserve">Koester, Helmut. “The Sayings Gospel Q and the Quest of the Historical Jesus: A Response to John S. Kloppenborg.” </w:t>
      </w:r>
      <w:r w:rsidRPr="00505B77">
        <w:rPr>
          <w:i/>
          <w:iCs/>
        </w:rPr>
        <w:t>HTR</w:t>
      </w:r>
      <w:r w:rsidRPr="00505B77">
        <w:t xml:space="preserve"> 89, no. 4 (1996): 345–349.</w:t>
      </w:r>
    </w:p>
    <w:p w14:paraId="5426476A" w14:textId="77777777" w:rsidR="00FD365F" w:rsidRPr="00505B77" w:rsidRDefault="00FD365F" w:rsidP="005C04D2">
      <w:pPr>
        <w:spacing w:line="240" w:lineRule="auto"/>
        <w:ind w:left="720" w:hanging="720"/>
      </w:pPr>
      <w:r w:rsidRPr="00505B77">
        <w:t xml:space="preserve">Mattila, Sharon L. “A Problem Still Clouded: Yet Again: Statistics and ‘Q.’” </w:t>
      </w:r>
      <w:r w:rsidRPr="00505B77">
        <w:rPr>
          <w:i/>
          <w:iCs/>
        </w:rPr>
        <w:t>NovT</w:t>
      </w:r>
      <w:r w:rsidRPr="00505B77">
        <w:t xml:space="preserve"> 36, no. 4 (Oct 1994): 313–329.</w:t>
      </w:r>
    </w:p>
    <w:p w14:paraId="5B8E9E46" w14:textId="77777777" w:rsidR="00FD365F" w:rsidRPr="00505B77" w:rsidRDefault="00FD365F" w:rsidP="005C04D2">
      <w:pPr>
        <w:spacing w:line="240" w:lineRule="auto"/>
        <w:ind w:left="720" w:hanging="720"/>
      </w:pPr>
      <w:r w:rsidRPr="00505B77">
        <w:t xml:space="preserve">Mattila, Sharon Lea. “Negotiating the Clouds Around Statistics and ‘Q’: A Rejoinder and Independent Analysis.” </w:t>
      </w:r>
      <w:r w:rsidRPr="00505B77">
        <w:rPr>
          <w:i/>
          <w:iCs/>
        </w:rPr>
        <w:t>NovT</w:t>
      </w:r>
      <w:r w:rsidRPr="00505B77">
        <w:t xml:space="preserve"> 46, no. 2 (2004): 105–131.</w:t>
      </w:r>
    </w:p>
    <w:p w14:paraId="095ACB6F" w14:textId="77777777" w:rsidR="00FD365F" w:rsidRPr="00505B77" w:rsidRDefault="00FD365F" w:rsidP="005C04D2">
      <w:pPr>
        <w:spacing w:line="240" w:lineRule="auto"/>
        <w:ind w:left="720" w:hanging="720"/>
      </w:pPr>
      <w:r w:rsidRPr="00505B77">
        <w:t xml:space="preserve">Mead, Richard T. “The Healing of the Paralytic – A Unit?” </w:t>
      </w:r>
      <w:r w:rsidRPr="00505B77">
        <w:rPr>
          <w:i/>
          <w:iCs/>
        </w:rPr>
        <w:t>JBL</w:t>
      </w:r>
      <w:r w:rsidRPr="00505B77">
        <w:t xml:space="preserve"> 80, no. 4 (1961): 348–354.</w:t>
      </w:r>
    </w:p>
    <w:p w14:paraId="7B3B194B" w14:textId="77777777" w:rsidR="00FD365F" w:rsidRPr="00505B77" w:rsidRDefault="00FD365F" w:rsidP="005C04D2">
      <w:pPr>
        <w:spacing w:line="240" w:lineRule="auto"/>
        <w:ind w:left="720" w:hanging="720"/>
      </w:pPr>
      <w:r w:rsidRPr="00505B77">
        <w:t xml:space="preserve">Mealand, David L. “Is there Stylometric Evidence for Q?” </w:t>
      </w:r>
      <w:r w:rsidRPr="00505B77">
        <w:rPr>
          <w:i/>
          <w:iCs/>
        </w:rPr>
        <w:t>NTS</w:t>
      </w:r>
      <w:r w:rsidRPr="00505B77">
        <w:t xml:space="preserve"> 57 (2011): 483–507.</w:t>
      </w:r>
    </w:p>
    <w:p w14:paraId="25464663" w14:textId="77777777" w:rsidR="00FD365F" w:rsidRPr="00505B77" w:rsidRDefault="00FD365F" w:rsidP="005C04D2">
      <w:pPr>
        <w:spacing w:line="240" w:lineRule="auto"/>
        <w:ind w:left="720" w:hanging="720"/>
      </w:pPr>
      <w:r w:rsidRPr="00505B77">
        <w:t xml:space="preserve">O’Rourke, John J. “Some Observations on the Synoptic Problem and the Use of Statistical Procedures.” </w:t>
      </w:r>
      <w:r w:rsidRPr="00505B77">
        <w:rPr>
          <w:i/>
          <w:iCs/>
        </w:rPr>
        <w:t>NovT</w:t>
      </w:r>
      <w:r w:rsidRPr="00505B77">
        <w:t xml:space="preserve"> 16, no. 4 (Oct 1974): 272–277.</w:t>
      </w:r>
    </w:p>
    <w:p w14:paraId="14070C6C" w14:textId="77777777" w:rsidR="00FD365F" w:rsidRPr="00505B77" w:rsidRDefault="00FD365F" w:rsidP="005C04D2">
      <w:pPr>
        <w:spacing w:line="240" w:lineRule="auto"/>
        <w:ind w:left="720" w:hanging="720"/>
      </w:pPr>
      <w:r w:rsidRPr="00505B77">
        <w:t xml:space="preserve">Poirier, John C. “Memory, Written Sources, and the Synoptic Problem: A Response to Robert K. McIver and Marie Carroll.” </w:t>
      </w:r>
      <w:r w:rsidRPr="00505B77">
        <w:rPr>
          <w:i/>
          <w:iCs/>
        </w:rPr>
        <w:t>JBL</w:t>
      </w:r>
      <w:r w:rsidRPr="00505B77">
        <w:t xml:space="preserve"> 123, no. 2 (2004): 315–322.</w:t>
      </w:r>
    </w:p>
    <w:p w14:paraId="6D745782" w14:textId="77777777" w:rsidR="00FD365F" w:rsidRPr="00505B77" w:rsidRDefault="00FD365F" w:rsidP="005C04D2">
      <w:pPr>
        <w:spacing w:line="240" w:lineRule="auto"/>
        <w:ind w:left="720" w:hanging="720"/>
      </w:pPr>
      <w:r w:rsidRPr="00505B77">
        <w:t xml:space="preserve">Poirier, John C. “Statistical Studies of the Verbal Agreements and their Impact on the Synoptic Problem.” </w:t>
      </w:r>
      <w:r w:rsidRPr="00505B77">
        <w:rPr>
          <w:i/>
          <w:iCs/>
        </w:rPr>
        <w:t>CBR</w:t>
      </w:r>
      <w:r w:rsidRPr="00505B77">
        <w:t xml:space="preserve"> 7, no. 1 (2008): 68–123.</w:t>
      </w:r>
    </w:p>
    <w:p w14:paraId="234E12FC" w14:textId="77777777" w:rsidR="00FD365F" w:rsidRPr="00505B77" w:rsidRDefault="00FD365F" w:rsidP="005C04D2">
      <w:pPr>
        <w:spacing w:line="240" w:lineRule="auto"/>
        <w:ind w:left="720" w:hanging="720"/>
      </w:pPr>
      <w:r w:rsidRPr="00505B77">
        <w:t xml:space="preserve">Poirier, John C. “The Synoptic Problem and the Field of New Testament Introduction.” </w:t>
      </w:r>
      <w:r w:rsidRPr="00505B77">
        <w:rPr>
          <w:i/>
          <w:iCs/>
        </w:rPr>
        <w:t>JSNT</w:t>
      </w:r>
      <w:r w:rsidRPr="00505B77">
        <w:t xml:space="preserve"> 32, no. 2 (2009): 179–190.</w:t>
      </w:r>
    </w:p>
    <w:p w14:paraId="053B11A9" w14:textId="77777777" w:rsidR="00FD365F" w:rsidRPr="00505B77" w:rsidRDefault="00FD365F" w:rsidP="005C04D2">
      <w:pPr>
        <w:spacing w:line="240" w:lineRule="auto"/>
        <w:ind w:left="720" w:hanging="720"/>
      </w:pPr>
      <w:r w:rsidRPr="00505B77">
        <w:t xml:space="preserve">Porter, Stanley E. “The Synoptic Problem: The State of the Question.” </w:t>
      </w:r>
      <w:r w:rsidRPr="00505B77">
        <w:rPr>
          <w:i/>
          <w:iCs/>
        </w:rPr>
        <w:t>JGRChJ</w:t>
      </w:r>
      <w:r w:rsidRPr="00505B77">
        <w:t xml:space="preserve"> 12 (2016): 73–98.</w:t>
      </w:r>
    </w:p>
    <w:p w14:paraId="46213824" w14:textId="77777777" w:rsidR="00FD365F" w:rsidRPr="00505B77" w:rsidRDefault="00FD365F" w:rsidP="005C04D2">
      <w:pPr>
        <w:spacing w:line="240" w:lineRule="auto"/>
        <w:ind w:left="720" w:hanging="720"/>
      </w:pPr>
      <w:r w:rsidRPr="00505B77">
        <w:t xml:space="preserve">Salgaro, Massimo. “The Digital Humanities as a Toolkit for Literary Theory: Three Case Studies of the Operationalization of the Concepts of ‘Late Style,’ ‘Authorship Attribution,’ and ‘Literary Movement.’” </w:t>
      </w:r>
      <w:r w:rsidRPr="00505B77">
        <w:rPr>
          <w:i/>
          <w:iCs/>
        </w:rPr>
        <w:t>Iperstoria–Testi Letterature Linguaggi</w:t>
      </w:r>
      <w:r w:rsidRPr="00505B77">
        <w:t xml:space="preserve"> 12 (Fall/Winter 2018): 50–60.</w:t>
      </w:r>
    </w:p>
    <w:p w14:paraId="03739C51" w14:textId="77777777" w:rsidR="00FD365F" w:rsidRPr="00505B77" w:rsidRDefault="00FD365F" w:rsidP="005C04D2">
      <w:pPr>
        <w:spacing w:line="240" w:lineRule="auto"/>
        <w:ind w:left="720" w:hanging="720"/>
      </w:pPr>
      <w:r w:rsidRPr="00505B77">
        <w:t xml:space="preserve">Tripp, Jeffrey M. “Measuring Arguments from Order for Q: Regression Analysis and a New Metric for Assessing Dependence.” </w:t>
      </w:r>
      <w:r w:rsidRPr="00505B77">
        <w:rPr>
          <w:i/>
          <w:iCs/>
        </w:rPr>
        <w:t>Neot</w:t>
      </w:r>
      <w:r w:rsidRPr="00505B77">
        <w:t xml:space="preserve"> 47, no. 1 (2013): 123–148.</w:t>
      </w:r>
    </w:p>
    <w:p w14:paraId="03F8A1D7" w14:textId="77777777" w:rsidR="005C04D2" w:rsidRPr="00505B77" w:rsidRDefault="005C04D2" w:rsidP="005C04D2">
      <w:pPr>
        <w:spacing w:line="240" w:lineRule="auto"/>
        <w:ind w:left="720" w:hanging="720"/>
      </w:pPr>
    </w:p>
    <w:p w14:paraId="74655A58" w14:textId="77777777" w:rsidR="005C04D2" w:rsidRPr="00505B77" w:rsidRDefault="005C04D2" w:rsidP="005C04D2">
      <w:pPr>
        <w:spacing w:line="240" w:lineRule="auto"/>
        <w:ind w:left="720" w:hanging="720"/>
        <w:rPr>
          <w:b/>
          <w:bCs/>
        </w:rPr>
      </w:pPr>
      <w:r w:rsidRPr="00505B77">
        <w:rPr>
          <w:b/>
          <w:bCs/>
        </w:rPr>
        <w:t>Chapters and Sections:</w:t>
      </w:r>
    </w:p>
    <w:p w14:paraId="1E26CE3F" w14:textId="77777777" w:rsidR="00FD365F" w:rsidRPr="00505B77" w:rsidRDefault="00FD365F" w:rsidP="005C04D2">
      <w:pPr>
        <w:spacing w:line="240" w:lineRule="auto"/>
        <w:ind w:left="720" w:hanging="720"/>
      </w:pPr>
      <w:r w:rsidRPr="00505B77">
        <w:t xml:space="preserve">Damm, Alex. “Ancient Rhetoric and the Synoptic Problem.” In </w:t>
      </w:r>
      <w:r w:rsidRPr="00505B77">
        <w:rPr>
          <w:i/>
          <w:iCs/>
        </w:rPr>
        <w:t>New Studies in the Synoptic Problem: Oxford Conference, April 2008: Essays in Honour of Christopher M. Tuckett</w:t>
      </w:r>
      <w:r w:rsidRPr="00505B77">
        <w:t>, edited by P. Foster, A. Gregory, J. S. Kloppenborg, and J. Verheyden, 483–508. BETL 239. Leuven: Uitgeverij Peeters, 2011.</w:t>
      </w:r>
    </w:p>
    <w:p w14:paraId="51C3115D" w14:textId="77777777" w:rsidR="00FD365F" w:rsidRPr="00505B77" w:rsidRDefault="00FD365F" w:rsidP="005C04D2">
      <w:pPr>
        <w:spacing w:line="240" w:lineRule="auto"/>
        <w:ind w:left="720" w:hanging="720"/>
      </w:pPr>
      <w:r w:rsidRPr="00505B77">
        <w:t xml:space="preserve">Farrer, A. M. “On Dispensing with Q.” In </w:t>
      </w:r>
      <w:r w:rsidRPr="00505B77">
        <w:rPr>
          <w:i/>
          <w:iCs/>
        </w:rPr>
        <w:t>Studies in the Gospels: Essays in Memory of R. H. Lightfoot</w:t>
      </w:r>
      <w:r w:rsidRPr="00505B77">
        <w:t>. Edited by D. E. Nineham, 55–86. Oxford: Blackwell, 1955.</w:t>
      </w:r>
    </w:p>
    <w:p w14:paraId="437E0BC1" w14:textId="77777777" w:rsidR="00FD365F" w:rsidRPr="00505B77" w:rsidRDefault="00FD365F" w:rsidP="005C04D2">
      <w:pPr>
        <w:spacing w:line="240" w:lineRule="auto"/>
        <w:ind w:left="720" w:hanging="720"/>
      </w:pPr>
      <w:r w:rsidRPr="00505B77">
        <w:t xml:space="preserve">Goodacre, Mark. “Re-Walking the “Way of the Lord”: Luke’s Use of Mark and His Reaction to Matthew.” In </w:t>
      </w:r>
      <w:r w:rsidRPr="00505B77">
        <w:rPr>
          <w:i/>
          <w:iCs/>
        </w:rPr>
        <w:t>Luke’s Literary Creativity</w:t>
      </w:r>
      <w:r w:rsidRPr="00505B77">
        <w:t>. Edited by Mogens Müller and Jesper Tang Nielsen, 26–43. LNTS 550. London: Bloomsbury T&amp;T Clark, 2016.</w:t>
      </w:r>
    </w:p>
    <w:p w14:paraId="5595C553" w14:textId="77777777" w:rsidR="00FD365F" w:rsidRPr="00505B77" w:rsidRDefault="00FD365F" w:rsidP="005C04D2">
      <w:pPr>
        <w:spacing w:line="240" w:lineRule="auto"/>
        <w:ind w:left="720" w:hanging="720"/>
      </w:pPr>
      <w:r w:rsidRPr="00505B77">
        <w:t xml:space="preserve">Kahl, Werner. “Inclusive and Exclusive Agreements – Towards a Neutral Comparison of the Synoptic Gospels, or: Minor Agreements as Misleading Category.” In </w:t>
      </w:r>
      <w:r w:rsidRPr="00505B77">
        <w:rPr>
          <w:i/>
          <w:iCs/>
        </w:rPr>
        <w:t>Luke’s Literary Creativity</w:t>
      </w:r>
      <w:r w:rsidRPr="00505B77">
        <w:t>, edited by Mogens Müller and Jesper Tang Nielsen, 44–78. LNTS 550. London: Bloomsbury T&amp;T Clark, 2016.</w:t>
      </w:r>
    </w:p>
    <w:p w14:paraId="6DBFF5AA" w14:textId="77777777" w:rsidR="00FD365F" w:rsidRPr="00505B77" w:rsidRDefault="00FD365F" w:rsidP="005C04D2">
      <w:pPr>
        <w:spacing w:line="240" w:lineRule="auto"/>
        <w:ind w:left="720" w:hanging="720"/>
      </w:pPr>
      <w:r w:rsidRPr="00505B77">
        <w:lastRenderedPageBreak/>
        <w:t xml:space="preserve">Kloppenborg, John S. “Conceptual Stakes in the Synoptic Problem.” In </w:t>
      </w:r>
      <w:r w:rsidRPr="00505B77">
        <w:rPr>
          <w:i/>
          <w:iCs/>
        </w:rPr>
        <w:t>Gospel Interpretation and the Q-hypothesis</w:t>
      </w:r>
      <w:r w:rsidRPr="00505B77">
        <w:t xml:space="preserve"> edited by Mogens Müller and Heike Omerzu, 13–42. LNTS 573. London: Bloomsbury T&amp;T Clark, 2018.</w:t>
      </w:r>
    </w:p>
    <w:p w14:paraId="784065E7" w14:textId="77777777" w:rsidR="00FD365F" w:rsidRPr="00505B77" w:rsidRDefault="00FD365F" w:rsidP="005C04D2">
      <w:pPr>
        <w:spacing w:line="240" w:lineRule="auto"/>
        <w:ind w:left="720" w:hanging="720"/>
      </w:pPr>
      <w:r w:rsidRPr="00505B77">
        <w:t xml:space="preserve">Porter, Stanley E. and Andrew W. Pitts. “The Pre-Citation Fallacy in New Testament Scholarship and Sanders’s Tendencies of the Synoptic Tradition.” In </w:t>
      </w:r>
      <w:r w:rsidRPr="00505B77">
        <w:rPr>
          <w:i/>
          <w:iCs/>
        </w:rPr>
        <w:t>Christian Origins and the Establishment of the Early Jesus Movement</w:t>
      </w:r>
      <w:r w:rsidRPr="00505B77">
        <w:t>, 89–107. TENTS; Brill, 2018.</w:t>
      </w:r>
    </w:p>
    <w:p w14:paraId="59924587" w14:textId="77777777" w:rsidR="00FD365F" w:rsidRPr="00505B77" w:rsidRDefault="00FD365F" w:rsidP="005C04D2">
      <w:pPr>
        <w:spacing w:line="240" w:lineRule="auto"/>
        <w:ind w:left="720" w:hanging="720"/>
      </w:pPr>
      <w:r w:rsidRPr="00505B77">
        <w:t xml:space="preserve">Reid, Barbara E. “‘Do You See This Woman? A Liberative Look at Luke 7.36-50 and Strategies for Reading Other Lukan Stories Against the Grain.” In </w:t>
      </w:r>
      <w:r w:rsidRPr="00505B77">
        <w:rPr>
          <w:i/>
          <w:iCs/>
        </w:rPr>
        <w:t>A Feminist Companion to Luke</w:t>
      </w:r>
      <w:r w:rsidRPr="00505B77">
        <w:t>, edited by Amy-Jill Levine, 106–120. London: Sheffield, 2002.</w:t>
      </w:r>
    </w:p>
    <w:p w14:paraId="5B823A90" w14:textId="77777777" w:rsidR="00FD365F" w:rsidRPr="00505B77" w:rsidRDefault="00FD365F" w:rsidP="005C04D2">
      <w:pPr>
        <w:spacing w:line="240" w:lineRule="auto"/>
        <w:ind w:left="720" w:hanging="720"/>
      </w:pPr>
      <w:r w:rsidRPr="00505B77">
        <w:t xml:space="preserve">Watson, Francis. “Luke Rewriting and Rewritten.” In </w:t>
      </w:r>
      <w:r w:rsidRPr="00505B77">
        <w:rPr>
          <w:i/>
          <w:iCs/>
        </w:rPr>
        <w:t>Luke’s Literary Creativity</w:t>
      </w:r>
      <w:r w:rsidRPr="00505B77">
        <w:t>, edited by Mogens Müller and Jesper Tang Nielsen, 79–95. LNTS 550. London: Bloomsbury T&amp;T Clark, 2016.</w:t>
      </w:r>
    </w:p>
    <w:p w14:paraId="4C4FF773" w14:textId="77777777" w:rsidR="005C04D2" w:rsidRPr="00505B77" w:rsidRDefault="005C04D2" w:rsidP="005C04D2">
      <w:pPr>
        <w:spacing w:line="240" w:lineRule="auto"/>
        <w:ind w:left="720" w:hanging="720"/>
        <w:rPr>
          <w:b/>
          <w:bCs/>
          <w:u w:val="single"/>
        </w:rPr>
      </w:pPr>
    </w:p>
    <w:p w14:paraId="32D4DB42" w14:textId="77777777" w:rsidR="005C04D2" w:rsidRPr="00505B77" w:rsidRDefault="005C04D2" w:rsidP="005C04D2">
      <w:pPr>
        <w:spacing w:line="240" w:lineRule="auto"/>
        <w:ind w:left="720" w:hanging="720"/>
      </w:pPr>
      <w:r w:rsidRPr="00505B77">
        <w:rPr>
          <w:b/>
          <w:bCs/>
        </w:rPr>
        <w:t>Books and Dissertations</w:t>
      </w:r>
      <w:r w:rsidRPr="00505B77">
        <w:t>:</w:t>
      </w:r>
    </w:p>
    <w:p w14:paraId="3577E878" w14:textId="77777777" w:rsidR="00FD365F" w:rsidRPr="00505B77" w:rsidRDefault="00FD365F" w:rsidP="005C04D2">
      <w:pPr>
        <w:spacing w:line="240" w:lineRule="auto"/>
        <w:ind w:left="720" w:hanging="720"/>
      </w:pPr>
      <w:r w:rsidRPr="00505B77">
        <w:t xml:space="preserve">Abakuks, Andris. </w:t>
      </w:r>
      <w:r w:rsidRPr="00505B77">
        <w:rPr>
          <w:i/>
          <w:iCs/>
        </w:rPr>
        <w:t>The Synoptic Problem and Statistics</w:t>
      </w:r>
      <w:r w:rsidRPr="00505B77">
        <w:t>. Boca Raton, FL: CRC Press, 2015.</w:t>
      </w:r>
    </w:p>
    <w:p w14:paraId="541E2168" w14:textId="77777777" w:rsidR="00FD365F" w:rsidRPr="00505B77" w:rsidRDefault="00FD365F" w:rsidP="005C04D2">
      <w:pPr>
        <w:spacing w:line="240" w:lineRule="auto"/>
        <w:ind w:left="720" w:hanging="720"/>
      </w:pPr>
      <w:r w:rsidRPr="00505B77">
        <w:t xml:space="preserve">Abbott, Edwin A. </w:t>
      </w:r>
      <w:r w:rsidRPr="00505B77">
        <w:rPr>
          <w:i/>
          <w:iCs/>
        </w:rPr>
        <w:t>The Corrections of Mark: Adopted by Matthew and Luke</w:t>
      </w:r>
      <w:r w:rsidRPr="00505B77">
        <w:t>. London: Adam and Charles Black, 1901.</w:t>
      </w:r>
    </w:p>
    <w:p w14:paraId="22F46D26" w14:textId="77777777" w:rsidR="00FD365F" w:rsidRPr="00505B77" w:rsidRDefault="00FD365F" w:rsidP="005C04D2">
      <w:pPr>
        <w:spacing w:line="240" w:lineRule="auto"/>
        <w:ind w:left="720" w:hanging="720"/>
      </w:pPr>
      <w:r w:rsidRPr="00505B77">
        <w:t xml:space="preserve">Agresti, Alan and Barbara Finlay. </w:t>
      </w:r>
      <w:r w:rsidRPr="00505B77">
        <w:rPr>
          <w:i/>
          <w:iCs/>
        </w:rPr>
        <w:t>Statistical Methods for the Social Sciences</w:t>
      </w:r>
      <w:r w:rsidRPr="00505B77">
        <w:t>. 4th ed. Upper Saddle River, NJ: Pearson Prentice Hall, 2009.</w:t>
      </w:r>
    </w:p>
    <w:p w14:paraId="160C0088" w14:textId="77777777" w:rsidR="00FD365F" w:rsidRPr="00505B77" w:rsidRDefault="00FD365F" w:rsidP="005C04D2">
      <w:pPr>
        <w:spacing w:line="240" w:lineRule="auto"/>
        <w:ind w:left="720" w:hanging="720"/>
      </w:pPr>
      <w:r w:rsidRPr="00505B77">
        <w:t xml:space="preserve">BeDuhn, Jason David. </w:t>
      </w:r>
      <w:r w:rsidRPr="00505B77">
        <w:rPr>
          <w:i/>
          <w:iCs/>
        </w:rPr>
        <w:t>The First New Testament: Marcion’s Scriptural Canon</w:t>
      </w:r>
      <w:r w:rsidRPr="00505B77">
        <w:t>. Salem, OR: Polebridge Press, 2013.</w:t>
      </w:r>
    </w:p>
    <w:p w14:paraId="657D1DF2" w14:textId="77777777" w:rsidR="00FD365F" w:rsidRPr="00505B77" w:rsidRDefault="00FD365F" w:rsidP="005C04D2">
      <w:pPr>
        <w:spacing w:line="240" w:lineRule="auto"/>
        <w:ind w:left="720" w:hanging="720"/>
      </w:pPr>
      <w:r w:rsidRPr="00505B77">
        <w:t xml:space="preserve">Butler, Basil Christopher. </w:t>
      </w:r>
      <w:r w:rsidRPr="00505B77">
        <w:rPr>
          <w:i/>
          <w:iCs/>
        </w:rPr>
        <w:t>The Originality of St. Matthew: A Critique of the Two-document Hypothesis</w:t>
      </w:r>
      <w:r w:rsidRPr="00505B77">
        <w:t>. Cambridge: Cambridge University Press, 1951.</w:t>
      </w:r>
    </w:p>
    <w:p w14:paraId="0BF2C421" w14:textId="77777777" w:rsidR="00FD365F" w:rsidRPr="00505B77" w:rsidRDefault="00FD365F" w:rsidP="005C04D2">
      <w:pPr>
        <w:spacing w:line="240" w:lineRule="auto"/>
        <w:ind w:left="720" w:hanging="720"/>
      </w:pPr>
      <w:r w:rsidRPr="00505B77">
        <w:t xml:space="preserve">Chapman, John and John M. T. Barton. </w:t>
      </w:r>
      <w:r w:rsidRPr="00505B77">
        <w:rPr>
          <w:i/>
          <w:iCs/>
        </w:rPr>
        <w:t>Matthew, Mark and Luke: A Study in the Order and Interrelation of the Synoptic Gospels</w:t>
      </w:r>
      <w:r w:rsidRPr="00505B77">
        <w:t xml:space="preserve">. London: Longmans, Green, 1937. </w:t>
      </w:r>
    </w:p>
    <w:p w14:paraId="7B5AD916" w14:textId="77777777" w:rsidR="00FD365F" w:rsidRPr="00505B77" w:rsidRDefault="00FD365F" w:rsidP="005C04D2">
      <w:pPr>
        <w:spacing w:line="240" w:lineRule="auto"/>
        <w:ind w:left="720" w:hanging="720"/>
      </w:pPr>
      <w:r w:rsidRPr="00505B77">
        <w:t xml:space="preserve">Damm, Alex. </w:t>
      </w:r>
      <w:r w:rsidRPr="00505B77">
        <w:rPr>
          <w:i/>
          <w:iCs/>
        </w:rPr>
        <w:t>Ancient Rhetoric and the Synoptic Problem: Clarifying Markan Priority</w:t>
      </w:r>
      <w:r w:rsidRPr="00505B77">
        <w:t>. BETL 252. Leuven: Uitgeverij Peeters, 2013.</w:t>
      </w:r>
    </w:p>
    <w:p w14:paraId="67471C8C" w14:textId="77777777" w:rsidR="00FD365F" w:rsidRPr="00505B77" w:rsidRDefault="00FD365F" w:rsidP="005C04D2">
      <w:pPr>
        <w:spacing w:line="240" w:lineRule="auto"/>
        <w:ind w:left="720" w:hanging="720"/>
      </w:pPr>
      <w:r w:rsidRPr="00505B77">
        <w:t xml:space="preserve">Derico, T. M. </w:t>
      </w:r>
      <w:r w:rsidRPr="00505B77">
        <w:rPr>
          <w:i/>
          <w:iCs/>
        </w:rPr>
        <w:t>Oral Tradition and Synoptic Verbal Agreement: Evaluating the Empirical Evidence for Literary Dependence</w:t>
      </w:r>
      <w:r w:rsidRPr="00505B77">
        <w:t>. Eugene: Wipf&amp;Stock, 2016.</w:t>
      </w:r>
    </w:p>
    <w:p w14:paraId="2E1F14EE" w14:textId="77777777" w:rsidR="00FD365F" w:rsidRPr="00505B77" w:rsidRDefault="00FD365F" w:rsidP="005C04D2">
      <w:pPr>
        <w:spacing w:line="240" w:lineRule="auto"/>
        <w:ind w:left="720" w:hanging="720"/>
        <w:rPr>
          <w:lang w:val="de-DE"/>
        </w:rPr>
      </w:pPr>
      <w:r w:rsidRPr="00505B77">
        <w:t xml:space="preserve">Dungan, David L. </w:t>
      </w:r>
      <w:r w:rsidRPr="00505B77">
        <w:rPr>
          <w:i/>
          <w:iCs/>
        </w:rPr>
        <w:t>A History of the Synoptic Problem: The Canon, the Text, the Composition and the Interpretation of the Gospels</w:t>
      </w:r>
      <w:r w:rsidRPr="00505B77">
        <w:t xml:space="preserve">. </w:t>
      </w:r>
      <w:r w:rsidRPr="00505B77">
        <w:rPr>
          <w:lang w:val="de-DE"/>
        </w:rPr>
        <w:t>New York: Doubleday, 1999.</w:t>
      </w:r>
    </w:p>
    <w:p w14:paraId="7972C1C7" w14:textId="77777777" w:rsidR="00FD365F" w:rsidRPr="00505B77" w:rsidRDefault="00FD365F" w:rsidP="005C04D2">
      <w:pPr>
        <w:spacing w:line="240" w:lineRule="auto"/>
        <w:ind w:left="720" w:hanging="720"/>
        <w:rPr>
          <w:u w:val="single"/>
        </w:rPr>
      </w:pPr>
      <w:r w:rsidRPr="00505B77">
        <w:rPr>
          <w:lang w:val="de-DE"/>
        </w:rPr>
        <w:t xml:space="preserve">Ennulat, Andreas. </w:t>
      </w:r>
      <w:r w:rsidRPr="00505B77">
        <w:rPr>
          <w:i/>
          <w:iCs/>
          <w:lang w:val="de-DE"/>
        </w:rPr>
        <w:t>Die “Minor agreements”: Untersuchungen zu einer offenen Frage des synoptischen Problems.</w:t>
      </w:r>
      <w:r w:rsidRPr="00505B77">
        <w:rPr>
          <w:lang w:val="de-DE"/>
        </w:rPr>
        <w:t xml:space="preserve"> </w:t>
      </w:r>
      <w:r w:rsidRPr="00505B77">
        <w:t xml:space="preserve">WUNT 2/62. Tübingen: Mohr Siebeck, 1994. </w:t>
      </w:r>
    </w:p>
    <w:p w14:paraId="4280EEE5" w14:textId="77777777" w:rsidR="00FD365F" w:rsidRPr="00505B77" w:rsidRDefault="00FD365F" w:rsidP="005C04D2">
      <w:pPr>
        <w:spacing w:line="240" w:lineRule="auto"/>
        <w:ind w:left="720" w:hanging="720"/>
      </w:pPr>
      <w:r w:rsidRPr="00505B77">
        <w:t xml:space="preserve">Farmer, William R. </w:t>
      </w:r>
      <w:r w:rsidRPr="00505B77">
        <w:rPr>
          <w:i/>
          <w:iCs/>
        </w:rPr>
        <w:t>Synopticon: The verbal agreement between the Greek Texts of Matthew, Mark and Luke contextually exhibited</w:t>
      </w:r>
      <w:r w:rsidRPr="00505B77">
        <w:t>. Cambridge: Cambridge University Press, 1969.</w:t>
      </w:r>
    </w:p>
    <w:p w14:paraId="6759ADEB" w14:textId="77777777" w:rsidR="00FD365F" w:rsidRPr="00505B77" w:rsidRDefault="00FD365F" w:rsidP="005C04D2">
      <w:pPr>
        <w:spacing w:line="240" w:lineRule="auto"/>
        <w:ind w:left="720" w:hanging="720"/>
      </w:pPr>
      <w:r w:rsidRPr="00505B77">
        <w:t xml:space="preserve">Farmer, William R. </w:t>
      </w:r>
      <w:r w:rsidRPr="00505B77">
        <w:rPr>
          <w:i/>
          <w:iCs/>
        </w:rPr>
        <w:t>The Synoptic Problem: A Critical Analysis</w:t>
      </w:r>
      <w:r w:rsidRPr="00505B77">
        <w:t>. New York: Macmillan, 1964.</w:t>
      </w:r>
    </w:p>
    <w:p w14:paraId="7671EB55" w14:textId="77777777" w:rsidR="00FD365F" w:rsidRPr="00505B77" w:rsidRDefault="00FD365F" w:rsidP="005C04D2">
      <w:pPr>
        <w:spacing w:line="240" w:lineRule="auto"/>
        <w:ind w:left="720" w:hanging="720"/>
      </w:pPr>
      <w:r w:rsidRPr="00505B77">
        <w:t xml:space="preserve">Farmer, William. </w:t>
      </w:r>
      <w:r w:rsidRPr="00505B77">
        <w:rPr>
          <w:i/>
          <w:iCs/>
        </w:rPr>
        <w:t>The Gospel of Jesus: The Pastoral Relevance of the Synoptic Problem</w:t>
      </w:r>
      <w:r w:rsidRPr="00505B77">
        <w:t>. Louisville: Westminster John Knox Press, 1994.</w:t>
      </w:r>
    </w:p>
    <w:p w14:paraId="0B5E095A" w14:textId="77777777" w:rsidR="00FD365F" w:rsidRPr="00505B77" w:rsidRDefault="00FD365F" w:rsidP="005C04D2">
      <w:pPr>
        <w:spacing w:line="240" w:lineRule="auto"/>
        <w:ind w:left="720" w:hanging="720"/>
      </w:pPr>
      <w:r w:rsidRPr="00505B77">
        <w:t xml:space="preserve">Foster, P., A. Gregory, J. S. Kloppenborg, and J. Verheyden, eds. </w:t>
      </w:r>
      <w:r w:rsidRPr="00505B77">
        <w:rPr>
          <w:i/>
          <w:iCs/>
        </w:rPr>
        <w:t>New Studies in the Synoptic Problem, Oxford Conference, April 2008: Essays in Honour of Christopher M. Tuckett</w:t>
      </w:r>
      <w:r w:rsidRPr="00505B77">
        <w:t>. BETL 239. Leuven: Uitgeverij Peeters, 2011.</w:t>
      </w:r>
    </w:p>
    <w:p w14:paraId="319983B5" w14:textId="77777777" w:rsidR="00FD365F" w:rsidRPr="00505B77" w:rsidRDefault="00FD365F" w:rsidP="005C04D2">
      <w:pPr>
        <w:spacing w:line="240" w:lineRule="auto"/>
        <w:ind w:left="720" w:hanging="720"/>
      </w:pPr>
      <w:r w:rsidRPr="00505B77">
        <w:t xml:space="preserve">Geis, Robert. </w:t>
      </w:r>
      <w:r w:rsidRPr="00505B77">
        <w:rPr>
          <w:i/>
          <w:iCs/>
        </w:rPr>
        <w:t>Exegesis and the Synoptics</w:t>
      </w:r>
      <w:r w:rsidRPr="00505B77">
        <w:t>. Lanham, MD: University Press of America, 2012.</w:t>
      </w:r>
    </w:p>
    <w:p w14:paraId="695E9191" w14:textId="77777777" w:rsidR="00FD365F" w:rsidRPr="00505B77" w:rsidRDefault="00FD365F" w:rsidP="005C04D2">
      <w:pPr>
        <w:spacing w:line="240" w:lineRule="auto"/>
        <w:ind w:left="720" w:hanging="720"/>
        <w:rPr>
          <w:lang w:val="de-DE"/>
        </w:rPr>
      </w:pPr>
      <w:r w:rsidRPr="00505B77">
        <w:rPr>
          <w:lang w:val="de-DE"/>
        </w:rPr>
        <w:t xml:space="preserve">Gillner, Jens. </w:t>
      </w:r>
      <w:r w:rsidRPr="00505B77">
        <w:rPr>
          <w:i/>
          <w:iCs/>
          <w:lang w:val="de-DE"/>
        </w:rPr>
        <w:t xml:space="preserve">Gericht bei Lukas. </w:t>
      </w:r>
      <w:r w:rsidRPr="00505B77">
        <w:rPr>
          <w:lang w:val="de-DE"/>
        </w:rPr>
        <w:t xml:space="preserve">WUNT 2/401. Tübingen: Mohr Siebeck, 2015. </w:t>
      </w:r>
    </w:p>
    <w:p w14:paraId="6C034735" w14:textId="77777777" w:rsidR="00FD365F" w:rsidRPr="00505B77" w:rsidRDefault="00FD365F" w:rsidP="005C04D2">
      <w:pPr>
        <w:spacing w:line="240" w:lineRule="auto"/>
        <w:ind w:left="720" w:hanging="720"/>
      </w:pPr>
      <w:r w:rsidRPr="00505B77">
        <w:rPr>
          <w:lang w:val="de-DE"/>
        </w:rPr>
        <w:t xml:space="preserve">Goodacre, Mark. </w:t>
      </w:r>
      <w:r w:rsidRPr="00505B77">
        <w:rPr>
          <w:i/>
          <w:iCs/>
        </w:rPr>
        <w:t>The Case Against Q: Studies in Markan Priority and the Synoptic Problem</w:t>
      </w:r>
      <w:r w:rsidRPr="00505B77">
        <w:t>. Harrisburg, PA: Trinity Press International, 2002.</w:t>
      </w:r>
    </w:p>
    <w:p w14:paraId="54CFACCC" w14:textId="77777777" w:rsidR="00FD365F" w:rsidRPr="00505B77" w:rsidRDefault="00FD365F" w:rsidP="005C04D2">
      <w:pPr>
        <w:spacing w:line="240" w:lineRule="auto"/>
        <w:ind w:left="720" w:hanging="720"/>
      </w:pPr>
      <w:r w:rsidRPr="00505B77">
        <w:t xml:space="preserve">Goodacre, Mark. </w:t>
      </w:r>
      <w:r w:rsidRPr="00505B77">
        <w:rPr>
          <w:i/>
          <w:iCs/>
        </w:rPr>
        <w:t>The Synoptic Problem: A Way Through the Maze</w:t>
      </w:r>
      <w:r w:rsidRPr="00505B77">
        <w:t xml:space="preserve">. London: T&amp;T Clark, 2001. </w:t>
      </w:r>
    </w:p>
    <w:p w14:paraId="3E24E15B" w14:textId="77777777" w:rsidR="00FD365F" w:rsidRPr="00505B77" w:rsidRDefault="00FD365F" w:rsidP="005C04D2">
      <w:pPr>
        <w:spacing w:line="240" w:lineRule="auto"/>
        <w:ind w:left="720" w:hanging="720"/>
      </w:pPr>
      <w:r w:rsidRPr="00505B77">
        <w:lastRenderedPageBreak/>
        <w:t xml:space="preserve">Goulder, Michael. </w:t>
      </w:r>
      <w:r w:rsidRPr="00505B77">
        <w:rPr>
          <w:i/>
          <w:iCs/>
        </w:rPr>
        <w:t>Luke: A New Paradigm</w:t>
      </w:r>
      <w:r w:rsidRPr="00505B77">
        <w:t>. JSNTSup 20. Sheffield: Sheffield Academic Press, 1989.</w:t>
      </w:r>
    </w:p>
    <w:p w14:paraId="27E63255" w14:textId="77777777" w:rsidR="00FD365F" w:rsidRPr="00505B77" w:rsidRDefault="00FD365F" w:rsidP="005C04D2">
      <w:pPr>
        <w:spacing w:line="240" w:lineRule="auto"/>
        <w:ind w:left="720" w:hanging="720"/>
      </w:pPr>
      <w:r w:rsidRPr="00505B77">
        <w:rPr>
          <w:lang w:val="de-DE"/>
        </w:rPr>
        <w:t xml:space="preserve">Harb, Gertraud. </w:t>
      </w:r>
      <w:r w:rsidRPr="00505B77">
        <w:rPr>
          <w:i/>
          <w:iCs/>
          <w:lang w:val="de-DE"/>
        </w:rPr>
        <w:t>Die eschatologische Rede des Spruchevangeliums Q: Redaktions- und traditionsgeschichtliche Studien zu Q 17,23-37</w:t>
      </w:r>
      <w:r w:rsidRPr="00505B77">
        <w:rPr>
          <w:lang w:val="de-DE"/>
        </w:rPr>
        <w:t xml:space="preserve">. </w:t>
      </w:r>
      <w:r w:rsidRPr="00505B77">
        <w:t xml:space="preserve">Biblical Tools and Studies 19. Leuven: Peeters, 2014. </w:t>
      </w:r>
    </w:p>
    <w:p w14:paraId="4525AB4A" w14:textId="77777777" w:rsidR="00FD365F" w:rsidRPr="00505B77" w:rsidRDefault="00FD365F" w:rsidP="005C04D2">
      <w:pPr>
        <w:spacing w:line="240" w:lineRule="auto"/>
        <w:ind w:left="720" w:hanging="720"/>
        <w:rPr>
          <w:lang w:val="de-DE"/>
        </w:rPr>
      </w:pPr>
      <w:r w:rsidRPr="00505B77">
        <w:t xml:space="preserve">Head, Peter. </w:t>
      </w:r>
      <w:r w:rsidRPr="00505B77">
        <w:rPr>
          <w:i/>
          <w:iCs/>
        </w:rPr>
        <w:t>Christology and the Synoptic Problem: An Argument for Markan Priority</w:t>
      </w:r>
      <w:r w:rsidRPr="00505B77">
        <w:t xml:space="preserve">. </w:t>
      </w:r>
      <w:r w:rsidRPr="00505B77">
        <w:rPr>
          <w:lang w:val="de-DE"/>
        </w:rPr>
        <w:t xml:space="preserve">SNTSMS 94. Cambridge: Cambridge University Press, 1997. </w:t>
      </w:r>
    </w:p>
    <w:p w14:paraId="51290981" w14:textId="77777777" w:rsidR="00FD365F" w:rsidRPr="00505B77" w:rsidRDefault="00FD365F" w:rsidP="005C04D2">
      <w:pPr>
        <w:spacing w:line="240" w:lineRule="auto"/>
        <w:ind w:left="720" w:hanging="720"/>
        <w:rPr>
          <w:lang w:val="de-DE"/>
        </w:rPr>
      </w:pPr>
      <w:r w:rsidRPr="00505B77">
        <w:rPr>
          <w:lang w:val="de-DE"/>
        </w:rPr>
        <w:t xml:space="preserve">Heil, Christoph. </w:t>
      </w:r>
      <w:r w:rsidRPr="00505B77">
        <w:rPr>
          <w:i/>
          <w:iCs/>
          <w:lang w:val="de-DE"/>
        </w:rPr>
        <w:t>Das Spruchevangelium Q und der historische Jesus</w:t>
      </w:r>
      <w:r w:rsidRPr="00505B77">
        <w:rPr>
          <w:lang w:val="de-DE"/>
        </w:rPr>
        <w:t xml:space="preserve">. Stuttgarter biblische Aufsatzbände 58. Stuttgart: Katholisches Bibelwerk, 2014. </w:t>
      </w:r>
    </w:p>
    <w:p w14:paraId="2E5E689D" w14:textId="77777777" w:rsidR="00FD365F" w:rsidRPr="00505B77" w:rsidRDefault="00FD365F" w:rsidP="005C04D2">
      <w:pPr>
        <w:spacing w:line="240" w:lineRule="auto"/>
        <w:ind w:left="720" w:hanging="720"/>
        <w:rPr>
          <w:lang w:val="de-DE"/>
        </w:rPr>
      </w:pPr>
      <w:r w:rsidRPr="00505B77">
        <w:rPr>
          <w:lang w:val="de-DE"/>
        </w:rPr>
        <w:t xml:space="preserve">Heil, Christoph. </w:t>
      </w:r>
      <w:r w:rsidRPr="00505B77">
        <w:rPr>
          <w:i/>
          <w:iCs/>
          <w:lang w:val="de-DE"/>
        </w:rPr>
        <w:t>Lukas und Q: Studien zur lukanischen Redaktion des Spruchevangeliums Q</w:t>
      </w:r>
      <w:r w:rsidRPr="00505B77">
        <w:rPr>
          <w:lang w:val="de-DE"/>
        </w:rPr>
        <w:t xml:space="preserve">. BZNW 111. Berlin: De Gruyter, 2003. </w:t>
      </w:r>
    </w:p>
    <w:p w14:paraId="76E02533" w14:textId="77777777" w:rsidR="00FD365F" w:rsidRPr="00505B77" w:rsidRDefault="00FD365F" w:rsidP="005C04D2">
      <w:pPr>
        <w:spacing w:line="240" w:lineRule="auto"/>
        <w:ind w:left="720" w:hanging="720"/>
      </w:pPr>
      <w:r w:rsidRPr="00505B77">
        <w:rPr>
          <w:lang w:val="de-DE"/>
        </w:rPr>
        <w:t xml:space="preserve">Jaroš, Karl and Ulrich Victor. </w:t>
      </w:r>
      <w:r w:rsidRPr="00505B77">
        <w:rPr>
          <w:i/>
          <w:iCs/>
          <w:lang w:val="de-DE"/>
        </w:rPr>
        <w:t>Die synoptische Tradition: die literarischen Beziehungen der drei ersten Evangelien und ihre Quellen</w:t>
      </w:r>
      <w:r w:rsidRPr="00505B77">
        <w:rPr>
          <w:lang w:val="de-DE"/>
        </w:rPr>
        <w:t xml:space="preserve">. </w:t>
      </w:r>
      <w:r w:rsidRPr="00505B77">
        <w:t xml:space="preserve">Köln: Böhlau Verlag, 2010. </w:t>
      </w:r>
    </w:p>
    <w:p w14:paraId="10001163" w14:textId="77777777" w:rsidR="00FD365F" w:rsidRPr="00505B77" w:rsidRDefault="00FD365F" w:rsidP="005C04D2">
      <w:pPr>
        <w:spacing w:line="240" w:lineRule="auto"/>
      </w:pPr>
      <w:r w:rsidRPr="00505B77">
        <w:t xml:space="preserve">Johnson, Luke. </w:t>
      </w:r>
      <w:r w:rsidRPr="00505B77">
        <w:rPr>
          <w:i/>
          <w:iCs/>
        </w:rPr>
        <w:t>The Writings of the New Testament</w:t>
      </w:r>
      <w:r w:rsidRPr="00505B77">
        <w:t>. Minneapolis: Augsburg-Fortress, 1999.</w:t>
      </w:r>
    </w:p>
    <w:p w14:paraId="6DA7C02E" w14:textId="77777777" w:rsidR="00FD365F" w:rsidRPr="00505B77" w:rsidRDefault="00FD365F" w:rsidP="005C04D2">
      <w:pPr>
        <w:spacing w:line="240" w:lineRule="auto"/>
        <w:ind w:left="720" w:hanging="720"/>
      </w:pPr>
      <w:r w:rsidRPr="00505B77">
        <w:t xml:space="preserve">Kilpatrick, George Dunbar, and J. K. Elliott. </w:t>
      </w:r>
      <w:r w:rsidRPr="00505B77">
        <w:rPr>
          <w:i/>
          <w:iCs/>
        </w:rPr>
        <w:t>Studies in New Testament Language and Text: Essays in Honour of George D. Kilpatrick On the Occasion of His Sixty-fifth Birthday</w:t>
      </w:r>
      <w:r w:rsidRPr="00505B77">
        <w:t>. NovTSup 44. Leiden: Brill, 1976.</w:t>
      </w:r>
    </w:p>
    <w:p w14:paraId="57848DE9" w14:textId="77777777" w:rsidR="00FD365F" w:rsidRPr="00505B77" w:rsidRDefault="00FD365F" w:rsidP="005C04D2">
      <w:pPr>
        <w:spacing w:line="240" w:lineRule="auto"/>
        <w:ind w:left="720" w:hanging="720"/>
      </w:pPr>
      <w:r w:rsidRPr="00505B77">
        <w:t xml:space="preserve">Kloppenborg Verbin, John S. </w:t>
      </w:r>
      <w:r w:rsidRPr="00505B77">
        <w:rPr>
          <w:i/>
          <w:iCs/>
        </w:rPr>
        <w:t>Excavating Q: The History and Setting of the Sayings Gospel</w:t>
      </w:r>
      <w:r w:rsidRPr="00505B77">
        <w:t xml:space="preserve">. Minneapolis: Augsburg-Fortress, 2000. </w:t>
      </w:r>
    </w:p>
    <w:p w14:paraId="1344FE63" w14:textId="77777777" w:rsidR="00FD365F" w:rsidRPr="00505B77" w:rsidRDefault="00FD365F" w:rsidP="005C04D2">
      <w:pPr>
        <w:spacing w:line="240" w:lineRule="auto"/>
        <w:ind w:left="720" w:hanging="720"/>
      </w:pPr>
      <w:r w:rsidRPr="00505B77">
        <w:t xml:space="preserve">Kloppenborg, John S. </w:t>
      </w:r>
      <w:r w:rsidRPr="00505B77">
        <w:rPr>
          <w:i/>
          <w:iCs/>
        </w:rPr>
        <w:t>Synoptic Problems</w:t>
      </w:r>
      <w:r w:rsidRPr="00505B77">
        <w:t>. WUNT 329. Tübingen: Mohr Siebeck, 2104.</w:t>
      </w:r>
    </w:p>
    <w:p w14:paraId="58DFCE2A" w14:textId="77777777" w:rsidR="00FD365F" w:rsidRPr="00505B77" w:rsidRDefault="00FD365F" w:rsidP="005C04D2">
      <w:pPr>
        <w:spacing w:line="240" w:lineRule="auto"/>
        <w:ind w:left="720" w:hanging="720"/>
      </w:pPr>
      <w:r w:rsidRPr="00505B77">
        <w:t xml:space="preserve">Koester, Helmut. </w:t>
      </w:r>
      <w:r w:rsidRPr="00505B77">
        <w:rPr>
          <w:i/>
          <w:iCs/>
        </w:rPr>
        <w:t>Ancient Christian Gospels: Their History and Development</w:t>
      </w:r>
      <w:r w:rsidRPr="00505B77">
        <w:t>. London: SCM Press, 1990.</w:t>
      </w:r>
    </w:p>
    <w:p w14:paraId="1CF515EC" w14:textId="77777777" w:rsidR="00FD365F" w:rsidRPr="00505B77" w:rsidRDefault="00FD365F" w:rsidP="005C04D2">
      <w:pPr>
        <w:spacing w:line="240" w:lineRule="auto"/>
        <w:ind w:left="720" w:hanging="720"/>
      </w:pPr>
      <w:r w:rsidRPr="00505B77">
        <w:t xml:space="preserve">Kupp, David D. </w:t>
      </w:r>
      <w:r w:rsidRPr="00505B77">
        <w:rPr>
          <w:i/>
          <w:iCs/>
        </w:rPr>
        <w:t>Matthew’s Emmanuel: Divine Presence and God’s People in the First Gospel</w:t>
      </w:r>
      <w:r w:rsidRPr="00505B77">
        <w:t>. SNTSMS 90. New York: Cambridge University Press, 1996.</w:t>
      </w:r>
    </w:p>
    <w:p w14:paraId="0156D176" w14:textId="77777777" w:rsidR="00FD365F" w:rsidRPr="00505B77" w:rsidRDefault="00FD365F" w:rsidP="005C04D2">
      <w:pPr>
        <w:spacing w:line="240" w:lineRule="auto"/>
        <w:ind w:left="720" w:hanging="720"/>
      </w:pPr>
      <w:r w:rsidRPr="00505B77">
        <w:t xml:space="preserve">Linnemann, Eta. </w:t>
      </w:r>
      <w:r w:rsidRPr="00505B77">
        <w:rPr>
          <w:i/>
          <w:iCs/>
        </w:rPr>
        <w:t>Is There a Synoptic Problem? Rethinking the Literary Dependence of the First Three Gospels</w:t>
      </w:r>
      <w:r w:rsidRPr="00505B77">
        <w:t>. Translated by Robert W. Yarbrough. Grand Rapids: Baker Book House, 1992.</w:t>
      </w:r>
    </w:p>
    <w:p w14:paraId="7AAE3D5B" w14:textId="77777777" w:rsidR="00FD365F" w:rsidRPr="00505B77" w:rsidRDefault="00FD365F" w:rsidP="005C04D2">
      <w:pPr>
        <w:spacing w:line="240" w:lineRule="auto"/>
        <w:ind w:left="720" w:hanging="720"/>
      </w:pPr>
      <w:r w:rsidRPr="00505B77">
        <w:t xml:space="preserve">Longstaff, Thomas Richmond Willis and Page A. Thomas, eds. </w:t>
      </w:r>
      <w:r w:rsidRPr="00505B77">
        <w:rPr>
          <w:i/>
          <w:iCs/>
        </w:rPr>
        <w:t>The Synoptic Problem: A Bibliography, 1716 – 1988</w:t>
      </w:r>
      <w:r w:rsidRPr="00505B77">
        <w:t>. Macon, GA: Mercer University Press, 1988.</w:t>
      </w:r>
    </w:p>
    <w:p w14:paraId="0974D3AF" w14:textId="77777777" w:rsidR="00FD365F" w:rsidRPr="00505B77" w:rsidRDefault="00FD365F" w:rsidP="005C04D2">
      <w:pPr>
        <w:spacing w:line="240" w:lineRule="auto"/>
        <w:ind w:left="720" w:hanging="720"/>
      </w:pPr>
      <w:r w:rsidRPr="00505B77">
        <w:t xml:space="preserve">McKnight, Scot and Matthew C. Williams. </w:t>
      </w:r>
      <w:r w:rsidRPr="00505B77">
        <w:rPr>
          <w:i/>
          <w:iCs/>
        </w:rPr>
        <w:t>The Synoptic Gospels: An Annotated Bibliography</w:t>
      </w:r>
      <w:r w:rsidRPr="00505B77">
        <w:t>. Grand Rapids: Baker Books, 2000.</w:t>
      </w:r>
    </w:p>
    <w:p w14:paraId="61E996BF" w14:textId="77777777" w:rsidR="00FD365F" w:rsidRPr="00505B77" w:rsidRDefault="00FD365F" w:rsidP="005C04D2">
      <w:pPr>
        <w:spacing w:line="240" w:lineRule="auto"/>
        <w:ind w:left="720" w:hanging="720"/>
      </w:pPr>
      <w:r w:rsidRPr="00505B77">
        <w:t xml:space="preserve">Metzger, Bruce M. </w:t>
      </w:r>
      <w:r w:rsidRPr="00505B77">
        <w:rPr>
          <w:i/>
          <w:iCs/>
        </w:rPr>
        <w:t>The Canon of the New Testament: Its Origin, Development, and Significance</w:t>
      </w:r>
      <w:r w:rsidRPr="00505B77">
        <w:t>. Oxford: Clarendon Press, 2009.</w:t>
      </w:r>
    </w:p>
    <w:p w14:paraId="594903BD" w14:textId="77777777" w:rsidR="00FD365F" w:rsidRPr="00505B77" w:rsidRDefault="00FD365F" w:rsidP="005C04D2">
      <w:pPr>
        <w:spacing w:line="240" w:lineRule="auto"/>
        <w:ind w:left="720" w:hanging="720"/>
        <w:rPr>
          <w:lang w:val="de-DE"/>
        </w:rPr>
      </w:pPr>
      <w:r w:rsidRPr="00505B77">
        <w:t xml:space="preserve">Moore, Will H. and David A. Siegel. </w:t>
      </w:r>
      <w:r w:rsidRPr="00505B77">
        <w:rPr>
          <w:i/>
          <w:iCs/>
        </w:rPr>
        <w:t>A Mathematics Course for Political &amp; Social Research.</w:t>
      </w:r>
      <w:r w:rsidRPr="00505B77">
        <w:t xml:space="preserve"> </w:t>
      </w:r>
      <w:r w:rsidRPr="00505B77">
        <w:rPr>
          <w:lang w:val="de-DE"/>
        </w:rPr>
        <w:t>Princeton: Princeton University Press, 2013.</w:t>
      </w:r>
    </w:p>
    <w:p w14:paraId="61214825" w14:textId="77777777" w:rsidR="00FD365F" w:rsidRPr="00505B77" w:rsidRDefault="00FD365F" w:rsidP="005C04D2">
      <w:pPr>
        <w:spacing w:line="240" w:lineRule="auto"/>
        <w:ind w:left="720" w:hanging="720"/>
        <w:rPr>
          <w:lang w:val="de-DE"/>
        </w:rPr>
      </w:pPr>
      <w:r w:rsidRPr="00505B77">
        <w:rPr>
          <w:lang w:val="de-DE"/>
        </w:rPr>
        <w:t xml:space="preserve">Morgenthaler, Robert. </w:t>
      </w:r>
      <w:r w:rsidRPr="00505B77">
        <w:rPr>
          <w:i/>
          <w:iCs/>
          <w:lang w:val="de-DE"/>
        </w:rPr>
        <w:t>Statistik des neutestamentlichen Wortschatzes</w:t>
      </w:r>
      <w:r w:rsidRPr="00505B77">
        <w:rPr>
          <w:lang w:val="de-DE"/>
        </w:rPr>
        <w:t xml:space="preserve">. Zürich: Gotthelf-Verlag, 1973. </w:t>
      </w:r>
    </w:p>
    <w:p w14:paraId="54D98F27" w14:textId="77777777" w:rsidR="00FD365F" w:rsidRPr="00505B77" w:rsidRDefault="00FD365F" w:rsidP="005C04D2">
      <w:pPr>
        <w:spacing w:line="240" w:lineRule="auto"/>
        <w:ind w:left="720" w:hanging="720"/>
        <w:rPr>
          <w:lang w:val="de-DE"/>
        </w:rPr>
      </w:pPr>
      <w:r w:rsidRPr="00505B77">
        <w:rPr>
          <w:lang w:val="de-DE"/>
        </w:rPr>
        <w:t xml:space="preserve">Morgenthaler, Robert. </w:t>
      </w:r>
      <w:r w:rsidRPr="00505B77">
        <w:rPr>
          <w:i/>
          <w:iCs/>
          <w:lang w:val="de-DE"/>
        </w:rPr>
        <w:t>Statistische Synopse</w:t>
      </w:r>
      <w:r w:rsidRPr="00505B77">
        <w:rPr>
          <w:lang w:val="de-DE"/>
        </w:rPr>
        <w:t xml:space="preserve">. Stuttgart: Gotthelf-Verlag, 1971.  </w:t>
      </w:r>
    </w:p>
    <w:p w14:paraId="3955B198" w14:textId="77777777" w:rsidR="00FD365F" w:rsidRPr="00505B77" w:rsidRDefault="00FD365F" w:rsidP="005C04D2">
      <w:pPr>
        <w:spacing w:line="240" w:lineRule="auto"/>
        <w:ind w:left="720" w:hanging="720"/>
      </w:pPr>
      <w:r w:rsidRPr="00505B77">
        <w:t xml:space="preserve">Mosbø, Thomas J. </w:t>
      </w:r>
      <w:r w:rsidRPr="00505B77">
        <w:rPr>
          <w:i/>
          <w:iCs/>
        </w:rPr>
        <w:t>Luke the Composer: Exploring the Evangelist’s Use of Matthew</w:t>
      </w:r>
      <w:r w:rsidRPr="00505B77">
        <w:t>. Minneapolis: Fortress Press, 2017.</w:t>
      </w:r>
    </w:p>
    <w:p w14:paraId="278AF9AC" w14:textId="77777777" w:rsidR="00FD365F" w:rsidRPr="00505B77" w:rsidRDefault="00FD365F" w:rsidP="005C04D2">
      <w:pPr>
        <w:spacing w:line="240" w:lineRule="auto"/>
        <w:ind w:left="720" w:hanging="720"/>
      </w:pPr>
      <w:bookmarkStart w:id="4" w:name="_Hlk529871048"/>
      <w:r w:rsidRPr="00505B77">
        <w:t xml:space="preserve">Müller, Mogens and Jesper Tang Nielsen, eds. </w:t>
      </w:r>
      <w:r w:rsidRPr="00505B77">
        <w:rPr>
          <w:i/>
          <w:iCs/>
        </w:rPr>
        <w:t>Luke’s Literary Creativity</w:t>
      </w:r>
      <w:r w:rsidRPr="00505B77">
        <w:t>. LNTS 550. London: Bloomsbury T&amp;T Clark, 2016.</w:t>
      </w:r>
    </w:p>
    <w:p w14:paraId="19991314" w14:textId="77777777" w:rsidR="00FD365F" w:rsidRPr="00505B77" w:rsidRDefault="00FD365F" w:rsidP="005C04D2">
      <w:pPr>
        <w:spacing w:line="240" w:lineRule="auto"/>
        <w:ind w:left="720" w:hanging="720"/>
      </w:pPr>
      <w:bookmarkStart w:id="5" w:name="_Hlk4682556"/>
      <w:r w:rsidRPr="00505B77">
        <w:t xml:space="preserve">Müller, Mogens, and Heike Omerzu, eds. </w:t>
      </w:r>
      <w:r w:rsidRPr="00505B77">
        <w:rPr>
          <w:i/>
          <w:iCs/>
        </w:rPr>
        <w:t>Gospel Interpretation and the Q-hypothesis</w:t>
      </w:r>
      <w:r w:rsidRPr="00505B77">
        <w:t>. LNTS 573. London: Bloomsbury T&amp;T Clark, 2018.</w:t>
      </w:r>
    </w:p>
    <w:bookmarkEnd w:id="4"/>
    <w:bookmarkEnd w:id="5"/>
    <w:p w14:paraId="207DA6B5" w14:textId="77777777" w:rsidR="00FD365F" w:rsidRPr="00505B77" w:rsidRDefault="00FD365F" w:rsidP="005C04D2">
      <w:pPr>
        <w:spacing w:line="240" w:lineRule="auto"/>
        <w:ind w:left="720" w:hanging="720"/>
      </w:pPr>
      <w:r w:rsidRPr="00505B77">
        <w:t xml:space="preserve">Neirynck, Frans, ed. </w:t>
      </w:r>
      <w:r w:rsidRPr="00505B77">
        <w:rPr>
          <w:i/>
          <w:iCs/>
        </w:rPr>
        <w:t>The Minor Agreements of Matthew and Luke against Mark with a Cumulative List</w:t>
      </w:r>
      <w:r w:rsidRPr="00505B77">
        <w:t>. BETL 37. Leuven: Leuven University Press, 1974.</w:t>
      </w:r>
    </w:p>
    <w:p w14:paraId="0F712953" w14:textId="77777777" w:rsidR="00FD365F" w:rsidRPr="00505B77" w:rsidRDefault="00FD365F" w:rsidP="005C04D2">
      <w:pPr>
        <w:spacing w:line="240" w:lineRule="auto"/>
        <w:ind w:left="720" w:hanging="720"/>
      </w:pPr>
      <w:r w:rsidRPr="00505B77">
        <w:lastRenderedPageBreak/>
        <w:t xml:space="preserve">Oakes, Michael P. </w:t>
      </w:r>
      <w:r w:rsidRPr="00505B77">
        <w:rPr>
          <w:i/>
          <w:iCs/>
        </w:rPr>
        <w:t>Literary Detective Work on the Computer</w:t>
      </w:r>
      <w:r w:rsidRPr="00505B77">
        <w:t>. Amsterdam: John Benjamins, 2014.</w:t>
      </w:r>
    </w:p>
    <w:p w14:paraId="034B1824" w14:textId="77777777" w:rsidR="00FD365F" w:rsidRPr="00505B77" w:rsidRDefault="00FD365F" w:rsidP="005C04D2">
      <w:pPr>
        <w:spacing w:line="240" w:lineRule="auto"/>
        <w:ind w:left="720" w:hanging="720"/>
      </w:pPr>
      <w:r w:rsidRPr="00505B77">
        <w:t xml:space="preserve">Poirier, John C. and Jeffry Peterson, eds. </w:t>
      </w:r>
      <w:r w:rsidRPr="00505B77">
        <w:rPr>
          <w:i/>
          <w:iCs/>
        </w:rPr>
        <w:t>Marcan Priority Without Q: Explorations in the Farrer Hypothesis</w:t>
      </w:r>
      <w:r w:rsidRPr="00505B77">
        <w:t>. LNTS 455. London: Bloomsbury T&amp;T Clark, 2015.</w:t>
      </w:r>
    </w:p>
    <w:p w14:paraId="72E9DF63" w14:textId="77777777" w:rsidR="00FD365F" w:rsidRPr="00505B77" w:rsidRDefault="00FD365F" w:rsidP="005C04D2">
      <w:pPr>
        <w:spacing w:line="240" w:lineRule="auto"/>
        <w:ind w:left="720" w:hanging="720"/>
      </w:pPr>
      <w:r w:rsidRPr="00505B77">
        <w:t xml:space="preserve">Porter, Stanley E. and Bryan R. Dyer, eds. </w:t>
      </w:r>
      <w:r w:rsidRPr="00505B77">
        <w:rPr>
          <w:i/>
          <w:iCs/>
        </w:rPr>
        <w:t>The Synoptic Problem: Four Views</w:t>
      </w:r>
      <w:r w:rsidRPr="00505B77">
        <w:t>. Grand Rapids: Baker Academic, 2016.</w:t>
      </w:r>
    </w:p>
    <w:p w14:paraId="112BCFA8" w14:textId="77777777" w:rsidR="00FD365F" w:rsidRPr="00505B77" w:rsidRDefault="00FD365F" w:rsidP="005C04D2">
      <w:pPr>
        <w:spacing w:line="240" w:lineRule="auto"/>
        <w:ind w:left="720" w:hanging="720"/>
      </w:pPr>
      <w:r w:rsidRPr="00505B77">
        <w:t xml:space="preserve">Reid, Duncan G. </w:t>
      </w:r>
      <w:r w:rsidRPr="00505B77">
        <w:rPr>
          <w:i/>
          <w:iCs/>
        </w:rPr>
        <w:t>Miracle Tradition, Rhetoric, and the Synoptic Problem</w:t>
      </w:r>
      <w:r w:rsidRPr="00505B77">
        <w:t>. Biblical Tools and Studies. Vol. 25. Leuven: Peeters, 2016.</w:t>
      </w:r>
    </w:p>
    <w:p w14:paraId="58CA1FCB" w14:textId="77777777" w:rsidR="00FD365F" w:rsidRPr="00505B77" w:rsidRDefault="00FD365F" w:rsidP="005C04D2">
      <w:pPr>
        <w:spacing w:line="240" w:lineRule="auto"/>
        <w:ind w:left="720" w:hanging="720"/>
      </w:pPr>
      <w:r w:rsidRPr="00505B77">
        <w:t xml:space="preserve">Sanders, E. P. and M. Davies. </w:t>
      </w:r>
      <w:r w:rsidRPr="00505B77">
        <w:rPr>
          <w:i/>
          <w:iCs/>
        </w:rPr>
        <w:t>Studying the Synoptic Gospels</w:t>
      </w:r>
      <w:r w:rsidRPr="00505B77">
        <w:t>. London: SCM Press, 1989.</w:t>
      </w:r>
    </w:p>
    <w:p w14:paraId="5D329EB0" w14:textId="77777777" w:rsidR="00FD365F" w:rsidRPr="00505B77" w:rsidRDefault="00FD365F" w:rsidP="005C04D2">
      <w:pPr>
        <w:spacing w:line="240" w:lineRule="auto"/>
        <w:ind w:left="720" w:hanging="720"/>
      </w:pPr>
      <w:r w:rsidRPr="00505B77">
        <w:t xml:space="preserve">Solages, Bruno de. </w:t>
      </w:r>
      <w:r w:rsidRPr="00505B77">
        <w:rPr>
          <w:i/>
          <w:iCs/>
        </w:rPr>
        <w:t>A Greek Synopsis of the Gospels: A New Way of Solving the Synoptic Problem</w:t>
      </w:r>
      <w:r w:rsidRPr="00505B77">
        <w:t>. Translated by J. Baissus. Leyden: Brill, 1959.</w:t>
      </w:r>
    </w:p>
    <w:p w14:paraId="79FEAE02" w14:textId="77777777" w:rsidR="00FD365F" w:rsidRPr="00505B77" w:rsidRDefault="00FD365F" w:rsidP="005C04D2">
      <w:pPr>
        <w:spacing w:line="240" w:lineRule="auto"/>
        <w:ind w:left="720" w:hanging="720"/>
      </w:pPr>
      <w:r w:rsidRPr="00505B77">
        <w:t>Spurgeon, Andrew Branham. “The Minor Grammatical Agreements of Matthew and Luke Against Mark.” PhD diss., Dallas Theological Seminary, 2003.</w:t>
      </w:r>
    </w:p>
    <w:p w14:paraId="3A668E65" w14:textId="77777777" w:rsidR="00FD365F" w:rsidRPr="00505B77" w:rsidRDefault="00FD365F" w:rsidP="005C04D2">
      <w:pPr>
        <w:spacing w:line="240" w:lineRule="auto"/>
        <w:ind w:left="720" w:hanging="720"/>
      </w:pPr>
      <w:r w:rsidRPr="00505B77">
        <w:t xml:space="preserve">Stein, Robert H. </w:t>
      </w:r>
      <w:r w:rsidRPr="00505B77">
        <w:rPr>
          <w:i/>
          <w:iCs/>
        </w:rPr>
        <w:t>Studying the Synoptic Gospels: Origin and Interpretation</w:t>
      </w:r>
      <w:r w:rsidRPr="00505B77">
        <w:t xml:space="preserve">. 2nd ed. Grand Rapids: Baker Academic, 2001. </w:t>
      </w:r>
    </w:p>
    <w:p w14:paraId="0B718259" w14:textId="77777777" w:rsidR="00FD365F" w:rsidRPr="00505B77" w:rsidRDefault="00FD365F" w:rsidP="005C04D2">
      <w:pPr>
        <w:spacing w:line="240" w:lineRule="auto"/>
        <w:ind w:left="720" w:hanging="720"/>
      </w:pPr>
      <w:r w:rsidRPr="00505B77">
        <w:t xml:space="preserve">Stein, Robert. </w:t>
      </w:r>
      <w:r w:rsidRPr="00505B77">
        <w:rPr>
          <w:i/>
          <w:iCs/>
        </w:rPr>
        <w:t>The Synoptic Problem: An Introduction</w:t>
      </w:r>
      <w:r w:rsidRPr="00505B77">
        <w:t xml:space="preserve">. Grand Rapids: Baker Book House, 1987. </w:t>
      </w:r>
    </w:p>
    <w:p w14:paraId="1CA25904" w14:textId="77777777" w:rsidR="00FD365F" w:rsidRPr="00505B77" w:rsidRDefault="00FD365F" w:rsidP="005C04D2">
      <w:pPr>
        <w:spacing w:line="240" w:lineRule="auto"/>
        <w:ind w:left="720" w:hanging="720"/>
      </w:pPr>
      <w:r w:rsidRPr="00505B77">
        <w:t xml:space="preserve">Strauss, Mark L. </w:t>
      </w:r>
      <w:r w:rsidRPr="00505B77">
        <w:rPr>
          <w:i/>
          <w:iCs/>
        </w:rPr>
        <w:t>Four Portraits, One Jesus: A Survey of Jesus and the Gospels</w:t>
      </w:r>
      <w:r w:rsidRPr="00505B77">
        <w:t>. Grand Rapids: Zondervan, 2007.</w:t>
      </w:r>
    </w:p>
    <w:p w14:paraId="1B3DA946" w14:textId="77777777" w:rsidR="00FD365F" w:rsidRPr="00505B77" w:rsidRDefault="00FD365F" w:rsidP="005C04D2">
      <w:pPr>
        <w:spacing w:line="240" w:lineRule="auto"/>
        <w:ind w:left="720" w:hanging="720"/>
      </w:pPr>
      <w:r w:rsidRPr="00505B77">
        <w:t xml:space="preserve">Strecker, Georg. </w:t>
      </w:r>
      <w:r w:rsidRPr="00505B77">
        <w:rPr>
          <w:i/>
          <w:iCs/>
        </w:rPr>
        <w:t>Minor Agreements: Symposium Göttingen 1991</w:t>
      </w:r>
      <w:r w:rsidRPr="00505B77">
        <w:t>. Göttingen: Vandenhoeck &amp; Ruprecht, 1993.</w:t>
      </w:r>
    </w:p>
    <w:p w14:paraId="2793AC76" w14:textId="77777777" w:rsidR="00FD365F" w:rsidRPr="00505B77" w:rsidRDefault="00FD365F" w:rsidP="005C04D2">
      <w:pPr>
        <w:spacing w:line="240" w:lineRule="auto"/>
        <w:ind w:left="720" w:hanging="720"/>
      </w:pPr>
      <w:r w:rsidRPr="00505B77">
        <w:t xml:space="preserve">Streeter, Burnett Hillman. </w:t>
      </w:r>
      <w:r w:rsidRPr="00505B77">
        <w:rPr>
          <w:i/>
          <w:iCs/>
        </w:rPr>
        <w:t>The Four Gospels: A Study of Origins, Treating of the Manuscript Tradition, Sources, Authorship, &amp; Dates</w:t>
      </w:r>
      <w:r w:rsidRPr="00505B77">
        <w:t>. New York: Macmillan, 1925.</w:t>
      </w:r>
    </w:p>
    <w:p w14:paraId="674BF006" w14:textId="77777777" w:rsidR="00FD365F" w:rsidRPr="00505B77" w:rsidRDefault="00FD365F" w:rsidP="005C04D2">
      <w:pPr>
        <w:spacing w:line="240" w:lineRule="auto"/>
        <w:ind w:left="720" w:hanging="720"/>
      </w:pPr>
      <w:r w:rsidRPr="00505B77">
        <w:t xml:space="preserve">Thomas, Robert L. ed. </w:t>
      </w:r>
      <w:r w:rsidRPr="00505B77">
        <w:rPr>
          <w:i/>
          <w:iCs/>
        </w:rPr>
        <w:t>Three Views on the Origins of the Synoptic Gospels</w:t>
      </w:r>
      <w:r w:rsidRPr="00505B77">
        <w:t>. Grand Rapids: Kregel, 2002.</w:t>
      </w:r>
    </w:p>
    <w:p w14:paraId="6744091E" w14:textId="77777777" w:rsidR="00FD365F" w:rsidRPr="00505B77" w:rsidRDefault="00FD365F" w:rsidP="005C04D2">
      <w:pPr>
        <w:spacing w:line="240" w:lineRule="auto"/>
        <w:ind w:left="720" w:hanging="720"/>
      </w:pPr>
      <w:r w:rsidRPr="00505B77">
        <w:t xml:space="preserve">Tuckett, C. M. </w:t>
      </w:r>
      <w:r w:rsidRPr="00505B77">
        <w:rPr>
          <w:i/>
          <w:iCs/>
        </w:rPr>
        <w:t>The Revival of the Griesbach Hypothesis: An Analysis and Appraisal</w:t>
      </w:r>
      <w:r w:rsidRPr="00505B77">
        <w:t>. SNTSMS 44. Cambridge: Cambridge University Press, 2005.</w:t>
      </w:r>
    </w:p>
    <w:p w14:paraId="381EB62A" w14:textId="77777777" w:rsidR="00FD365F" w:rsidRPr="00505B77" w:rsidRDefault="00FD365F" w:rsidP="005C04D2">
      <w:pPr>
        <w:spacing w:line="240" w:lineRule="auto"/>
        <w:ind w:left="720" w:hanging="720"/>
      </w:pPr>
      <w:r w:rsidRPr="00505B77">
        <w:t xml:space="preserve">Tuckett, Christopher M. </w:t>
      </w:r>
      <w:r w:rsidRPr="00505B77">
        <w:rPr>
          <w:i/>
          <w:iCs/>
        </w:rPr>
        <w:t>Q and the History of Early Christianity: Studies on Q</w:t>
      </w:r>
      <w:r w:rsidRPr="00505B77">
        <w:t>. London: T&amp;T Clark, 1996.</w:t>
      </w:r>
    </w:p>
    <w:p w14:paraId="0D3F432D" w14:textId="77777777" w:rsidR="00FD365F" w:rsidRPr="00505B77" w:rsidRDefault="00FD365F" w:rsidP="005C04D2">
      <w:pPr>
        <w:spacing w:line="240" w:lineRule="auto"/>
        <w:ind w:left="720" w:hanging="720"/>
      </w:pPr>
      <w:r w:rsidRPr="00505B77">
        <w:t xml:space="preserve">Tyson, Joseph B. and Thomas R. W. Longstaff. </w:t>
      </w:r>
      <w:r w:rsidRPr="00505B77">
        <w:rPr>
          <w:i/>
          <w:iCs/>
        </w:rPr>
        <w:t>Synoptic Abstract</w:t>
      </w:r>
      <w:r w:rsidRPr="00505B77">
        <w:t>. Wooster, OH: Biblical Research Associates, 1978.</w:t>
      </w:r>
    </w:p>
    <w:p w14:paraId="4F00C7A0" w14:textId="77777777" w:rsidR="00FD365F" w:rsidRPr="00505B77" w:rsidRDefault="00FD365F" w:rsidP="005C04D2">
      <w:pPr>
        <w:spacing w:line="240" w:lineRule="auto"/>
        <w:ind w:left="720" w:hanging="720"/>
      </w:pPr>
      <w:r w:rsidRPr="00505B77">
        <w:t xml:space="preserve">Watson, Francis. </w:t>
      </w:r>
      <w:r w:rsidRPr="00505B77">
        <w:rPr>
          <w:i/>
          <w:iCs/>
        </w:rPr>
        <w:t>Gospel Writing: A Canonical Perspective</w:t>
      </w:r>
      <w:r w:rsidRPr="00505B77">
        <w:t>. Grand Rapids: Eerdmans, 2013.</w:t>
      </w:r>
    </w:p>
    <w:p w14:paraId="6BF71A64" w14:textId="77777777" w:rsidR="00FD365F" w:rsidRPr="00505B77" w:rsidRDefault="00FD365F" w:rsidP="005C04D2">
      <w:pPr>
        <w:spacing w:line="240" w:lineRule="auto"/>
        <w:ind w:left="720" w:hanging="720"/>
      </w:pPr>
      <w:r w:rsidRPr="00505B77">
        <w:t xml:space="preserve">Watson, Francis. </w:t>
      </w:r>
      <w:r w:rsidRPr="00505B77">
        <w:rPr>
          <w:i/>
          <w:iCs/>
        </w:rPr>
        <w:t>The Fourfold Gospel: A Theological Reading of the New Testament Portraits of Jesus</w:t>
      </w:r>
      <w:r w:rsidRPr="00505B77">
        <w:t>. Grand Rapids: Baker Academic, 2016.</w:t>
      </w:r>
    </w:p>
    <w:p w14:paraId="01BC634C" w14:textId="77777777" w:rsidR="00FD365F" w:rsidRPr="00505B77" w:rsidRDefault="00FD365F" w:rsidP="005C04D2">
      <w:pPr>
        <w:spacing w:line="240" w:lineRule="auto"/>
        <w:ind w:left="720" w:hanging="720"/>
      </w:pPr>
      <w:r w:rsidRPr="00505B77">
        <w:t>Wheeler, Frank. “Textual Criticism and the Synoptic Problem: A Textual Commentary on the Minor Agreements of Matthew and Luke Against Mark.” PhD diss., Baylor University, 1985.</w:t>
      </w:r>
    </w:p>
    <w:p w14:paraId="3339FC8E" w14:textId="77777777" w:rsidR="00FD365F" w:rsidRPr="00505B77" w:rsidRDefault="00FD365F" w:rsidP="005C04D2">
      <w:pPr>
        <w:spacing w:line="240" w:lineRule="auto"/>
        <w:ind w:left="720" w:hanging="720"/>
      </w:pPr>
      <w:r w:rsidRPr="00505B77">
        <w:t xml:space="preserve">Williams, Matthew C. </w:t>
      </w:r>
      <w:r w:rsidRPr="00505B77">
        <w:rPr>
          <w:i/>
          <w:iCs/>
        </w:rPr>
        <w:t>Two Gospels from One: A Comprehensive Text-Critical Analysis of the Synoptic Gospels</w:t>
      </w:r>
      <w:r w:rsidRPr="00505B77">
        <w:t>. Grand Rapids: Kregel, 2006.</w:t>
      </w:r>
    </w:p>
    <w:p w14:paraId="6464EFEC" w14:textId="77777777" w:rsidR="005C04D2" w:rsidRPr="00505B77" w:rsidRDefault="005C04D2" w:rsidP="005C04D2">
      <w:pPr>
        <w:spacing w:line="240" w:lineRule="auto"/>
        <w:ind w:left="720" w:hanging="720"/>
      </w:pPr>
    </w:p>
    <w:p w14:paraId="0F550C4D" w14:textId="77777777" w:rsidR="005C04D2" w:rsidRPr="00505B77" w:rsidRDefault="005C04D2" w:rsidP="005C04D2">
      <w:pPr>
        <w:spacing w:line="240" w:lineRule="auto"/>
        <w:ind w:left="720" w:hanging="720"/>
      </w:pPr>
      <w:r w:rsidRPr="00505B77">
        <w:rPr>
          <w:b/>
          <w:bCs/>
        </w:rPr>
        <w:t>Commentaries</w:t>
      </w:r>
      <w:r w:rsidRPr="00505B77">
        <w:t>:</w:t>
      </w:r>
    </w:p>
    <w:p w14:paraId="0DB33C05" w14:textId="6A201C2F" w:rsidR="00043954" w:rsidRPr="00941309" w:rsidRDefault="007D24D9" w:rsidP="005C04D2">
      <w:pPr>
        <w:spacing w:line="240" w:lineRule="auto"/>
        <w:ind w:left="720" w:hanging="720"/>
      </w:pPr>
      <w:r>
        <w:t>Albright, W. F. and C. S. Mann</w:t>
      </w:r>
      <w:r w:rsidR="00486111">
        <w:t xml:space="preserve">. </w:t>
      </w:r>
      <w:r w:rsidR="00486111" w:rsidRPr="00941309">
        <w:rPr>
          <w:i/>
          <w:iCs/>
        </w:rPr>
        <w:t>Matthew</w:t>
      </w:r>
      <w:r w:rsidR="00486111" w:rsidRPr="00941309">
        <w:t>. AB 26</w:t>
      </w:r>
      <w:r w:rsidR="000552BE" w:rsidRPr="00941309">
        <w:t>. Garden City, NY: Doubleday, 1971.</w:t>
      </w:r>
    </w:p>
    <w:p w14:paraId="3506F85F" w14:textId="13ADCD8C" w:rsidR="00416FBF" w:rsidRPr="00505B77" w:rsidRDefault="00416FBF" w:rsidP="005C04D2">
      <w:pPr>
        <w:spacing w:line="240" w:lineRule="auto"/>
        <w:ind w:left="720" w:hanging="720"/>
      </w:pPr>
      <w:r w:rsidRPr="00941309">
        <w:t xml:space="preserve">Bovon, François. </w:t>
      </w:r>
      <w:r w:rsidRPr="00505B77">
        <w:rPr>
          <w:i/>
          <w:iCs/>
        </w:rPr>
        <w:t>Luke 1: A Commentary on the Gospel of Luke 1:1–9:50</w:t>
      </w:r>
      <w:r w:rsidRPr="00505B77">
        <w:t>. Translated by Christine M. Thomas. Edited by Helmut Koester. Hermeneia. Minneapolis: Fortress Press, 2002.</w:t>
      </w:r>
    </w:p>
    <w:p w14:paraId="677333BE" w14:textId="77777777" w:rsidR="00416FBF" w:rsidRPr="00505B77" w:rsidRDefault="00416FBF" w:rsidP="005C04D2">
      <w:pPr>
        <w:spacing w:line="240" w:lineRule="auto"/>
        <w:ind w:left="720" w:hanging="720"/>
      </w:pPr>
      <w:r w:rsidRPr="00505B77">
        <w:lastRenderedPageBreak/>
        <w:t xml:space="preserve">Bovon, François. </w:t>
      </w:r>
      <w:r w:rsidRPr="00505B77">
        <w:rPr>
          <w:i/>
          <w:iCs/>
        </w:rPr>
        <w:t>Luke 2: A Commentary on the Gospel of Luke 9:51–19:27</w:t>
      </w:r>
      <w:r w:rsidRPr="00505B77">
        <w:t>. Translated by Donald S. Deer. Edited by Helmut Koester. Hermeneia. Minneapolis: Fortress Press, 2013.</w:t>
      </w:r>
    </w:p>
    <w:p w14:paraId="4994FB0E" w14:textId="77777777" w:rsidR="00416FBF" w:rsidRPr="00505B77" w:rsidRDefault="00416FBF" w:rsidP="005C04D2">
      <w:pPr>
        <w:spacing w:line="240" w:lineRule="auto"/>
        <w:ind w:left="720" w:hanging="720"/>
      </w:pPr>
      <w:r w:rsidRPr="00505B77">
        <w:t xml:space="preserve">Bovon, François. </w:t>
      </w:r>
      <w:r w:rsidRPr="00505B77">
        <w:rPr>
          <w:i/>
          <w:iCs/>
        </w:rPr>
        <w:t>Luke 3: A Commentary on the Gospel of Luke 19:28–24:53</w:t>
      </w:r>
      <w:r w:rsidRPr="00505B77">
        <w:t>. Translated by James Crouch. Edited by Helmut Koester. Hermeneia. Minneapolis: Fortress Press, 2012.</w:t>
      </w:r>
    </w:p>
    <w:p w14:paraId="73702BAA" w14:textId="77777777" w:rsidR="00416FBF" w:rsidRPr="00505B77" w:rsidRDefault="00416FBF" w:rsidP="005C04D2">
      <w:pPr>
        <w:spacing w:line="240" w:lineRule="auto"/>
        <w:ind w:left="720" w:hanging="720"/>
      </w:pPr>
      <w:r w:rsidRPr="00505B77">
        <w:t xml:space="preserve">Edwards, James R. </w:t>
      </w:r>
      <w:r w:rsidRPr="00505B77">
        <w:rPr>
          <w:i/>
          <w:iCs/>
        </w:rPr>
        <w:t>The Gospel According to Luke</w:t>
      </w:r>
      <w:r w:rsidRPr="00505B77">
        <w:t>. PNTC. Grand Rapids: Eerdmans, 2015.</w:t>
      </w:r>
    </w:p>
    <w:p w14:paraId="314801F5" w14:textId="77777777" w:rsidR="00416FBF" w:rsidRPr="00505B77" w:rsidRDefault="00416FBF" w:rsidP="005C04D2">
      <w:pPr>
        <w:spacing w:line="240" w:lineRule="auto"/>
        <w:ind w:left="720" w:hanging="720"/>
      </w:pPr>
      <w:r w:rsidRPr="00505B77">
        <w:t xml:space="preserve">Edwards, James R. </w:t>
      </w:r>
      <w:r w:rsidRPr="00505B77">
        <w:rPr>
          <w:i/>
          <w:iCs/>
        </w:rPr>
        <w:t>The Gospel According to Mark</w:t>
      </w:r>
      <w:r w:rsidRPr="00505B77">
        <w:t>. PNTC. Grand Rapids: Eerdmans, 2002.</w:t>
      </w:r>
    </w:p>
    <w:p w14:paraId="327FEEBE" w14:textId="68CA98CE" w:rsidR="00416FBF" w:rsidRPr="00505B77" w:rsidRDefault="00416FBF" w:rsidP="005C04D2">
      <w:pPr>
        <w:spacing w:line="240" w:lineRule="auto"/>
        <w:ind w:left="720" w:hanging="720"/>
      </w:pPr>
      <w:r w:rsidRPr="00505B77">
        <w:t xml:space="preserve">Fitzmyer, Joseph A. </w:t>
      </w:r>
      <w:r w:rsidRPr="00505B77">
        <w:rPr>
          <w:i/>
          <w:iCs/>
        </w:rPr>
        <w:t>The Gospel According to Luke</w:t>
      </w:r>
      <w:r w:rsidRPr="00505B77">
        <w:t>. 2 Vols. AB</w:t>
      </w:r>
      <w:r w:rsidR="00642C75">
        <w:t xml:space="preserve"> 28</w:t>
      </w:r>
      <w:r w:rsidRPr="00505B77">
        <w:t>. Garden City, NY: Doubleday, 1981 and 1985.</w:t>
      </w:r>
    </w:p>
    <w:p w14:paraId="70F6C796" w14:textId="77777777" w:rsidR="00416FBF" w:rsidRPr="00505B77" w:rsidRDefault="00416FBF" w:rsidP="005C04D2">
      <w:pPr>
        <w:spacing w:line="240" w:lineRule="auto"/>
        <w:ind w:left="720" w:hanging="720"/>
      </w:pPr>
      <w:r w:rsidRPr="00505B77">
        <w:t xml:space="preserve">Fleddermann, H. T. </w:t>
      </w:r>
      <w:r w:rsidRPr="00505B77">
        <w:rPr>
          <w:i/>
          <w:iCs/>
        </w:rPr>
        <w:t>Q: A Reconstruction and Commentary</w:t>
      </w:r>
      <w:r w:rsidRPr="00505B77">
        <w:t>. Biblical Tools and Studies. Vol. 1. Leuven: Peeters, 2005.</w:t>
      </w:r>
    </w:p>
    <w:p w14:paraId="4653BA28" w14:textId="77777777" w:rsidR="00416FBF" w:rsidRPr="00505B77" w:rsidRDefault="00416FBF" w:rsidP="005C04D2">
      <w:pPr>
        <w:spacing w:line="240" w:lineRule="auto"/>
        <w:ind w:left="720" w:hanging="720"/>
      </w:pPr>
      <w:r w:rsidRPr="00505B77">
        <w:t xml:space="preserve">France, R. T. </w:t>
      </w:r>
      <w:r w:rsidRPr="00505B77">
        <w:rPr>
          <w:i/>
          <w:iCs/>
        </w:rPr>
        <w:t>The Gospel of Mark: A Commentary on the Greek Text</w:t>
      </w:r>
      <w:r w:rsidRPr="00505B77">
        <w:t>. NIGTC. Grand Rapids: Eerdmans, 2002.</w:t>
      </w:r>
    </w:p>
    <w:p w14:paraId="15196354" w14:textId="77777777" w:rsidR="00416FBF" w:rsidRPr="00505B77" w:rsidRDefault="00416FBF" w:rsidP="005C04D2">
      <w:pPr>
        <w:spacing w:line="240" w:lineRule="auto"/>
        <w:ind w:left="720" w:hanging="720"/>
      </w:pPr>
      <w:r w:rsidRPr="00505B77">
        <w:t xml:space="preserve">International Q Project. </w:t>
      </w:r>
      <w:r w:rsidRPr="00505B77">
        <w:rPr>
          <w:i/>
          <w:iCs/>
        </w:rPr>
        <w:t>Documenta Q: Reconstructions of Q Through Two Centuries of Gospel Research Excerpted, Sorted, and Evaluated</w:t>
      </w:r>
      <w:r w:rsidRPr="00505B77">
        <w:t>. Edited by Paul Hoffmann, John S. Kloppenborg, Joseph Verheyden, and Christoph Heil. Leuven: Peeters, 1996–2014.</w:t>
      </w:r>
    </w:p>
    <w:p w14:paraId="0A045C58" w14:textId="77777777" w:rsidR="00416FBF" w:rsidRPr="00505B77" w:rsidRDefault="00416FBF" w:rsidP="005C04D2">
      <w:pPr>
        <w:spacing w:line="240" w:lineRule="auto"/>
        <w:ind w:left="720" w:hanging="720"/>
      </w:pPr>
      <w:r w:rsidRPr="00505B77">
        <w:t xml:space="preserve">Luz, Ulrich. </w:t>
      </w:r>
      <w:r w:rsidRPr="00505B77">
        <w:rPr>
          <w:i/>
          <w:iCs/>
        </w:rPr>
        <w:t>Matthew 8–20: A Commentary</w:t>
      </w:r>
      <w:r w:rsidRPr="00505B77">
        <w:t>. Translated by James E. Crouch. Edited by Helmut Koester. Hermeneia. Minneapolis: Fortress Press, 2001.</w:t>
      </w:r>
    </w:p>
    <w:p w14:paraId="645752BD" w14:textId="77777777" w:rsidR="00416FBF" w:rsidRPr="00505B77" w:rsidRDefault="00416FBF" w:rsidP="005C04D2">
      <w:pPr>
        <w:spacing w:line="240" w:lineRule="auto"/>
        <w:ind w:left="720" w:hanging="720"/>
      </w:pPr>
      <w:r w:rsidRPr="00505B77">
        <w:t xml:space="preserve">Malina, Bruce J. and Richard I. Rohrbaugh. </w:t>
      </w:r>
      <w:r w:rsidRPr="00505B77">
        <w:rPr>
          <w:i/>
          <w:iCs/>
        </w:rPr>
        <w:t>Social-Science Commentary on the Synoptic Gospels</w:t>
      </w:r>
      <w:r w:rsidRPr="00505B77">
        <w:t>. 2nd ed. Minneapolis: Augsburg, 2003.</w:t>
      </w:r>
    </w:p>
    <w:p w14:paraId="050E1466" w14:textId="7A5CB55A" w:rsidR="00416FBF" w:rsidRDefault="00416FBF" w:rsidP="005C04D2">
      <w:pPr>
        <w:spacing w:line="240" w:lineRule="auto"/>
        <w:ind w:left="720" w:hanging="720"/>
      </w:pPr>
      <w:r w:rsidRPr="00505B77">
        <w:t xml:space="preserve">Mann. C. S. </w:t>
      </w:r>
      <w:r w:rsidRPr="00505B77">
        <w:rPr>
          <w:i/>
          <w:iCs/>
        </w:rPr>
        <w:t>Mark: A New Translation with Introduction and Commentary</w:t>
      </w:r>
      <w:r w:rsidRPr="00505B77">
        <w:t>. AB 27. Garden City, NY: Doubleday, 1986.</w:t>
      </w:r>
    </w:p>
    <w:p w14:paraId="51A63102" w14:textId="0BF45DC3" w:rsidR="00C6754A" w:rsidRPr="00505B77" w:rsidRDefault="00C6754A" w:rsidP="005C04D2">
      <w:pPr>
        <w:spacing w:line="240" w:lineRule="auto"/>
        <w:ind w:left="720" w:hanging="720"/>
      </w:pPr>
      <w:r>
        <w:t xml:space="preserve">Marcus, Joel. </w:t>
      </w:r>
      <w:r w:rsidRPr="00DE520E">
        <w:rPr>
          <w:i/>
          <w:iCs/>
        </w:rPr>
        <w:t>Mark 1–8: A New Translation with Introduction and Commentary</w:t>
      </w:r>
      <w:r>
        <w:t>. AB 27</w:t>
      </w:r>
      <w:r w:rsidR="00642C75">
        <w:t>.</w:t>
      </w:r>
      <w:r w:rsidR="00DE520E">
        <w:t xml:space="preserve"> New York: Doubleday, 2000.</w:t>
      </w:r>
    </w:p>
    <w:p w14:paraId="08314A93" w14:textId="77777777" w:rsidR="00416FBF" w:rsidRPr="00505B77" w:rsidRDefault="00416FBF" w:rsidP="005C04D2">
      <w:pPr>
        <w:spacing w:line="240" w:lineRule="auto"/>
        <w:ind w:left="720" w:hanging="720"/>
      </w:pPr>
      <w:r w:rsidRPr="00505B77">
        <w:t xml:space="preserve">Marshall, I. Howard. </w:t>
      </w:r>
      <w:r w:rsidRPr="00505B77">
        <w:rPr>
          <w:i/>
          <w:iCs/>
        </w:rPr>
        <w:t>The Gospel of Luke: A Commentary on the Greek Text</w:t>
      </w:r>
      <w:r w:rsidRPr="00505B77">
        <w:t>. NIGTC. Grand Rapids: Eermans, 1978.</w:t>
      </w:r>
    </w:p>
    <w:p w14:paraId="6606A1BF" w14:textId="77777777" w:rsidR="00416FBF" w:rsidRPr="00505B77" w:rsidRDefault="00416FBF" w:rsidP="005C04D2">
      <w:pPr>
        <w:spacing w:line="240" w:lineRule="auto"/>
        <w:ind w:left="720" w:hanging="720"/>
      </w:pPr>
      <w:r w:rsidRPr="00505B77">
        <w:t xml:space="preserve">Metzger, Bruce M. </w:t>
      </w:r>
      <w:r w:rsidRPr="00505B77">
        <w:rPr>
          <w:i/>
          <w:iCs/>
        </w:rPr>
        <w:t>A Textual Commentary on the Greek New Testament</w:t>
      </w:r>
      <w:r w:rsidRPr="00505B77">
        <w:t xml:space="preserve">. 2nd ed. Stuttgart: Deutsche Bibelgesellschaft, 1994. </w:t>
      </w:r>
    </w:p>
    <w:p w14:paraId="27780D01" w14:textId="77777777" w:rsidR="00416FBF" w:rsidRPr="00505B77" w:rsidRDefault="00416FBF" w:rsidP="005C04D2">
      <w:pPr>
        <w:spacing w:line="240" w:lineRule="auto"/>
        <w:ind w:left="720" w:hanging="720"/>
      </w:pPr>
      <w:r w:rsidRPr="00505B77">
        <w:t xml:space="preserve">Morris, Leon. </w:t>
      </w:r>
      <w:r w:rsidRPr="00505B77">
        <w:rPr>
          <w:i/>
          <w:iCs/>
        </w:rPr>
        <w:t>The Gospel According to Matthew</w:t>
      </w:r>
      <w:r w:rsidRPr="00505B77">
        <w:t>. PNTC. Grand Rapids: Eerdmans, 1992.</w:t>
      </w:r>
    </w:p>
    <w:p w14:paraId="4397B96D" w14:textId="77777777" w:rsidR="00416FBF" w:rsidRPr="00505B77" w:rsidRDefault="00416FBF" w:rsidP="005C04D2">
      <w:pPr>
        <w:spacing w:line="240" w:lineRule="auto"/>
        <w:ind w:left="720" w:hanging="720"/>
      </w:pPr>
      <w:r w:rsidRPr="00505B77">
        <w:t xml:space="preserve">Nolland, John. </w:t>
      </w:r>
      <w:r w:rsidRPr="00505B77">
        <w:rPr>
          <w:i/>
          <w:iCs/>
        </w:rPr>
        <w:t>The Gospel of Matthew: A Commentary on the Greek Text</w:t>
      </w:r>
      <w:r w:rsidRPr="00505B77">
        <w:t>. NIGTC. Grand Rapids: Eerdmans, 2005.</w:t>
      </w:r>
    </w:p>
    <w:p w14:paraId="2EB1712D" w14:textId="77777777" w:rsidR="00416FBF" w:rsidRPr="00505B77" w:rsidRDefault="00416FBF" w:rsidP="005C04D2">
      <w:pPr>
        <w:spacing w:line="240" w:lineRule="auto"/>
        <w:ind w:left="720" w:hanging="720"/>
      </w:pPr>
      <w:r w:rsidRPr="00505B77">
        <w:t xml:space="preserve">Robinson, James M., Paul Hoffman, and John S. Kloppenborg, eds. </w:t>
      </w:r>
      <w:r w:rsidRPr="00505B77">
        <w:rPr>
          <w:i/>
          <w:iCs/>
        </w:rPr>
        <w:t>The Critical Edition of Q: Synopsis including the Gospels of Matthew and Luke, Mark and Thomas with English, German, and French Translations of Q and Thomas</w:t>
      </w:r>
      <w:r w:rsidRPr="00505B77">
        <w:t>. Hermeneia. Minneapolis: Fortress Press, 2000.</w:t>
      </w:r>
    </w:p>
    <w:p w14:paraId="684F985F" w14:textId="77777777" w:rsidR="00416FBF" w:rsidRPr="00505B77" w:rsidRDefault="00416FBF" w:rsidP="005C04D2">
      <w:pPr>
        <w:spacing w:line="240" w:lineRule="auto"/>
        <w:ind w:left="720" w:hanging="720"/>
      </w:pPr>
      <w:r w:rsidRPr="00505B77">
        <w:t xml:space="preserve">Tannehill, Robert C. </w:t>
      </w:r>
      <w:r w:rsidRPr="00505B77">
        <w:rPr>
          <w:i/>
          <w:iCs/>
        </w:rPr>
        <w:t>The Narrative Unity of Luke-Acts: A Literary Interpretation</w:t>
      </w:r>
      <w:r w:rsidRPr="00505B77">
        <w:t xml:space="preserve">. Vol. 1, </w:t>
      </w:r>
      <w:r w:rsidRPr="00505B77">
        <w:rPr>
          <w:i/>
          <w:iCs/>
        </w:rPr>
        <w:t>The Gospel According to Luke</w:t>
      </w:r>
      <w:r w:rsidRPr="00505B77">
        <w:t>. Philadelphia: Fortress Press, 1986.</w:t>
      </w:r>
    </w:p>
    <w:p w14:paraId="50956A39" w14:textId="77777777" w:rsidR="00416FBF" w:rsidRPr="00505B77" w:rsidRDefault="00416FBF" w:rsidP="005C04D2">
      <w:pPr>
        <w:spacing w:line="240" w:lineRule="auto"/>
        <w:ind w:left="720" w:hanging="720"/>
      </w:pPr>
      <w:r w:rsidRPr="00505B77">
        <w:t xml:space="preserve">Valantasis, Richard. </w:t>
      </w:r>
      <w:r w:rsidRPr="00505B77">
        <w:rPr>
          <w:i/>
          <w:iCs/>
        </w:rPr>
        <w:t>The New Q: A Fresh Translation with Commentary</w:t>
      </w:r>
      <w:r w:rsidRPr="00505B77">
        <w:t>. New York: T&amp;T Clark, 2005.</w:t>
      </w:r>
    </w:p>
    <w:p w14:paraId="0F18F443" w14:textId="77777777" w:rsidR="00416FBF" w:rsidRDefault="00416FBF" w:rsidP="005C04D2">
      <w:pPr>
        <w:spacing w:line="240" w:lineRule="auto"/>
        <w:ind w:left="720" w:hanging="720"/>
      </w:pPr>
      <w:r w:rsidRPr="00505B77">
        <w:t xml:space="preserve">Yarbro Collins, Adela. </w:t>
      </w:r>
      <w:r w:rsidRPr="00505B77">
        <w:rPr>
          <w:i/>
          <w:iCs/>
        </w:rPr>
        <w:t>Mark: A Commentary</w:t>
      </w:r>
      <w:r w:rsidRPr="00505B77">
        <w:t>. Edited by Harold W. Attridge. Hermeneia. Minneapolis: Fortress Press, 2007.</w:t>
      </w:r>
    </w:p>
    <w:p w14:paraId="35CBBF70" w14:textId="77777777" w:rsidR="005C04D2" w:rsidRDefault="005C04D2" w:rsidP="005C04D2">
      <w:pPr>
        <w:spacing w:line="240" w:lineRule="auto"/>
        <w:ind w:left="720" w:hanging="720"/>
      </w:pPr>
    </w:p>
    <w:p w14:paraId="401B2207" w14:textId="710E3D5D" w:rsidR="00790666" w:rsidRPr="005623BF" w:rsidRDefault="00790666" w:rsidP="005C04D2">
      <w:pPr>
        <w:jc w:val="center"/>
        <w:rPr>
          <w:b/>
          <w:bCs/>
          <w:lang w:bidi="he-IL"/>
        </w:rPr>
      </w:pPr>
    </w:p>
    <w:sectPr w:rsidR="00790666" w:rsidRPr="005623B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2B23E" w14:textId="77777777" w:rsidR="002D0D28" w:rsidRDefault="002D0D28" w:rsidP="00981454">
      <w:pPr>
        <w:spacing w:line="240" w:lineRule="auto"/>
      </w:pPr>
      <w:r>
        <w:separator/>
      </w:r>
    </w:p>
  </w:endnote>
  <w:endnote w:type="continuationSeparator" w:id="0">
    <w:p w14:paraId="3B315741" w14:textId="77777777" w:rsidR="002D0D28" w:rsidRDefault="002D0D28" w:rsidP="009814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BL Greek">
    <w:panose1 w:val="02000000000000000000"/>
    <w:charset w:val="00"/>
    <w:family w:val="auto"/>
    <w:pitch w:val="variable"/>
    <w:sig w:usb0="C00000EF" w:usb1="0001A0CB" w:usb2="00000000" w:usb3="00000000" w:csb0="00000009"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8F68F" w14:textId="77777777" w:rsidR="002D0D28" w:rsidRDefault="002D0D28" w:rsidP="00981454">
      <w:pPr>
        <w:spacing w:line="240" w:lineRule="auto"/>
      </w:pPr>
      <w:r>
        <w:separator/>
      </w:r>
    </w:p>
  </w:footnote>
  <w:footnote w:type="continuationSeparator" w:id="0">
    <w:p w14:paraId="46499005" w14:textId="77777777" w:rsidR="002D0D28" w:rsidRDefault="002D0D28" w:rsidP="00981454">
      <w:pPr>
        <w:spacing w:line="240" w:lineRule="auto"/>
      </w:pPr>
      <w:r>
        <w:continuationSeparator/>
      </w:r>
    </w:p>
  </w:footnote>
  <w:footnote w:id="1">
    <w:p w14:paraId="5501EB29" w14:textId="03AF0835" w:rsidR="008A11D4" w:rsidRDefault="008A11D4" w:rsidP="00F328BF">
      <w:pPr>
        <w:pStyle w:val="FootnoteText"/>
        <w:ind w:firstLine="720"/>
      </w:pPr>
      <w:r>
        <w:rPr>
          <w:rStyle w:val="FootnoteReference"/>
        </w:rPr>
        <w:footnoteRef/>
      </w:r>
      <w:r>
        <w:t xml:space="preserve"> </w:t>
      </w:r>
      <w:r w:rsidR="00A90BD8">
        <w:t xml:space="preserve">Greek text of the New Testament is taken from </w:t>
      </w:r>
      <w:r w:rsidR="00613E4A" w:rsidRPr="00613E4A">
        <w:t>Barbara Aland</w:t>
      </w:r>
      <w:r w:rsidR="00613E4A">
        <w:t xml:space="preserve"> a</w:t>
      </w:r>
      <w:r w:rsidR="00613E4A" w:rsidRPr="00613E4A">
        <w:t xml:space="preserve">nd Kurt Aland, </w:t>
      </w:r>
      <w:r w:rsidR="00613E4A" w:rsidRPr="00613E4A">
        <w:rPr>
          <w:i/>
          <w:iCs/>
        </w:rPr>
        <w:t>et al</w:t>
      </w:r>
      <w:r w:rsidR="00613E4A" w:rsidRPr="00613E4A">
        <w:t>., eds.</w:t>
      </w:r>
      <w:r w:rsidR="00613E4A">
        <w:t>,</w:t>
      </w:r>
      <w:r w:rsidR="00613E4A" w:rsidRPr="00613E4A">
        <w:t xml:space="preserve"> </w:t>
      </w:r>
      <w:r w:rsidR="00613E4A" w:rsidRPr="00613E4A">
        <w:rPr>
          <w:i/>
          <w:iCs/>
        </w:rPr>
        <w:t>Novum Testamentum Graece</w:t>
      </w:r>
      <w:r w:rsidR="00613E4A">
        <w:t xml:space="preserve">, </w:t>
      </w:r>
      <w:r w:rsidR="00613E4A" w:rsidRPr="00613E4A">
        <w:t xml:space="preserve">28th ed. </w:t>
      </w:r>
      <w:r w:rsidR="00613E4A">
        <w:t>(</w:t>
      </w:r>
      <w:r w:rsidR="00613E4A" w:rsidRPr="00613E4A">
        <w:t>Stuttgart: Deutsche Bibelgesellschaft, 2012</w:t>
      </w:r>
      <w:r w:rsidR="00613E4A">
        <w:t>)</w:t>
      </w:r>
      <w:r w:rsidR="00613E4A" w:rsidRPr="00613E4A">
        <w:t>.</w:t>
      </w:r>
      <w:r w:rsidR="00613E4A">
        <w:t xml:space="preserve"> </w:t>
      </w:r>
      <w:r w:rsidR="00F328BF">
        <w:t>All translations are my own unless otherwise stated.</w:t>
      </w:r>
    </w:p>
  </w:footnote>
  <w:footnote w:id="2">
    <w:p w14:paraId="4391E05F" w14:textId="2B8CC4D3" w:rsidR="009B0DC5" w:rsidRDefault="009B0DC5" w:rsidP="00F06DEC">
      <w:pPr>
        <w:pStyle w:val="FootnoteText"/>
        <w:ind w:firstLine="720"/>
      </w:pPr>
      <w:r>
        <w:rPr>
          <w:rStyle w:val="FootnoteReference"/>
        </w:rPr>
        <w:footnoteRef/>
      </w:r>
      <w:r>
        <w:t xml:space="preserve"> </w:t>
      </w:r>
      <w:r w:rsidR="00A81F0D">
        <w:t xml:space="preserve">Eusebius, </w:t>
      </w:r>
      <w:r w:rsidR="00E04ACC" w:rsidRPr="00E04ACC">
        <w:rPr>
          <w:i/>
          <w:iCs/>
        </w:rPr>
        <w:t>Hist. eccl</w:t>
      </w:r>
      <w:r w:rsidR="00E04ACC">
        <w:t xml:space="preserve">. </w:t>
      </w:r>
      <w:r w:rsidR="00A81F0D">
        <w:t>3.39</w:t>
      </w:r>
      <w:r w:rsidR="00BD4066">
        <w:t>.1–16</w:t>
      </w:r>
      <w:r w:rsidR="00A81F0D">
        <w:t>;</w:t>
      </w:r>
      <w:r w:rsidR="00E04ACC">
        <w:t xml:space="preserve"> Augustine, </w:t>
      </w:r>
      <w:r w:rsidR="009A0E87" w:rsidRPr="00BD4066">
        <w:rPr>
          <w:i/>
          <w:iCs/>
        </w:rPr>
        <w:t>Cons</w:t>
      </w:r>
      <w:r w:rsidR="009A0E87">
        <w:t xml:space="preserve">. </w:t>
      </w:r>
      <w:r w:rsidR="00731A5C">
        <w:t>1.</w:t>
      </w:r>
      <w:r w:rsidR="00A2248A">
        <w:t>3.5–4.7</w:t>
      </w:r>
      <w:r w:rsidR="00F15BA7">
        <w:t>;</w:t>
      </w:r>
      <w:r w:rsidR="00473D92" w:rsidRPr="00473D92">
        <w:t xml:space="preserve"> Carmel McCarthy, ed. </w:t>
      </w:r>
      <w:r w:rsidR="00473D92" w:rsidRPr="00473D92">
        <w:rPr>
          <w:i/>
          <w:iCs/>
        </w:rPr>
        <w:t xml:space="preserve">Saint Ephrem’s Commentary on Tatian’s Diatessaron: An English Translation of </w:t>
      </w:r>
      <w:r w:rsidR="00473D92" w:rsidRPr="00473D92">
        <w:t>Chester Beatty</w:t>
      </w:r>
      <w:r w:rsidR="00473D92" w:rsidRPr="00473D92">
        <w:rPr>
          <w:i/>
          <w:iCs/>
        </w:rPr>
        <w:t xml:space="preserve"> Syriac MS 709 with Introduction and Notes</w:t>
      </w:r>
      <w:r w:rsidR="00473D92">
        <w:t xml:space="preserve"> (</w:t>
      </w:r>
      <w:r w:rsidR="00473D92" w:rsidRPr="00473D92">
        <w:t>Oxford: Oxford University Press, 1993</w:t>
      </w:r>
      <w:r w:rsidR="00473D92">
        <w:t>);</w:t>
      </w:r>
      <w:r w:rsidR="00F06DEC" w:rsidRPr="00F06DEC">
        <w:t xml:space="preserve"> Tatian</w:t>
      </w:r>
      <w:r w:rsidR="00F06DEC">
        <w:t xml:space="preserve">, </w:t>
      </w:r>
      <w:r w:rsidR="00F06DEC" w:rsidRPr="00F06DEC">
        <w:rPr>
          <w:i/>
          <w:iCs/>
        </w:rPr>
        <w:t>The Diatessaron of Tatian</w:t>
      </w:r>
      <w:r w:rsidR="00F06DEC">
        <w:t>, tra</w:t>
      </w:r>
      <w:r w:rsidR="00F06DEC" w:rsidRPr="00F06DEC">
        <w:t>ns</w:t>
      </w:r>
      <w:r w:rsidR="00F06DEC">
        <w:t xml:space="preserve">. </w:t>
      </w:r>
      <w:r w:rsidR="00F06DEC" w:rsidRPr="00F06DEC">
        <w:t>Samuel Hemphill</w:t>
      </w:r>
      <w:r w:rsidR="00F06DEC">
        <w:t xml:space="preserve"> (</w:t>
      </w:r>
      <w:r w:rsidR="00F06DEC" w:rsidRPr="00F06DEC">
        <w:t>London: Hodder &amp; Stoughton, 1888</w:t>
      </w:r>
      <w:r w:rsidR="00F06DEC">
        <w:t xml:space="preserve">); </w:t>
      </w:r>
      <w:r w:rsidRPr="001A75CF">
        <w:t xml:space="preserve">Burnett Hillman Streeter, </w:t>
      </w:r>
      <w:r w:rsidRPr="001A75CF">
        <w:rPr>
          <w:i/>
          <w:iCs/>
        </w:rPr>
        <w:t>The Four Gospels: A Study of Origins, Treating of the Manuscript Tradition, Sources, Authorship, &amp; Dates</w:t>
      </w:r>
      <w:r>
        <w:t xml:space="preserve"> (</w:t>
      </w:r>
      <w:r w:rsidRPr="001A75CF">
        <w:t>New York: Macmillan, 1925</w:t>
      </w:r>
      <w:r>
        <w:t xml:space="preserve">); </w:t>
      </w:r>
      <w:r w:rsidRPr="007621CB">
        <w:t xml:space="preserve">Mark Goodacre, </w:t>
      </w:r>
      <w:r w:rsidRPr="007621CB">
        <w:rPr>
          <w:i/>
          <w:iCs/>
        </w:rPr>
        <w:t>The Synoptic Problem: A Way Through the Maze</w:t>
      </w:r>
      <w:r>
        <w:t xml:space="preserve"> (</w:t>
      </w:r>
      <w:r w:rsidRPr="007621CB">
        <w:t>London: T&amp;T Clark, 2001</w:t>
      </w:r>
      <w:r>
        <w:t xml:space="preserve">). That the Synoptic Gospels share a literary relationship has been debated, see Eta Linnemann, </w:t>
      </w:r>
      <w:r w:rsidRPr="00E52E99">
        <w:rPr>
          <w:i/>
          <w:iCs/>
        </w:rPr>
        <w:t>Is There a Synoptic Problem? Rethinking the Literary Dependence of the First Three Gospels</w:t>
      </w:r>
      <w:r>
        <w:t>, trans. Robert W. Yarbrough (Grand Rapids: Baker Book House, 1992).</w:t>
      </w:r>
    </w:p>
  </w:footnote>
  <w:footnote w:id="3">
    <w:p w14:paraId="4E59687E" w14:textId="57098432" w:rsidR="009B0DC5" w:rsidRDefault="009B0DC5" w:rsidP="004236A2">
      <w:pPr>
        <w:pStyle w:val="FootnoteText"/>
        <w:ind w:firstLine="720"/>
      </w:pPr>
      <w:r>
        <w:rPr>
          <w:rStyle w:val="FootnoteReference"/>
        </w:rPr>
        <w:footnoteRef/>
      </w:r>
      <w:r>
        <w:t xml:space="preserve"> For history of the Synoptic Problem see </w:t>
      </w:r>
      <w:r w:rsidRPr="00371A80">
        <w:t xml:space="preserve">David L. Dungan, </w:t>
      </w:r>
      <w:r w:rsidRPr="00371A80">
        <w:rPr>
          <w:i/>
          <w:iCs/>
        </w:rPr>
        <w:t>A History of the Synoptic Problem: The Canon, the Text, the Composition and the Interpretation of the Gospels</w:t>
      </w:r>
      <w:r>
        <w:t xml:space="preserve"> (</w:t>
      </w:r>
      <w:r w:rsidRPr="00371A80">
        <w:t>New York: Doubleday, 1999</w:t>
      </w:r>
      <w:r>
        <w:t xml:space="preserve">); </w:t>
      </w:r>
      <w:r w:rsidRPr="00BA58B1">
        <w:t>Robert Stein,</w:t>
      </w:r>
      <w:r>
        <w:t xml:space="preserve"> </w:t>
      </w:r>
      <w:r w:rsidRPr="00BA58B1">
        <w:rPr>
          <w:i/>
          <w:iCs/>
        </w:rPr>
        <w:t>The Synoptic Problem: An Introduction</w:t>
      </w:r>
      <w:r>
        <w:t xml:space="preserve"> (</w:t>
      </w:r>
      <w:r w:rsidRPr="00BA58B1">
        <w:t>Grand Rapids: Baker Book House, 1987</w:t>
      </w:r>
      <w:r>
        <w:t>).</w:t>
      </w:r>
      <w:r w:rsidR="00033DAD">
        <w:t xml:space="preserve"> For bibliographies see Thomas Richmond Willis Longstaff and Page A. Thomas, eds., </w:t>
      </w:r>
      <w:r w:rsidR="00033DAD" w:rsidRPr="00035FED">
        <w:rPr>
          <w:i/>
          <w:iCs/>
        </w:rPr>
        <w:t>The Synoptic Problem: A Bibliography, 1716–1988</w:t>
      </w:r>
      <w:r w:rsidR="00033DAD">
        <w:t xml:space="preserve"> (Macon, GA: Mercer University Press, 1988); Scot McKnight and Matthew C. Williams, </w:t>
      </w:r>
      <w:r w:rsidR="00033DAD" w:rsidRPr="008A3F67">
        <w:rPr>
          <w:i/>
          <w:iCs/>
        </w:rPr>
        <w:t>The Synoptic Gospels: An Annotated Bibliography</w:t>
      </w:r>
      <w:r w:rsidR="00033DAD">
        <w:t xml:space="preserve"> (Grand Rapids: Baker Books, 2000).</w:t>
      </w:r>
    </w:p>
  </w:footnote>
  <w:footnote w:id="4">
    <w:p w14:paraId="570A7B4B" w14:textId="1AF4C691" w:rsidR="009B0DC5" w:rsidRDefault="009B0DC5" w:rsidP="00ED30CE">
      <w:pPr>
        <w:pStyle w:val="FootnoteText"/>
        <w:ind w:firstLine="720"/>
      </w:pPr>
      <w:r>
        <w:rPr>
          <w:rStyle w:val="FootnoteReference"/>
        </w:rPr>
        <w:footnoteRef/>
      </w:r>
      <w:r>
        <w:t xml:space="preserve"> Introductions to these avenues of exegesis </w:t>
      </w:r>
      <w:r w:rsidR="001760ED">
        <w:t>can be</w:t>
      </w:r>
      <w:r>
        <w:t xml:space="preserve"> found in </w:t>
      </w:r>
      <w:r w:rsidRPr="00014BB2">
        <w:t>E. P. Sanders</w:t>
      </w:r>
      <w:r>
        <w:t xml:space="preserve"> </w:t>
      </w:r>
      <w:r w:rsidRPr="00014BB2">
        <w:t>and M. Davies</w:t>
      </w:r>
      <w:r>
        <w:t>,</w:t>
      </w:r>
      <w:r w:rsidRPr="00014BB2">
        <w:t xml:space="preserve"> </w:t>
      </w:r>
      <w:r w:rsidRPr="00014BB2">
        <w:rPr>
          <w:i/>
          <w:iCs/>
        </w:rPr>
        <w:t>Studying the Synoptic Gospels</w:t>
      </w:r>
      <w:r w:rsidRPr="00014BB2">
        <w:t xml:space="preserve"> </w:t>
      </w:r>
      <w:r>
        <w:t>(</w:t>
      </w:r>
      <w:r w:rsidRPr="00014BB2">
        <w:t>London: SCM Press, 1989</w:t>
      </w:r>
      <w:r>
        <w:t>)</w:t>
      </w:r>
      <w:r w:rsidR="00EF7429">
        <w:t xml:space="preserve">, </w:t>
      </w:r>
      <w:r w:rsidR="00C011C2">
        <w:t>123–128, 201</w:t>
      </w:r>
      <w:r w:rsidR="00124E1E">
        <w:t>–</w:t>
      </w:r>
      <w:r w:rsidR="00C011C2">
        <w:t>224</w:t>
      </w:r>
      <w:r w:rsidR="00124E1E">
        <w:t xml:space="preserve">; </w:t>
      </w:r>
      <w:r w:rsidR="00775C46">
        <w:t xml:space="preserve">Mark L. Strauss, </w:t>
      </w:r>
      <w:r w:rsidR="00775C46" w:rsidRPr="00AD1D90">
        <w:rPr>
          <w:i/>
          <w:iCs/>
        </w:rPr>
        <w:t>Four Portraits, One Jesus: A Survey of Jesus and the Gospels</w:t>
      </w:r>
      <w:r w:rsidR="00DE34FE" w:rsidRPr="00AD1D90">
        <w:rPr>
          <w:i/>
          <w:iCs/>
        </w:rPr>
        <w:t xml:space="preserve"> </w:t>
      </w:r>
      <w:r w:rsidR="00DE34FE">
        <w:t>(Grand Rapids: Zondervan, 2007), 67</w:t>
      </w:r>
      <w:r w:rsidR="00793F29">
        <w:t xml:space="preserve">–83; </w:t>
      </w:r>
      <w:r w:rsidR="00EF7429" w:rsidRPr="00C2682B">
        <w:t xml:space="preserve">Goodacre, </w:t>
      </w:r>
      <w:r w:rsidR="00EF7429" w:rsidRPr="00C2682B">
        <w:rPr>
          <w:i/>
          <w:iCs/>
        </w:rPr>
        <w:t>A Way Through the Maze</w:t>
      </w:r>
      <w:r w:rsidR="00EF7429">
        <w:t>, 14–53.</w:t>
      </w:r>
    </w:p>
  </w:footnote>
  <w:footnote w:id="5">
    <w:p w14:paraId="4828DE10" w14:textId="6E8D5D35" w:rsidR="009B0DC5" w:rsidRDefault="009B0DC5" w:rsidP="00ED30CE">
      <w:pPr>
        <w:pStyle w:val="FootnoteText"/>
        <w:ind w:firstLine="720"/>
      </w:pPr>
      <w:r>
        <w:rPr>
          <w:rStyle w:val="FootnoteReference"/>
        </w:rPr>
        <w:footnoteRef/>
      </w:r>
      <w:r>
        <w:t xml:space="preserve"> </w:t>
      </w:r>
      <w:r w:rsidRPr="008365FB">
        <w:t xml:space="preserve">John S. Kloppenborg Verbin, </w:t>
      </w:r>
      <w:r w:rsidRPr="008365FB">
        <w:rPr>
          <w:i/>
          <w:iCs/>
        </w:rPr>
        <w:t>Excavating Q: The History and Setting of the Sayings Gospel</w:t>
      </w:r>
      <w:r w:rsidRPr="008365FB">
        <w:t xml:space="preserve"> </w:t>
      </w:r>
      <w:r>
        <w:t>(</w:t>
      </w:r>
      <w:r w:rsidRPr="008365FB">
        <w:t>Minneapolis: Augsburg-Fortress, 2000</w:t>
      </w:r>
      <w:r>
        <w:t>)</w:t>
      </w:r>
      <w:r w:rsidR="00504CAF">
        <w:t>, 55–111</w:t>
      </w:r>
      <w:r>
        <w:t xml:space="preserve">; </w:t>
      </w:r>
      <w:r w:rsidRPr="00231FCA">
        <w:t>Frank Wheeler, “Textual Criticism and the Synoptic Problem: A Textual Commentary on the Minor Agreements of Matthew and Luke Against Mark</w:t>
      </w:r>
      <w:r>
        <w:t>,</w:t>
      </w:r>
      <w:r w:rsidRPr="00231FCA">
        <w:t>” PhD diss.</w:t>
      </w:r>
      <w:r>
        <w:t xml:space="preserve"> (</w:t>
      </w:r>
      <w:r w:rsidRPr="00231FCA">
        <w:t>Baylor University, 1985</w:t>
      </w:r>
      <w:r>
        <w:t xml:space="preserve">); </w:t>
      </w:r>
      <w:r w:rsidRPr="005625EA">
        <w:t xml:space="preserve">Matthew C. Williams, </w:t>
      </w:r>
      <w:r w:rsidRPr="005625EA">
        <w:rPr>
          <w:i/>
          <w:iCs/>
        </w:rPr>
        <w:t>Two Gospels from One: A Comprehensive Text-Critical Analysis of the Synoptic Gospels</w:t>
      </w:r>
      <w:r>
        <w:t xml:space="preserve"> (</w:t>
      </w:r>
      <w:r w:rsidRPr="005625EA">
        <w:t>Grand Rapids: Kregel, 2006</w:t>
      </w:r>
      <w:r>
        <w:t>).</w:t>
      </w:r>
    </w:p>
  </w:footnote>
  <w:footnote w:id="6">
    <w:p w14:paraId="62DBE247" w14:textId="4137C5BF" w:rsidR="009B0DC5" w:rsidRDefault="009B0DC5" w:rsidP="00ED30CE">
      <w:pPr>
        <w:pStyle w:val="FootnoteText"/>
        <w:ind w:firstLine="720"/>
      </w:pPr>
      <w:r>
        <w:rPr>
          <w:rStyle w:val="FootnoteReference"/>
        </w:rPr>
        <w:footnoteRef/>
      </w:r>
      <w:r>
        <w:t xml:space="preserve"> </w:t>
      </w:r>
      <w:r w:rsidRPr="002546D7">
        <w:t xml:space="preserve">Streeter, </w:t>
      </w:r>
      <w:r w:rsidRPr="002546D7">
        <w:rPr>
          <w:i/>
          <w:iCs/>
        </w:rPr>
        <w:t>The Four Gospel</w:t>
      </w:r>
      <w:r w:rsidR="00D42CB3">
        <w:rPr>
          <w:i/>
          <w:iCs/>
        </w:rPr>
        <w:t xml:space="preserve">s, </w:t>
      </w:r>
      <w:r w:rsidR="005413F9">
        <w:t>151–154</w:t>
      </w:r>
      <w:r w:rsidRPr="002546D7">
        <w:t>.</w:t>
      </w:r>
    </w:p>
  </w:footnote>
  <w:footnote w:id="7">
    <w:p w14:paraId="181E16BD" w14:textId="7E964C90" w:rsidR="009B0DC5" w:rsidRDefault="009B0DC5" w:rsidP="00ED30CE">
      <w:pPr>
        <w:pStyle w:val="FootnoteText"/>
        <w:ind w:firstLine="720"/>
      </w:pPr>
      <w:r>
        <w:rPr>
          <w:rStyle w:val="FootnoteReference"/>
        </w:rPr>
        <w:footnoteRef/>
      </w:r>
      <w:r>
        <w:t xml:space="preserve"> For outlines of these camps see </w:t>
      </w:r>
      <w:r w:rsidRPr="006827AB">
        <w:t>Sanders</w:t>
      </w:r>
      <w:r>
        <w:t xml:space="preserve"> </w:t>
      </w:r>
      <w:r w:rsidRPr="006827AB">
        <w:t>and Davies</w:t>
      </w:r>
      <w:r>
        <w:t xml:space="preserve">, </w:t>
      </w:r>
      <w:r w:rsidRPr="006827AB">
        <w:rPr>
          <w:i/>
          <w:iCs/>
        </w:rPr>
        <w:t>Studying the Synoptic</w:t>
      </w:r>
      <w:r w:rsidR="0083554C">
        <w:rPr>
          <w:i/>
          <w:iCs/>
        </w:rPr>
        <w:t xml:space="preserve"> Gospels</w:t>
      </w:r>
      <w:r>
        <w:rPr>
          <w:i/>
          <w:iCs/>
        </w:rPr>
        <w:t xml:space="preserve">, </w:t>
      </w:r>
      <w:r>
        <w:t>51–111.</w:t>
      </w:r>
    </w:p>
  </w:footnote>
  <w:footnote w:id="8">
    <w:p w14:paraId="555B216F" w14:textId="19AA42D4" w:rsidR="009B0DC5" w:rsidRDefault="009B0DC5" w:rsidP="00ED30CE">
      <w:pPr>
        <w:pStyle w:val="FootnoteText"/>
        <w:ind w:firstLine="720"/>
      </w:pPr>
      <w:r>
        <w:rPr>
          <w:rStyle w:val="FootnoteReference"/>
        </w:rPr>
        <w:footnoteRef/>
      </w:r>
      <w:r>
        <w:t xml:space="preserve"> </w:t>
      </w:r>
      <w:r w:rsidRPr="00AC02C8">
        <w:t xml:space="preserve">Streeter, </w:t>
      </w:r>
      <w:r w:rsidRPr="00AC02C8">
        <w:rPr>
          <w:i/>
          <w:iCs/>
        </w:rPr>
        <w:t>The Four Gospels</w:t>
      </w:r>
      <w:r w:rsidR="00D25774">
        <w:rPr>
          <w:i/>
          <w:iCs/>
        </w:rPr>
        <w:t xml:space="preserve">, </w:t>
      </w:r>
      <w:r w:rsidR="00D25774" w:rsidRPr="00D25774">
        <w:t>151–154</w:t>
      </w:r>
      <w:r w:rsidR="00D25774">
        <w:rPr>
          <w:i/>
          <w:iCs/>
        </w:rPr>
        <w:t xml:space="preserve">; </w:t>
      </w:r>
      <w:r w:rsidRPr="00CD19D0">
        <w:t xml:space="preserve">Kloppenborg Verbin, </w:t>
      </w:r>
      <w:r w:rsidRPr="00CD19D0">
        <w:rPr>
          <w:i/>
          <w:iCs/>
        </w:rPr>
        <w:t>Excavating Q</w:t>
      </w:r>
      <w:r w:rsidR="00D44850">
        <w:rPr>
          <w:i/>
          <w:iCs/>
        </w:rPr>
        <w:t xml:space="preserve">, </w:t>
      </w:r>
      <w:r w:rsidR="005E4FC9">
        <w:t>50–54.</w:t>
      </w:r>
    </w:p>
  </w:footnote>
  <w:footnote w:id="9">
    <w:p w14:paraId="241E71D3" w14:textId="2301C389" w:rsidR="009B0DC5" w:rsidRDefault="009B0DC5" w:rsidP="00ED30CE">
      <w:pPr>
        <w:pStyle w:val="FootnoteText"/>
        <w:ind w:firstLine="720"/>
      </w:pPr>
      <w:r>
        <w:rPr>
          <w:rStyle w:val="FootnoteReference"/>
        </w:rPr>
        <w:footnoteRef/>
      </w:r>
      <w:r>
        <w:t xml:space="preserve"> </w:t>
      </w:r>
      <w:r w:rsidRPr="002B37FC">
        <w:t>A. M</w:t>
      </w:r>
      <w:r w:rsidR="00974184">
        <w:t>.</w:t>
      </w:r>
      <w:r w:rsidRPr="002B37FC">
        <w:t xml:space="preserve"> Farrer, “On Dispensing with Q</w:t>
      </w:r>
      <w:r>
        <w:t>,</w:t>
      </w:r>
      <w:r w:rsidRPr="002B37FC">
        <w:t xml:space="preserve">” </w:t>
      </w:r>
      <w:r>
        <w:t>i</w:t>
      </w:r>
      <w:r w:rsidRPr="002B37FC">
        <w:t xml:space="preserve">n </w:t>
      </w:r>
      <w:r w:rsidRPr="002B37FC">
        <w:rPr>
          <w:i/>
          <w:iCs/>
        </w:rPr>
        <w:t>Studies in the Gospels: Essays in Memory of R. H. Lightfoot</w:t>
      </w:r>
      <w:r>
        <w:t>,</w:t>
      </w:r>
      <w:r w:rsidRPr="002B37FC">
        <w:t xml:space="preserve"> </w:t>
      </w:r>
      <w:r>
        <w:t>ed.</w:t>
      </w:r>
      <w:r w:rsidRPr="002B37FC">
        <w:t xml:space="preserve"> D. E. Nineham, 55–86 </w:t>
      </w:r>
      <w:r>
        <w:t>(</w:t>
      </w:r>
      <w:r w:rsidRPr="002B37FC">
        <w:t>Oxford: Blackwell, 1955</w:t>
      </w:r>
      <w:r>
        <w:t xml:space="preserve">); </w:t>
      </w:r>
      <w:r w:rsidRPr="00C068D8">
        <w:t>Mar</w:t>
      </w:r>
      <w:r>
        <w:t xml:space="preserve">k </w:t>
      </w:r>
      <w:r w:rsidRPr="00C068D8">
        <w:t xml:space="preserve">Goodacre, </w:t>
      </w:r>
      <w:r w:rsidRPr="00C068D8">
        <w:rPr>
          <w:i/>
          <w:iCs/>
        </w:rPr>
        <w:t>The Case Against Q: Studies in Markan Priority and the Synoptic Problem</w:t>
      </w:r>
      <w:r>
        <w:t xml:space="preserve"> (</w:t>
      </w:r>
      <w:r w:rsidRPr="00C068D8">
        <w:t>Harrisburg, PA: Trinity Press International, 2002</w:t>
      </w:r>
      <w:r>
        <w:t xml:space="preserve">); </w:t>
      </w:r>
      <w:r w:rsidRPr="00CD5541">
        <w:t>Michael Goulder</w:t>
      </w:r>
      <w:r>
        <w:t>,</w:t>
      </w:r>
      <w:r w:rsidRPr="00CD5541">
        <w:t xml:space="preserve"> </w:t>
      </w:r>
      <w:r w:rsidRPr="00CD5541">
        <w:rPr>
          <w:i/>
          <w:iCs/>
        </w:rPr>
        <w:t>Luke: A New Paradigm</w:t>
      </w:r>
      <w:r>
        <w:t xml:space="preserve">, </w:t>
      </w:r>
      <w:r w:rsidRPr="00CD5541">
        <w:t>JSNTSup 20</w:t>
      </w:r>
      <w:r>
        <w:t xml:space="preserve"> (</w:t>
      </w:r>
      <w:r w:rsidRPr="00CD5541">
        <w:t>Sheffield: Sheffield Academic Press, 1989</w:t>
      </w:r>
      <w:r>
        <w:t>).</w:t>
      </w:r>
    </w:p>
  </w:footnote>
  <w:footnote w:id="10">
    <w:p w14:paraId="3F015E9B" w14:textId="77777777" w:rsidR="009B0DC5" w:rsidRDefault="009B0DC5" w:rsidP="00ED30CE">
      <w:pPr>
        <w:pStyle w:val="FootnoteText"/>
        <w:ind w:firstLine="720"/>
      </w:pPr>
      <w:r>
        <w:rPr>
          <w:rStyle w:val="FootnoteReference"/>
        </w:rPr>
        <w:footnoteRef/>
      </w:r>
      <w:r>
        <w:t xml:space="preserve"> Augustine, </w:t>
      </w:r>
      <w:r w:rsidRPr="00730223">
        <w:rPr>
          <w:i/>
          <w:iCs/>
        </w:rPr>
        <w:t>De consensus evangelistarum</w:t>
      </w:r>
      <w:r>
        <w:t xml:space="preserve">; </w:t>
      </w:r>
      <w:r w:rsidRPr="00E9375B">
        <w:t>John Chapman</w:t>
      </w:r>
      <w:r>
        <w:t xml:space="preserve"> </w:t>
      </w:r>
      <w:r w:rsidRPr="00E9375B">
        <w:t>and John M. T. Barton</w:t>
      </w:r>
      <w:r>
        <w:t>,</w:t>
      </w:r>
      <w:r w:rsidRPr="00E9375B">
        <w:t xml:space="preserve"> </w:t>
      </w:r>
      <w:r w:rsidRPr="00E9375B">
        <w:rPr>
          <w:i/>
          <w:iCs/>
        </w:rPr>
        <w:t>Matthew, Mark and Luke: A Study in the Order and Interrelation of the Synoptic Gospels</w:t>
      </w:r>
      <w:r>
        <w:t xml:space="preserve"> (</w:t>
      </w:r>
      <w:r w:rsidRPr="00E9375B">
        <w:t>London: Longmans, Green, 1937</w:t>
      </w:r>
      <w:r>
        <w:t xml:space="preserve">); </w:t>
      </w:r>
      <w:r w:rsidRPr="00005F40">
        <w:t xml:space="preserve">Basil Christopher Butler, </w:t>
      </w:r>
      <w:r w:rsidRPr="00005F40">
        <w:rPr>
          <w:i/>
          <w:iCs/>
        </w:rPr>
        <w:t>The Originality of St. Matthew: A Critique of the Two-document Hypothesis</w:t>
      </w:r>
      <w:r>
        <w:t xml:space="preserve"> (</w:t>
      </w:r>
      <w:r w:rsidRPr="00005F40">
        <w:t>Cambridge:</w:t>
      </w:r>
      <w:r>
        <w:t xml:space="preserve"> Cambridge</w:t>
      </w:r>
      <w:r w:rsidRPr="00005F40">
        <w:t xml:space="preserve"> University Press, 1951</w:t>
      </w:r>
      <w:r>
        <w:t>).</w:t>
      </w:r>
    </w:p>
  </w:footnote>
  <w:footnote w:id="11">
    <w:p w14:paraId="32972791" w14:textId="77777777" w:rsidR="009B0DC5" w:rsidRDefault="009B0DC5" w:rsidP="00ED30CE">
      <w:pPr>
        <w:pStyle w:val="FootnoteText"/>
        <w:ind w:firstLine="720"/>
      </w:pPr>
      <w:r>
        <w:rPr>
          <w:rStyle w:val="FootnoteReference"/>
        </w:rPr>
        <w:footnoteRef/>
      </w:r>
      <w:r>
        <w:t xml:space="preserve"> William R. Farmer, </w:t>
      </w:r>
      <w:r w:rsidRPr="007C0936">
        <w:rPr>
          <w:i/>
          <w:iCs/>
        </w:rPr>
        <w:t>The Synoptic Problem: A Critical Analysis</w:t>
      </w:r>
      <w:r>
        <w:t xml:space="preserve"> (New York: Macmillan, 1964); cf. </w:t>
      </w:r>
      <w:r w:rsidRPr="003B7A7B">
        <w:t xml:space="preserve">C. M. Tuckett, </w:t>
      </w:r>
      <w:r w:rsidRPr="003B7A7B">
        <w:rPr>
          <w:i/>
          <w:iCs/>
        </w:rPr>
        <w:t>The Revival of the Griesbach Hypothesis: An Analysis and Appraisal</w:t>
      </w:r>
      <w:r>
        <w:t>,</w:t>
      </w:r>
      <w:r w:rsidRPr="003B7A7B">
        <w:t xml:space="preserve"> SNTSMS 44</w:t>
      </w:r>
      <w:r>
        <w:t xml:space="preserve"> (</w:t>
      </w:r>
      <w:r w:rsidRPr="003B7A7B">
        <w:t>Cambridge: Cambridge University Press, 2005</w:t>
      </w:r>
      <w:r>
        <w:t>).</w:t>
      </w:r>
    </w:p>
  </w:footnote>
  <w:footnote w:id="12">
    <w:p w14:paraId="454B14B7" w14:textId="49E9008B" w:rsidR="00ED30CE" w:rsidRDefault="00ED30CE" w:rsidP="005D50E7">
      <w:pPr>
        <w:pStyle w:val="FootnoteText"/>
        <w:ind w:firstLine="720"/>
      </w:pPr>
      <w:r>
        <w:rPr>
          <w:rStyle w:val="FootnoteReference"/>
        </w:rPr>
        <w:footnoteRef/>
      </w:r>
      <w:r>
        <w:t xml:space="preserve"> </w:t>
      </w:r>
      <w:r w:rsidRPr="00272EBC">
        <w:t xml:space="preserve">Matthean and Lukan independence within the Two-Source Theory has rested largely on source critical and text critical arguments (Streeter, </w:t>
      </w:r>
      <w:r w:rsidRPr="00272EBC">
        <w:rPr>
          <w:i/>
          <w:iCs/>
        </w:rPr>
        <w:t>The Four Gospels</w:t>
      </w:r>
      <w:r w:rsidRPr="00272EBC">
        <w:t xml:space="preserve">; </w:t>
      </w:r>
      <w:r w:rsidR="003C79C6">
        <w:t xml:space="preserve">154–195; </w:t>
      </w:r>
      <w:r w:rsidRPr="00272EBC">
        <w:t>Kloppenborg</w:t>
      </w:r>
      <w:r w:rsidR="003C79C6">
        <w:t xml:space="preserve"> Verbin</w:t>
      </w:r>
      <w:r w:rsidRPr="00272EBC">
        <w:t xml:space="preserve">, </w:t>
      </w:r>
      <w:r w:rsidRPr="00272EBC">
        <w:rPr>
          <w:i/>
          <w:iCs/>
        </w:rPr>
        <w:t>Excavating Q</w:t>
      </w:r>
      <w:r w:rsidRPr="00272EBC">
        <w:t xml:space="preserve">, 55–87. On the document Q see James M. Robinson, Paul Hoffman, and John S. Kloppenborg, eds., </w:t>
      </w:r>
      <w:r w:rsidRPr="00272EBC">
        <w:rPr>
          <w:i/>
          <w:iCs/>
        </w:rPr>
        <w:t>The Critical Edition of Q: Synopsis including the Gospels of Matthew and Luke, Mark and Thomas with English, German, and French Translations of Q and Thomas</w:t>
      </w:r>
      <w:r w:rsidRPr="00272EBC">
        <w:t xml:space="preserve">, Hermeneia (Minneapolis: Fortress Press, 2000). The main premises for the existence of a Q document are: (1) the argument from order, which says “Matthew and Luke never agree </w:t>
      </w:r>
      <w:r w:rsidRPr="00272EBC">
        <w:rPr>
          <w:i/>
          <w:iCs/>
        </w:rPr>
        <w:t>against</w:t>
      </w:r>
      <w:r w:rsidRPr="00272EBC">
        <w:t xml:space="preserve"> Mark in placing an episode that has a parallel in Mark” and (2) the wording of Matthew and Luke vis-à-vis Mark, in that both rarely agree in wording against Mark (Kloppenborg</w:t>
      </w:r>
      <w:r w:rsidR="00C53A6A">
        <w:t xml:space="preserve"> Verbin</w:t>
      </w:r>
      <w:r w:rsidRPr="00272EBC">
        <w:t xml:space="preserve">, </w:t>
      </w:r>
      <w:r w:rsidRPr="00272EBC">
        <w:rPr>
          <w:i/>
          <w:iCs/>
        </w:rPr>
        <w:t>Excavating Q</w:t>
      </w:r>
      <w:r w:rsidRPr="00272EBC">
        <w:t>, 20). There have also been effort</w:t>
      </w:r>
      <w:r w:rsidR="00C53A6A">
        <w:t>s</w:t>
      </w:r>
      <w:r w:rsidRPr="00272EBC">
        <w:t xml:space="preserve"> to study Q on its own terms, for example its eschatology and Christology: see Mogens Müller and Heike Omerzu, eds., </w:t>
      </w:r>
      <w:r w:rsidRPr="00272EBC">
        <w:rPr>
          <w:i/>
          <w:iCs/>
        </w:rPr>
        <w:t>Gospel Interpretation and the Q-hypothesis</w:t>
      </w:r>
      <w:r w:rsidRPr="00272EBC">
        <w:t xml:space="preserve">, LNTS 573 (London: Bloomsbury T&amp;T Clark, 2018); H. T. Fleddermann, </w:t>
      </w:r>
      <w:r w:rsidRPr="00272EBC">
        <w:rPr>
          <w:i/>
          <w:iCs/>
        </w:rPr>
        <w:t>Q: A Reconstruction and Commentary</w:t>
      </w:r>
      <w:r w:rsidRPr="00272EBC">
        <w:t xml:space="preserve">, Biblical Tools and Studies 1 (Leuven: Peeters, 2005); Gertraud Harb, </w:t>
      </w:r>
      <w:r w:rsidRPr="00272EBC">
        <w:rPr>
          <w:i/>
          <w:iCs/>
        </w:rPr>
        <w:t>Die eschatologische Rede des Spruchevangeliums Q: Redaktions und traditionsgeschichtliche Studien zu Q 17,23-37</w:t>
      </w:r>
      <w:r w:rsidRPr="00272EBC">
        <w:t xml:space="preserve">, Biblical Tools and Studies 19 (Leuven: Peeters, 2014); Christopher M. Tuckett, </w:t>
      </w:r>
      <w:r w:rsidRPr="00272EBC">
        <w:rPr>
          <w:i/>
          <w:iCs/>
        </w:rPr>
        <w:t>Q and the History of Early Christianity: Studies on Q</w:t>
      </w:r>
      <w:r w:rsidRPr="00272EBC">
        <w:t xml:space="preserve"> (London: T&amp;T Clark, 1996); Kloppenborg, </w:t>
      </w:r>
      <w:r w:rsidRPr="00272EBC">
        <w:rPr>
          <w:i/>
          <w:iCs/>
        </w:rPr>
        <w:t>Excavating Q</w:t>
      </w:r>
      <w:r w:rsidRPr="00272EBC">
        <w:t>, 166–213, 255–261.</w:t>
      </w:r>
    </w:p>
  </w:footnote>
  <w:footnote w:id="13">
    <w:p w14:paraId="6BD5B58C" w14:textId="49823B9C" w:rsidR="009B0DC5" w:rsidRDefault="009B0DC5" w:rsidP="008B627E">
      <w:pPr>
        <w:pStyle w:val="FootnoteText"/>
        <w:ind w:firstLine="720"/>
      </w:pPr>
      <w:r>
        <w:rPr>
          <w:rStyle w:val="FootnoteReference"/>
        </w:rPr>
        <w:footnoteRef/>
      </w:r>
      <w:r w:rsidR="001B3E24">
        <w:t xml:space="preserve"> </w:t>
      </w:r>
      <w:r w:rsidR="001B3E24" w:rsidRPr="002D3514">
        <w:t xml:space="preserve">See the discussion in Stanley E. Porter and Bryan R. Dyer, eds., </w:t>
      </w:r>
      <w:r w:rsidR="001B3E24" w:rsidRPr="002D3514">
        <w:rPr>
          <w:i/>
          <w:iCs/>
        </w:rPr>
        <w:t>The Synoptic Problem: Four Views</w:t>
      </w:r>
      <w:r w:rsidR="001B3E24" w:rsidRPr="002D3514">
        <w:t xml:space="preserve"> (Grand Rapids: Baker Academic, 2016); John S. Kloppenborg, “On Dispensing with Q?: Goodacre on the Relation of Luke to Matthew,” </w:t>
      </w:r>
      <w:r w:rsidR="001B3E24" w:rsidRPr="002D3514">
        <w:rPr>
          <w:i/>
          <w:iCs/>
        </w:rPr>
        <w:t>NTS</w:t>
      </w:r>
      <w:r w:rsidR="001B3E24" w:rsidRPr="002D3514">
        <w:t xml:space="preserve"> 49 (2003): 210–236; Mogens Müller and Jesper Tang Nielsen, eds., </w:t>
      </w:r>
      <w:r w:rsidR="001B3E24" w:rsidRPr="002D3514">
        <w:rPr>
          <w:i/>
          <w:iCs/>
        </w:rPr>
        <w:t>Luke’s Literary Creativity</w:t>
      </w:r>
      <w:r w:rsidR="001B3E24" w:rsidRPr="002D3514">
        <w:t xml:space="preserve">, LNTS 550 (London: Bloomsbury T&amp;T Clark, 2016); Robert L. Thomas, ed., </w:t>
      </w:r>
      <w:r w:rsidR="001B3E24" w:rsidRPr="002D3514">
        <w:rPr>
          <w:i/>
          <w:iCs/>
        </w:rPr>
        <w:t>Three Views on the Origins of the Synoptic Gospels</w:t>
      </w:r>
      <w:r w:rsidR="001B3E24" w:rsidRPr="002D3514">
        <w:t xml:space="preserve"> (Grand Rapids: Kregel, 2002)</w:t>
      </w:r>
      <w:r w:rsidR="001B3E24" w:rsidRPr="001B3E24">
        <w:t xml:space="preserve">; A. M. Farrer, “On Dispensing with Q,” </w:t>
      </w:r>
      <w:r w:rsidR="00916E2B" w:rsidRPr="001B3E24">
        <w:t>55–86</w:t>
      </w:r>
      <w:r w:rsidR="001B3E24" w:rsidRPr="001B3E24">
        <w:t xml:space="preserve">; John C. Poirier and Jeffry Peterson, eds. </w:t>
      </w:r>
      <w:r w:rsidR="001B3E24" w:rsidRPr="001B3E24">
        <w:rPr>
          <w:i/>
          <w:iCs/>
        </w:rPr>
        <w:t>Marcan Priority Without Q: Explorations in the Farrer Hypothesis</w:t>
      </w:r>
      <w:r w:rsidR="001B3E24" w:rsidRPr="001B3E24">
        <w:t xml:space="preserve">, LNTS 455 (London: Bloomsbury T&amp;T Clark, 2015); Francis Watson, </w:t>
      </w:r>
      <w:r w:rsidR="001B3E24" w:rsidRPr="001B3E24">
        <w:rPr>
          <w:i/>
          <w:iCs/>
        </w:rPr>
        <w:t>Gospel Writing: A Canonical Perspective</w:t>
      </w:r>
      <w:r w:rsidR="001B3E24" w:rsidRPr="001B3E24">
        <w:t xml:space="preserve"> (Grand Rapids: Eerdmans, 2013), 173; Francis Watson, </w:t>
      </w:r>
      <w:r w:rsidR="001B3E24" w:rsidRPr="001B3E24">
        <w:rPr>
          <w:i/>
          <w:iCs/>
        </w:rPr>
        <w:t>The Fourfold Gospel: A Theological Reading of the New Testament Portraits of Jesus</w:t>
      </w:r>
      <w:r w:rsidR="001B3E24" w:rsidRPr="001B3E24">
        <w:t xml:space="preserve"> (Grand Rapids: Baker Academic, 2016), 8, 61–77. Mark Goodacre, in particular, critiques many of the justification</w:t>
      </w:r>
      <w:r w:rsidR="00342D61">
        <w:t>s</w:t>
      </w:r>
      <w:r w:rsidR="001B3E24" w:rsidRPr="001B3E24">
        <w:t xml:space="preserve"> for postulating the existence of Q, including: the argument from order and Luke’s ignorance of Matthean additions to Mark. Goodacre most heavily relies on the phenomenon of editorial fatigue and the existence of the minor agreements to demonstrate the feasibility of the Farrer Hypothesis (Goodacre, </w:t>
      </w:r>
      <w:r w:rsidR="001B3E24" w:rsidRPr="001B3E24">
        <w:rPr>
          <w:i/>
          <w:iCs/>
        </w:rPr>
        <w:t>The Case Against Q</w:t>
      </w:r>
      <w:r w:rsidR="001B3E24" w:rsidRPr="001B3E24">
        <w:t xml:space="preserve">, 40–43, 49–66, 152–169; Goodacre, </w:t>
      </w:r>
      <w:r w:rsidR="001B3E24" w:rsidRPr="001B3E24">
        <w:rPr>
          <w:i/>
          <w:iCs/>
        </w:rPr>
        <w:t>A Way Through the Maze</w:t>
      </w:r>
      <w:r w:rsidR="001B3E24" w:rsidRPr="001B3E24">
        <w:t xml:space="preserve">, 123–131, 144–148, 154–156; Mark Goodacre, “Fatigue in the Synoptics,” </w:t>
      </w:r>
      <w:r w:rsidR="001B3E24" w:rsidRPr="001B3E24">
        <w:rPr>
          <w:i/>
          <w:iCs/>
        </w:rPr>
        <w:t>NTS</w:t>
      </w:r>
      <w:r w:rsidR="001B3E24" w:rsidRPr="001B3E24">
        <w:t xml:space="preserve"> 44 (1998): 45–58; Mark Goodacre, “Re-Walking the “Way of the Lord”: Luke’s Use of Mark and His Reaction to Matthew,” in </w:t>
      </w:r>
      <w:r w:rsidR="001B3E24" w:rsidRPr="001B3E24">
        <w:rPr>
          <w:i/>
          <w:iCs/>
        </w:rPr>
        <w:t>Luke’s Literary Creativity</w:t>
      </w:r>
      <w:r w:rsidR="001B3E24" w:rsidRPr="001B3E24">
        <w:t>, ed. Mogens Müller and Jesper Tang Nielsen, 26–43, LNTS 550 (London: Bloomsbury T&amp;T Clark, 2016)</w:t>
      </w:r>
      <w:r w:rsidR="001405B3">
        <w:t>, 26–43</w:t>
      </w:r>
      <w:r w:rsidR="00F772DE">
        <w:t>).</w:t>
      </w:r>
    </w:p>
  </w:footnote>
  <w:footnote w:id="14">
    <w:p w14:paraId="00A2ADD4" w14:textId="2C1546DB" w:rsidR="009B0DC5" w:rsidRDefault="009B0DC5" w:rsidP="00ED30CE">
      <w:pPr>
        <w:pStyle w:val="FootnoteText"/>
        <w:ind w:firstLine="720"/>
      </w:pPr>
      <w:r>
        <w:rPr>
          <w:rStyle w:val="FootnoteReference"/>
        </w:rPr>
        <w:footnoteRef/>
      </w:r>
      <w:r w:rsidRPr="00544FA4">
        <w:t xml:space="preserve"> </w:t>
      </w:r>
      <w:r w:rsidRPr="00CA2F27">
        <w:t xml:space="preserve">Thomas J. Mosbø, </w:t>
      </w:r>
      <w:r w:rsidRPr="00CA2F27">
        <w:rPr>
          <w:i/>
          <w:iCs/>
        </w:rPr>
        <w:t>Luke the Composer: Exploring the Evangelist’s Use of Matthew</w:t>
      </w:r>
      <w:r w:rsidRPr="00CA2F27">
        <w:t xml:space="preserve"> </w:t>
      </w:r>
      <w:r>
        <w:t>(</w:t>
      </w:r>
      <w:r w:rsidRPr="00CA2F27">
        <w:t>Minneapolis: Fortress Press, 2017</w:t>
      </w:r>
      <w:r>
        <w:t>)</w:t>
      </w:r>
      <w:r w:rsidRPr="008A46D0">
        <w:t>.</w:t>
      </w:r>
      <w:r w:rsidR="004333F1">
        <w:t xml:space="preserve"> See also the various essays in </w:t>
      </w:r>
      <w:r w:rsidR="004333F1" w:rsidRPr="00544FA4">
        <w:t>Müller</w:t>
      </w:r>
      <w:r w:rsidR="004333F1">
        <w:t xml:space="preserve"> and </w:t>
      </w:r>
      <w:r w:rsidR="004333F1" w:rsidRPr="00544FA4">
        <w:t>Nielsen</w:t>
      </w:r>
      <w:r w:rsidR="004333F1">
        <w:t xml:space="preserve">, </w:t>
      </w:r>
      <w:r w:rsidR="004333F1" w:rsidRPr="001B3E24">
        <w:rPr>
          <w:i/>
          <w:iCs/>
        </w:rPr>
        <w:t>Luke’s Literary Creativity</w:t>
      </w:r>
      <w:r w:rsidR="004333F1">
        <w:rPr>
          <w:i/>
          <w:iCs/>
        </w:rPr>
        <w:t>.</w:t>
      </w:r>
    </w:p>
  </w:footnote>
  <w:footnote w:id="15">
    <w:p w14:paraId="7BF35C21" w14:textId="7862C324" w:rsidR="009B0DC5" w:rsidRDefault="009B0DC5" w:rsidP="00454CBD">
      <w:pPr>
        <w:pStyle w:val="FootnoteText"/>
        <w:ind w:firstLine="720"/>
      </w:pPr>
      <w:r>
        <w:rPr>
          <w:rStyle w:val="FootnoteReference"/>
        </w:rPr>
        <w:footnoteRef/>
      </w:r>
      <w:r>
        <w:t xml:space="preserve"> </w:t>
      </w:r>
      <w:r w:rsidRPr="002C36A2">
        <w:t xml:space="preserve">Alex Damm, </w:t>
      </w:r>
      <w:r w:rsidRPr="002C36A2">
        <w:rPr>
          <w:i/>
          <w:iCs/>
        </w:rPr>
        <w:t>Ancient Rhetoric and the Synoptic Problem: Clarifying Markan Priority</w:t>
      </w:r>
      <w:r>
        <w:t xml:space="preserve"> (</w:t>
      </w:r>
      <w:r w:rsidRPr="002C36A2">
        <w:t>Leuven: Peeters, 2013</w:t>
      </w:r>
      <w:r>
        <w:t>)</w:t>
      </w:r>
      <w:r w:rsidR="00454CBD">
        <w:t xml:space="preserve">; </w:t>
      </w:r>
      <w:r w:rsidR="00454CBD" w:rsidRPr="00454CBD">
        <w:t xml:space="preserve">Duncan G. Reid, </w:t>
      </w:r>
      <w:r w:rsidR="00454CBD" w:rsidRPr="00454CBD">
        <w:rPr>
          <w:i/>
          <w:iCs/>
        </w:rPr>
        <w:t>Miracle Tradition, Rhetoric, and the Synoptic Problem</w:t>
      </w:r>
      <w:r w:rsidR="00454CBD">
        <w:t xml:space="preserve">, </w:t>
      </w:r>
      <w:r w:rsidR="00454CBD" w:rsidRPr="00454CBD">
        <w:t>Biblical Tools and Studies</w:t>
      </w:r>
      <w:r w:rsidR="00454CBD">
        <w:t>, v</w:t>
      </w:r>
      <w:r w:rsidR="00454CBD" w:rsidRPr="00454CBD">
        <w:t xml:space="preserve">ol. 25. </w:t>
      </w:r>
      <w:r w:rsidR="00454CBD">
        <w:t>(</w:t>
      </w:r>
      <w:r w:rsidR="00454CBD" w:rsidRPr="00454CBD">
        <w:t>Leuven: Peeters, 2016</w:t>
      </w:r>
      <w:r w:rsidR="00454CBD">
        <w:t>)</w:t>
      </w:r>
      <w:r w:rsidR="00454CBD" w:rsidRPr="00454CBD">
        <w:t>.</w:t>
      </w:r>
    </w:p>
  </w:footnote>
  <w:footnote w:id="16">
    <w:p w14:paraId="42224E15" w14:textId="3D621862" w:rsidR="009B0DC5" w:rsidRDefault="009B0DC5" w:rsidP="00ED30CE">
      <w:pPr>
        <w:pStyle w:val="FootnoteText"/>
        <w:ind w:firstLine="720"/>
      </w:pPr>
      <w:r>
        <w:rPr>
          <w:rStyle w:val="FootnoteReference"/>
        </w:rPr>
        <w:footnoteRef/>
      </w:r>
      <w:r>
        <w:t xml:space="preserve"> </w:t>
      </w:r>
      <w:r w:rsidR="00F34FD4">
        <w:t>See also</w:t>
      </w:r>
      <w:r w:rsidR="00DE306A">
        <w:t xml:space="preserve"> the work by Francis Watson on reading the gospels from a canonical perspective:</w:t>
      </w:r>
      <w:r>
        <w:t xml:space="preserve"> </w:t>
      </w:r>
      <w:r w:rsidRPr="00EC7F1D">
        <w:t xml:space="preserve">Watson, </w:t>
      </w:r>
      <w:r w:rsidRPr="00EC7F1D">
        <w:rPr>
          <w:i/>
          <w:iCs/>
        </w:rPr>
        <w:t>The Fourfold Gospel</w:t>
      </w:r>
      <w:bookmarkStart w:id="1" w:name="_Hlk536287002"/>
      <w:r w:rsidR="002A57D1">
        <w:rPr>
          <w:i/>
          <w:iCs/>
        </w:rPr>
        <w:t xml:space="preserve">; </w:t>
      </w:r>
      <w:r w:rsidRPr="00E12D36">
        <w:t>Watson,</w:t>
      </w:r>
      <w:r>
        <w:t xml:space="preserve"> </w:t>
      </w:r>
      <w:r w:rsidRPr="00E12D36">
        <w:rPr>
          <w:i/>
          <w:iCs/>
        </w:rPr>
        <w:t>Gospel Writing</w:t>
      </w:r>
      <w:r w:rsidR="002A57D1">
        <w:rPr>
          <w:i/>
          <w:iCs/>
        </w:rPr>
        <w:t>.</w:t>
      </w:r>
      <w:bookmarkEnd w:id="1"/>
    </w:p>
  </w:footnote>
  <w:footnote w:id="17">
    <w:p w14:paraId="391A56D1" w14:textId="682B7AF9" w:rsidR="009B0DC5" w:rsidRDefault="009B0DC5" w:rsidP="00AF5D59">
      <w:pPr>
        <w:pStyle w:val="FootnoteText"/>
        <w:ind w:firstLine="720"/>
      </w:pPr>
      <w:r>
        <w:rPr>
          <w:rStyle w:val="FootnoteReference"/>
        </w:rPr>
        <w:footnoteRef/>
      </w:r>
      <w:r>
        <w:t xml:space="preserve"> </w:t>
      </w:r>
      <w:r w:rsidRPr="00D16092">
        <w:t xml:space="preserve">Andris Abakuks, </w:t>
      </w:r>
      <w:r w:rsidRPr="00D16092">
        <w:rPr>
          <w:i/>
          <w:iCs/>
        </w:rPr>
        <w:t>The Synoptic Problem and Statistics</w:t>
      </w:r>
      <w:r>
        <w:t xml:space="preserve"> (</w:t>
      </w:r>
      <w:r w:rsidRPr="00D16092">
        <w:t>Boca Raton, FL: CRC Press, 2015</w:t>
      </w:r>
      <w:r>
        <w:t xml:space="preserve">); </w:t>
      </w:r>
      <w:r w:rsidRPr="007B0550">
        <w:t>Andris Abakuks,</w:t>
      </w:r>
      <w:r>
        <w:t xml:space="preserve"> </w:t>
      </w:r>
      <w:r w:rsidRPr="007B0550">
        <w:t>“The synoptic problem: on Matthew’s and Luke’s use of Mark</w:t>
      </w:r>
      <w:r>
        <w:t>,</w:t>
      </w:r>
      <w:r w:rsidRPr="007B0550">
        <w:t xml:space="preserve">” </w:t>
      </w:r>
      <w:r w:rsidRPr="007B0550">
        <w:rPr>
          <w:i/>
          <w:iCs/>
        </w:rPr>
        <w:t>Journal of the Royal Statistical Society. Series A (Statistics in Society)</w:t>
      </w:r>
      <w:r w:rsidRPr="007B0550">
        <w:t xml:space="preserve"> 175, no. 4 (Oct 2012): 959–975</w:t>
      </w:r>
      <w:r>
        <w:t xml:space="preserve">; </w:t>
      </w:r>
      <w:r w:rsidR="00162E91" w:rsidRPr="00B163CE">
        <w:t>Andris Abakuks, “A Modification of Honore’s Triple-Link Model in the Synoptic Problem</w:t>
      </w:r>
      <w:r w:rsidR="00162E91">
        <w:t>,”</w:t>
      </w:r>
      <w:r w:rsidR="00162E91" w:rsidRPr="00B163CE">
        <w:t xml:space="preserve"> </w:t>
      </w:r>
      <w:r w:rsidR="00162E91" w:rsidRPr="00B163CE">
        <w:rPr>
          <w:i/>
          <w:iCs/>
        </w:rPr>
        <w:t>Journal of the Royal Statistical Society</w:t>
      </w:r>
      <w:r w:rsidR="00162E91">
        <w:rPr>
          <w:i/>
          <w:iCs/>
        </w:rPr>
        <w:t>,</w:t>
      </w:r>
      <w:r w:rsidR="00162E91" w:rsidRPr="00B163CE">
        <w:rPr>
          <w:i/>
          <w:iCs/>
        </w:rPr>
        <w:t xml:space="preserve"> Series A (Statistics in Society) </w:t>
      </w:r>
      <w:r w:rsidR="00162E91" w:rsidRPr="00B163CE">
        <w:t>170, no. 3 (2007): 841–850</w:t>
      </w:r>
      <w:r w:rsidR="00162E91">
        <w:t>;</w:t>
      </w:r>
      <w:r w:rsidR="00C128D7">
        <w:t xml:space="preserve"> </w:t>
      </w:r>
      <w:r w:rsidR="00521B75" w:rsidRPr="00521B75">
        <w:t>Andris Abakuks, “A Statistical Study of the Triple-Link Model in the Synoptic Problem</w:t>
      </w:r>
      <w:r w:rsidR="00521B75">
        <w:t>,</w:t>
      </w:r>
      <w:r w:rsidR="00521B75" w:rsidRPr="00521B75">
        <w:t xml:space="preserve">” </w:t>
      </w:r>
      <w:r w:rsidR="00521B75" w:rsidRPr="00521B75">
        <w:rPr>
          <w:i/>
          <w:iCs/>
        </w:rPr>
        <w:t xml:space="preserve">Journal of the Royal Statistical Society. Series A (Statistics in Society) </w:t>
      </w:r>
      <w:r w:rsidR="00521B75" w:rsidRPr="00521B75">
        <w:t>169, no. 1 (2006): 49–60</w:t>
      </w:r>
      <w:r w:rsidR="00521B75">
        <w:t xml:space="preserve">; </w:t>
      </w:r>
      <w:r w:rsidR="00521B75" w:rsidRPr="00521B75">
        <w:t>Andris Abakuks,</w:t>
      </w:r>
      <w:r w:rsidR="00521B75">
        <w:t xml:space="preserve"> </w:t>
      </w:r>
      <w:r w:rsidR="00521B75" w:rsidRPr="00521B75">
        <w:t>“The synoptic problem and statistics</w:t>
      </w:r>
      <w:r w:rsidR="00521B75">
        <w:t>,</w:t>
      </w:r>
      <w:r w:rsidR="00521B75" w:rsidRPr="00521B75">
        <w:t xml:space="preserve">” </w:t>
      </w:r>
      <w:r w:rsidR="00521B75" w:rsidRPr="00521B75">
        <w:rPr>
          <w:i/>
          <w:iCs/>
        </w:rPr>
        <w:t>Significance</w:t>
      </w:r>
      <w:r w:rsidR="00521B75" w:rsidRPr="00521B75">
        <w:t xml:space="preserve"> 3, no. 4 (2006): 153–157</w:t>
      </w:r>
      <w:r w:rsidR="00521B75">
        <w:t xml:space="preserve">; </w:t>
      </w:r>
      <w:r w:rsidRPr="0058072F">
        <w:t>A. M. Honoré, “A Statistical Study of the Synoptic Problem</w:t>
      </w:r>
      <w:r>
        <w:t>,</w:t>
      </w:r>
      <w:r w:rsidRPr="0058072F">
        <w:t xml:space="preserve">” </w:t>
      </w:r>
      <w:r w:rsidRPr="0058072F">
        <w:rPr>
          <w:i/>
          <w:iCs/>
        </w:rPr>
        <w:t>NovT</w:t>
      </w:r>
      <w:r w:rsidRPr="0058072F">
        <w:t xml:space="preserve"> 10, no. 2/3 (Apr–Jul 1968): 95–147</w:t>
      </w:r>
      <w:r>
        <w:t xml:space="preserve">; </w:t>
      </w:r>
      <w:r w:rsidRPr="00770591">
        <w:t xml:space="preserve">Michael P. Oakes, </w:t>
      </w:r>
      <w:r w:rsidRPr="00770591">
        <w:rPr>
          <w:i/>
          <w:iCs/>
        </w:rPr>
        <w:t>Literary Detective Work on the Computer</w:t>
      </w:r>
      <w:r w:rsidRPr="00770591">
        <w:t xml:space="preserve"> </w:t>
      </w:r>
      <w:r>
        <w:t>(</w:t>
      </w:r>
      <w:r w:rsidRPr="00770591">
        <w:t>Amsterdam: John Benjamins, 2014</w:t>
      </w:r>
      <w:r>
        <w:t>)</w:t>
      </w:r>
      <w:r w:rsidR="008D0D28">
        <w:t xml:space="preserve">; </w:t>
      </w:r>
      <w:r w:rsidR="008D0D28" w:rsidRPr="008D0D28">
        <w:t>Robert Morgenthaler,</w:t>
      </w:r>
      <w:r w:rsidR="008D0D28">
        <w:t xml:space="preserve"> </w:t>
      </w:r>
      <w:r w:rsidR="008D0D28" w:rsidRPr="008D0D28">
        <w:rPr>
          <w:i/>
          <w:iCs/>
        </w:rPr>
        <w:t>Statistische Synopse</w:t>
      </w:r>
      <w:r w:rsidR="008D0D28">
        <w:t xml:space="preserve"> (</w:t>
      </w:r>
      <w:r w:rsidR="008D0D28" w:rsidRPr="008D0D28">
        <w:t>Stuttgart: Gotthelf-Verlag, 1971</w:t>
      </w:r>
      <w:r w:rsidR="008D0D28">
        <w:t xml:space="preserve">); </w:t>
      </w:r>
      <w:r w:rsidR="00516D09" w:rsidRPr="00516D09">
        <w:t>Bruno de Solages,</w:t>
      </w:r>
      <w:r w:rsidR="00516D09">
        <w:t xml:space="preserve"> </w:t>
      </w:r>
      <w:r w:rsidR="00516D09" w:rsidRPr="00516D09">
        <w:rPr>
          <w:i/>
          <w:iCs/>
        </w:rPr>
        <w:t>A Greek Synopsis of the Gospels: A New Way of Solving the Synoptic Problem</w:t>
      </w:r>
      <w:r w:rsidR="00516D09">
        <w:t>, t</w:t>
      </w:r>
      <w:r w:rsidR="00516D09" w:rsidRPr="00516D09">
        <w:t>rans</w:t>
      </w:r>
      <w:r w:rsidR="00516D09">
        <w:t xml:space="preserve">. </w:t>
      </w:r>
      <w:r w:rsidR="00516D09" w:rsidRPr="00516D09">
        <w:t>J. Baissus</w:t>
      </w:r>
      <w:r w:rsidR="00516D09">
        <w:t xml:space="preserve"> (</w:t>
      </w:r>
      <w:r w:rsidR="00516D09" w:rsidRPr="00516D09">
        <w:t>Leyden: Brill, 1959</w:t>
      </w:r>
      <w:r w:rsidR="00516D09">
        <w:t>);</w:t>
      </w:r>
      <w:r w:rsidR="00C275AD">
        <w:t xml:space="preserve"> </w:t>
      </w:r>
      <w:r w:rsidR="00C275AD" w:rsidRPr="00C275AD">
        <w:t>Joseph B. Tyson</w:t>
      </w:r>
      <w:r w:rsidR="00C275AD">
        <w:t xml:space="preserve"> </w:t>
      </w:r>
      <w:r w:rsidR="00C275AD" w:rsidRPr="00C275AD">
        <w:t>and Thomas R. W. Longstaff</w:t>
      </w:r>
      <w:r w:rsidR="00C275AD">
        <w:t xml:space="preserve">, </w:t>
      </w:r>
      <w:r w:rsidR="00C275AD" w:rsidRPr="00C275AD">
        <w:rPr>
          <w:i/>
          <w:iCs/>
        </w:rPr>
        <w:t>Synoptic Abstract</w:t>
      </w:r>
      <w:r w:rsidR="00C275AD">
        <w:t xml:space="preserve"> (</w:t>
      </w:r>
      <w:r w:rsidR="00C275AD" w:rsidRPr="00C275AD">
        <w:t>Wooster, OH: Biblical Research Associates, 1978</w:t>
      </w:r>
      <w:r w:rsidR="00C275AD">
        <w:t>)</w:t>
      </w:r>
      <w:r w:rsidR="00003EF3">
        <w:t xml:space="preserve">; </w:t>
      </w:r>
      <w:r w:rsidR="00003EF3" w:rsidRPr="00003EF3">
        <w:t xml:space="preserve">Andreas Ennulat, </w:t>
      </w:r>
      <w:r w:rsidR="00003EF3" w:rsidRPr="00003EF3">
        <w:rPr>
          <w:i/>
          <w:iCs/>
        </w:rPr>
        <w:t>Die “Minor agreements”: Untersuchungen zu einer offenen Frage des synoptischen Problems</w:t>
      </w:r>
      <w:r w:rsidR="00003EF3">
        <w:rPr>
          <w:i/>
          <w:iCs/>
        </w:rPr>
        <w:t xml:space="preserve">, </w:t>
      </w:r>
      <w:r w:rsidR="00003EF3" w:rsidRPr="00003EF3">
        <w:t>WUNT 2/62</w:t>
      </w:r>
      <w:r w:rsidR="00003EF3">
        <w:t xml:space="preserve"> (</w:t>
      </w:r>
      <w:r w:rsidR="00003EF3" w:rsidRPr="00003EF3">
        <w:t>Tübingen: Mohr Siebeck, 1994</w:t>
      </w:r>
      <w:r w:rsidR="00003EF3">
        <w:t>)</w:t>
      </w:r>
      <w:r w:rsidR="00787285">
        <w:t>;</w:t>
      </w:r>
      <w:r w:rsidR="00787285" w:rsidRPr="00787285">
        <w:rPr>
          <w:rFonts w:ascii="Times New Roman" w:hAnsi="Times New Roman" w:cs="Times New Roman"/>
          <w:lang w:bidi="he-IL"/>
        </w:rPr>
        <w:t xml:space="preserve"> </w:t>
      </w:r>
      <w:r w:rsidR="00787285" w:rsidRPr="00787285">
        <w:t>Charles E.</w:t>
      </w:r>
      <w:r w:rsidR="00787285">
        <w:t xml:space="preserve"> </w:t>
      </w:r>
      <w:r w:rsidR="00787285" w:rsidRPr="00787285">
        <w:t>Carlston</w:t>
      </w:r>
      <w:r w:rsidR="00787285">
        <w:t xml:space="preserve"> </w:t>
      </w:r>
      <w:r w:rsidR="00787285" w:rsidRPr="00787285">
        <w:t>and Dennis Norlin</w:t>
      </w:r>
      <w:r w:rsidR="00787285">
        <w:t xml:space="preserve">, </w:t>
      </w:r>
      <w:r w:rsidR="00787285" w:rsidRPr="00787285">
        <w:t>“Once More: Statistics and Q</w:t>
      </w:r>
      <w:r w:rsidR="00787285">
        <w:t>,</w:t>
      </w:r>
      <w:r w:rsidR="00787285" w:rsidRPr="00787285">
        <w:t xml:space="preserve">” </w:t>
      </w:r>
      <w:r w:rsidR="00787285" w:rsidRPr="00787285">
        <w:rPr>
          <w:i/>
          <w:iCs/>
        </w:rPr>
        <w:t>HTR</w:t>
      </w:r>
      <w:r w:rsidR="00787285" w:rsidRPr="00787285">
        <w:t xml:space="preserve"> 64, no. 1 (Jan 1971): 59–78</w:t>
      </w:r>
      <w:r w:rsidR="00787285">
        <w:t xml:space="preserve">; </w:t>
      </w:r>
      <w:r w:rsidR="00787285" w:rsidRPr="00787285">
        <w:t>Charles E. Carlston and Dennis Norlin</w:t>
      </w:r>
      <w:r w:rsidR="00787285">
        <w:t xml:space="preserve">, </w:t>
      </w:r>
      <w:r w:rsidR="00787285" w:rsidRPr="00787285">
        <w:t>“Statistics and Q: Some Further Observations</w:t>
      </w:r>
      <w:r w:rsidR="00787285">
        <w:t>,</w:t>
      </w:r>
      <w:r w:rsidR="00787285" w:rsidRPr="00787285">
        <w:t xml:space="preserve">” </w:t>
      </w:r>
      <w:r w:rsidR="00787285" w:rsidRPr="00787285">
        <w:rPr>
          <w:i/>
          <w:iCs/>
        </w:rPr>
        <w:t>NovT</w:t>
      </w:r>
      <w:r w:rsidR="00787285" w:rsidRPr="00787285">
        <w:t xml:space="preserve"> 41, no. 2 (April 1999): 108–123.</w:t>
      </w:r>
      <w:r w:rsidR="00AF5D59">
        <w:t xml:space="preserve"> </w:t>
      </w:r>
      <w:r>
        <w:t xml:space="preserve">For bibliography and discussion see </w:t>
      </w:r>
      <w:r w:rsidRPr="002F7346">
        <w:t>John C. Poirier, “Statistical Studies of the Verbal Agreements and their Impact on the Synoptic Problem</w:t>
      </w:r>
      <w:r>
        <w:t xml:space="preserve">,” </w:t>
      </w:r>
      <w:r w:rsidRPr="002F7346">
        <w:rPr>
          <w:i/>
          <w:iCs/>
        </w:rPr>
        <w:t>CBR</w:t>
      </w:r>
      <w:r w:rsidRPr="002F7346">
        <w:t xml:space="preserve"> 7, no. 1 (2008): 68–123</w:t>
      </w:r>
      <w:r>
        <w:t>.</w:t>
      </w:r>
    </w:p>
  </w:footnote>
  <w:footnote w:id="18">
    <w:p w14:paraId="07B4BAFB" w14:textId="6CE219B3" w:rsidR="006C34FD" w:rsidRDefault="006C34FD" w:rsidP="00CF0977">
      <w:pPr>
        <w:pStyle w:val="FootnoteText"/>
        <w:ind w:firstLine="720"/>
      </w:pPr>
      <w:r>
        <w:rPr>
          <w:rStyle w:val="FootnoteReference"/>
        </w:rPr>
        <w:footnoteRef/>
      </w:r>
      <w:r>
        <w:t xml:space="preserve"> </w:t>
      </w:r>
      <w:r w:rsidR="00D80786">
        <w:t xml:space="preserve">Throughout this paper I use several terms to refer to </w:t>
      </w:r>
      <w:r w:rsidR="00AB4FB4">
        <w:t>quantifiable data in the Synoptic Gospels. By quantifiable data I simply mean features of the texts that can be counted</w:t>
      </w:r>
      <w:r w:rsidR="00CC445B">
        <w:t>, i.e. word</w:t>
      </w:r>
      <w:r w:rsidR="005C0BB0">
        <w:t>s</w:t>
      </w:r>
      <w:r w:rsidR="0069093D">
        <w:t xml:space="preserve">. </w:t>
      </w:r>
      <w:r w:rsidR="00606F82">
        <w:t>Empirical data</w:t>
      </w:r>
      <w:r w:rsidR="006D5E08">
        <w:t xml:space="preserve"> and</w:t>
      </w:r>
      <w:r w:rsidR="00606F82">
        <w:t xml:space="preserve"> quantifiable data</w:t>
      </w:r>
      <w:r w:rsidR="0069093D">
        <w:t xml:space="preserve"> </w:t>
      </w:r>
      <w:r w:rsidR="00820FC7">
        <w:t>are observable features of the texts that can be counted. Empirical analysis</w:t>
      </w:r>
      <w:r w:rsidR="00C43C6B">
        <w:t xml:space="preserve"> and </w:t>
      </w:r>
      <w:r w:rsidR="00820FC7">
        <w:t>statistical analysis</w:t>
      </w:r>
      <w:r w:rsidR="0060537D">
        <w:t>,</w:t>
      </w:r>
      <w:r w:rsidR="00C43C6B">
        <w:t xml:space="preserve"> on the other hand</w:t>
      </w:r>
      <w:r w:rsidR="0060537D">
        <w:t>, are methods that can interpret observable data</w:t>
      </w:r>
      <w:r w:rsidR="00CF0977">
        <w:t xml:space="preserve"> and thereby posit a relationship between text </w:t>
      </w:r>
      <w:r w:rsidR="003F3E58">
        <w:t>based on the observation of empirical data</w:t>
      </w:r>
      <w:r w:rsidR="0060537D">
        <w:t>.</w:t>
      </w:r>
      <w:r w:rsidR="00447E93">
        <w:t xml:space="preserve"> </w:t>
      </w:r>
    </w:p>
  </w:footnote>
  <w:footnote w:id="19">
    <w:p w14:paraId="71111C51" w14:textId="0DC13E5F" w:rsidR="00B6311D" w:rsidRDefault="00B6311D" w:rsidP="00ED30CE">
      <w:pPr>
        <w:pStyle w:val="FootnoteText"/>
        <w:ind w:firstLine="720"/>
      </w:pPr>
      <w:r>
        <w:rPr>
          <w:rStyle w:val="FootnoteReference"/>
        </w:rPr>
        <w:footnoteRef/>
      </w:r>
      <w:r>
        <w:t xml:space="preserve"> </w:t>
      </w:r>
      <w:r w:rsidR="00AA4AB8">
        <w:t>E.g.</w:t>
      </w:r>
      <w:r>
        <w:t>,</w:t>
      </w:r>
      <w:r w:rsidRPr="00417D9F">
        <w:t xml:space="preserve"> John J. O’Rourke</w:t>
      </w:r>
      <w:r>
        <w:t>,</w:t>
      </w:r>
      <w:r w:rsidRPr="00417D9F">
        <w:t xml:space="preserve"> “Some Observations on the Synoptic Problem and the Use of Statistical Procedures</w:t>
      </w:r>
      <w:r>
        <w:t>,</w:t>
      </w:r>
      <w:r w:rsidRPr="00417D9F">
        <w:t xml:space="preserve">” </w:t>
      </w:r>
      <w:r w:rsidRPr="00417D9F">
        <w:rPr>
          <w:i/>
          <w:iCs/>
        </w:rPr>
        <w:t>NovT</w:t>
      </w:r>
      <w:r w:rsidRPr="00417D9F">
        <w:t xml:space="preserve"> 16, no. 4 (Oct 1974): 277</w:t>
      </w:r>
      <w:r>
        <w:t xml:space="preserve">; </w:t>
      </w:r>
      <w:r w:rsidRPr="00800ECC">
        <w:t>Poirier, “Statistical Studies of the Verbal Agreements and their Impact on the Synoptic Problem</w:t>
      </w:r>
      <w:r>
        <w:t>,</w:t>
      </w:r>
      <w:r w:rsidRPr="00800ECC">
        <w:t xml:space="preserve">” </w:t>
      </w:r>
      <w:r>
        <w:t>119</w:t>
      </w:r>
      <w:r w:rsidR="007830F6">
        <w:t xml:space="preserve">; </w:t>
      </w:r>
      <w:r w:rsidRPr="00E75FB0">
        <w:t>Sharon L. Mattila, “A Problem Still Clouded: Yet Again: Statistics and ‘Q</w:t>
      </w:r>
      <w:r>
        <w:t>,</w:t>
      </w:r>
      <w:r w:rsidRPr="00E75FB0">
        <w:t xml:space="preserve">’” </w:t>
      </w:r>
      <w:r w:rsidRPr="00E75FB0">
        <w:rPr>
          <w:i/>
          <w:iCs/>
        </w:rPr>
        <w:t>NovT</w:t>
      </w:r>
      <w:r w:rsidRPr="00E75FB0">
        <w:t xml:space="preserve"> 36, no. 4 (Oct 1994): 313–329</w:t>
      </w:r>
      <w:r>
        <w:t xml:space="preserve">; </w:t>
      </w:r>
      <w:r w:rsidRPr="00E75FB0">
        <w:t>Sharon Lea Mattila, “Negotiating the Clouds Around Statistics and ‘Q’: A Rejoinder and Independent Analysis</w:t>
      </w:r>
      <w:r>
        <w:t>,</w:t>
      </w:r>
      <w:r w:rsidRPr="00E75FB0">
        <w:t xml:space="preserve">” </w:t>
      </w:r>
      <w:r w:rsidRPr="00E75FB0">
        <w:rPr>
          <w:i/>
          <w:iCs/>
        </w:rPr>
        <w:t>NovT</w:t>
      </w:r>
      <w:r w:rsidRPr="00E75FB0">
        <w:t xml:space="preserve"> 46, no. 2 (2004): 105–131.</w:t>
      </w:r>
      <w:r>
        <w:t xml:space="preserve"> </w:t>
      </w:r>
    </w:p>
  </w:footnote>
  <w:footnote w:id="20">
    <w:p w14:paraId="79F90B84" w14:textId="578FC897" w:rsidR="00960DDA" w:rsidRDefault="00960DDA" w:rsidP="00C4049F">
      <w:pPr>
        <w:pStyle w:val="FootnoteText"/>
        <w:ind w:firstLine="720"/>
      </w:pPr>
      <w:r w:rsidRPr="00EC5CF1">
        <w:rPr>
          <w:rStyle w:val="FootnoteReference"/>
        </w:rPr>
        <w:footnoteRef/>
      </w:r>
      <w:r w:rsidRPr="00EC5CF1">
        <w:t xml:space="preserve"> </w:t>
      </w:r>
      <w:r w:rsidR="00522F1F" w:rsidRPr="00EC5CF1">
        <w:t>Honor</w:t>
      </w:r>
      <w:r w:rsidR="003E648C" w:rsidRPr="00EC5CF1">
        <w:t>é</w:t>
      </w:r>
      <w:r w:rsidR="00522F1F" w:rsidRPr="00EC5CF1">
        <w:t>,</w:t>
      </w:r>
      <w:r w:rsidR="001427FE" w:rsidRPr="00EC5CF1">
        <w:t xml:space="preserve"> “A Statistical Study of the Synoptic Problem,” 95;</w:t>
      </w:r>
      <w:r w:rsidR="00522F1F" w:rsidRPr="00EC5CF1">
        <w:t xml:space="preserve"> Morgenthaler,</w:t>
      </w:r>
      <w:r w:rsidR="001427FE" w:rsidRPr="00EC5CF1">
        <w:t xml:space="preserve"> </w:t>
      </w:r>
      <w:r w:rsidR="001427FE" w:rsidRPr="00EC5CF1">
        <w:rPr>
          <w:i/>
          <w:iCs/>
        </w:rPr>
        <w:t>S</w:t>
      </w:r>
      <w:r w:rsidR="004826E4" w:rsidRPr="00EC5CF1">
        <w:rPr>
          <w:i/>
          <w:iCs/>
        </w:rPr>
        <w:t>tatistische Synopse</w:t>
      </w:r>
      <w:r w:rsidR="004826E4" w:rsidRPr="00EC5CF1">
        <w:t>, 28;</w:t>
      </w:r>
      <w:r w:rsidR="00522F1F" w:rsidRPr="00EC5CF1">
        <w:t xml:space="preserve"> Tyson and Longstaff,</w:t>
      </w:r>
      <w:r w:rsidR="004826E4" w:rsidRPr="00EC5CF1">
        <w:t xml:space="preserve"> </w:t>
      </w:r>
      <w:r w:rsidR="004826E4" w:rsidRPr="00EC5CF1">
        <w:rPr>
          <w:i/>
          <w:iCs/>
        </w:rPr>
        <w:t>Synoptic Abstract</w:t>
      </w:r>
      <w:r w:rsidR="004826E4" w:rsidRPr="00EC5CF1">
        <w:t xml:space="preserve">, </w:t>
      </w:r>
      <w:r w:rsidR="002A702F" w:rsidRPr="00EC5CF1">
        <w:t>ix;</w:t>
      </w:r>
      <w:r w:rsidR="00522F1F" w:rsidRPr="00EC5CF1">
        <w:t xml:space="preserve"> Abakuks</w:t>
      </w:r>
      <w:r w:rsidR="00411D35" w:rsidRPr="00EC5CF1">
        <w:t xml:space="preserve">, </w:t>
      </w:r>
      <w:r w:rsidR="00411D35" w:rsidRPr="00EC5CF1">
        <w:rPr>
          <w:i/>
          <w:iCs/>
        </w:rPr>
        <w:t>The Synoptic Problem and Statistics</w:t>
      </w:r>
      <w:r w:rsidR="00411D35" w:rsidRPr="00EC5CF1">
        <w:t xml:space="preserve">, </w:t>
      </w:r>
      <w:r w:rsidR="00EC5CF1" w:rsidRPr="00EC5CF1">
        <w:t xml:space="preserve">10–13, </w:t>
      </w:r>
      <w:r w:rsidR="00680D51" w:rsidRPr="00EC5CF1">
        <w:t>123–125.</w:t>
      </w:r>
    </w:p>
  </w:footnote>
  <w:footnote w:id="21">
    <w:p w14:paraId="61EA34FF" w14:textId="6DFF191A" w:rsidR="00296ACA" w:rsidRDefault="00296ACA" w:rsidP="00254DDB">
      <w:pPr>
        <w:pStyle w:val="FootnoteText"/>
        <w:ind w:firstLine="720"/>
      </w:pPr>
      <w:r>
        <w:rPr>
          <w:rStyle w:val="FootnoteReference"/>
        </w:rPr>
        <w:footnoteRef/>
      </w:r>
      <w:r>
        <w:t xml:space="preserve"> </w:t>
      </w:r>
      <w:r w:rsidR="003C161E">
        <w:t>This is not to say that such graphs or charts are unusable</w:t>
      </w:r>
      <w:r w:rsidR="00DF45AB">
        <w:t xml:space="preserve">; the methods of statisticians usually require </w:t>
      </w:r>
      <w:r w:rsidR="00EA5B35">
        <w:t xml:space="preserve">such graphic representations </w:t>
      </w:r>
      <w:r w:rsidR="00D81812">
        <w:t>because statistics themselves are summaries of the data</w:t>
      </w:r>
      <w:r w:rsidR="002F6103">
        <w:t>.</w:t>
      </w:r>
    </w:p>
  </w:footnote>
  <w:footnote w:id="22">
    <w:p w14:paraId="2FB3629E" w14:textId="24BD4035" w:rsidR="001721F1" w:rsidRDefault="001721F1" w:rsidP="005A10A6">
      <w:pPr>
        <w:pStyle w:val="FootnoteText"/>
        <w:ind w:firstLine="720"/>
      </w:pPr>
      <w:r>
        <w:rPr>
          <w:rStyle w:val="FootnoteReference"/>
        </w:rPr>
        <w:footnoteRef/>
      </w:r>
      <w:r>
        <w:t xml:space="preserve"> </w:t>
      </w:r>
      <w:r w:rsidR="005A10A6">
        <w:t>The</w:t>
      </w:r>
      <w:r w:rsidR="00E64CDC">
        <w:t xml:space="preserve"> prototype version </w:t>
      </w:r>
      <w:r w:rsidR="00711134">
        <w:t xml:space="preserve">of the digital synopsis I envision can be found here: </w:t>
      </w:r>
      <w:hyperlink r:id="rId1" w:history="1">
        <w:r w:rsidR="00465592" w:rsidRPr="003A058F">
          <w:rPr>
            <w:rStyle w:val="Hyperlink"/>
          </w:rPr>
          <w:t>https://dchristensen7452.github.io/GospelData/</w:t>
        </w:r>
      </w:hyperlink>
      <w:r w:rsidR="00465592">
        <w:t xml:space="preserve"> </w:t>
      </w:r>
    </w:p>
  </w:footnote>
  <w:footnote w:id="23">
    <w:p w14:paraId="7964C541" w14:textId="644B8BBE" w:rsidR="00E45762" w:rsidRDefault="00E45762" w:rsidP="00A3542D">
      <w:pPr>
        <w:pStyle w:val="FootnoteText"/>
        <w:ind w:firstLine="720"/>
      </w:pPr>
      <w:r>
        <w:rPr>
          <w:rStyle w:val="FootnoteReference"/>
        </w:rPr>
        <w:footnoteRef/>
      </w:r>
      <w:r>
        <w:t xml:space="preserve"> </w:t>
      </w:r>
      <w:r w:rsidR="00A3542D" w:rsidRPr="00A3542D">
        <w:t>Massimo Salgaro,</w:t>
      </w:r>
      <w:r w:rsidR="00A3542D">
        <w:t xml:space="preserve"> </w:t>
      </w:r>
      <w:r w:rsidR="00A3542D" w:rsidRPr="00A3542D">
        <w:t>“The Digital Humanities as a Toolkit for Literary Theory: Three Case Studies of the Operationalization of the Concepts of ‘Late Style,’ ‘Authorship Attribution,’ and ‘Literary Movement</w:t>
      </w:r>
      <w:r w:rsidR="00A3542D">
        <w:t>,</w:t>
      </w:r>
      <w:r w:rsidR="00A3542D" w:rsidRPr="00A3542D">
        <w:t xml:space="preserve">’” </w:t>
      </w:r>
      <w:r w:rsidR="00A3542D" w:rsidRPr="00A3542D">
        <w:rPr>
          <w:i/>
          <w:iCs/>
        </w:rPr>
        <w:t>Iperstoria–Testi Letterature Linguaggi</w:t>
      </w:r>
      <w:r w:rsidR="00A3542D" w:rsidRPr="00A3542D">
        <w:t xml:space="preserve"> 12 (Fall/Winter 2018): 50–60.</w:t>
      </w:r>
    </w:p>
  </w:footnote>
  <w:footnote w:id="24">
    <w:p w14:paraId="7A16B21F" w14:textId="41A129C1" w:rsidR="009B0DC5" w:rsidRPr="00AF0FFC" w:rsidRDefault="009B0DC5" w:rsidP="00ED30CE">
      <w:pPr>
        <w:pStyle w:val="FootnoteText"/>
        <w:ind w:firstLine="720"/>
      </w:pPr>
      <w:r>
        <w:rPr>
          <w:rStyle w:val="FootnoteReference"/>
        </w:rPr>
        <w:footnoteRef/>
      </w:r>
      <w:r w:rsidRPr="00AF0FFC">
        <w:t xml:space="preserve"> Robert Morgenthaler, </w:t>
      </w:r>
      <w:r w:rsidRPr="00AF0FFC">
        <w:rPr>
          <w:i/>
          <w:iCs/>
        </w:rPr>
        <w:t>Statistik des neutestamentlichen Wortschatzes</w:t>
      </w:r>
      <w:r w:rsidRPr="00AF0FFC">
        <w:t xml:space="preserve"> (Zürich: Gotthelf-Verlag, 1973); </w:t>
      </w:r>
      <w:r w:rsidR="0017764E" w:rsidRPr="00AF0FFC">
        <w:t xml:space="preserve">Frans Neirynck, ed., </w:t>
      </w:r>
      <w:r w:rsidR="0017764E" w:rsidRPr="00AF0FFC">
        <w:rPr>
          <w:i/>
          <w:iCs/>
        </w:rPr>
        <w:t>The Minor Agreements of Matthew and Luke against Mark with a Cumulative List</w:t>
      </w:r>
      <w:r w:rsidR="0017764E" w:rsidRPr="00AF0FFC">
        <w:t xml:space="preserve">, BETL 37 (Leuven: Leuven University Press, 1974); </w:t>
      </w:r>
      <w:r w:rsidRPr="00AF0FFC">
        <w:t xml:space="preserve">Morgenthaler, </w:t>
      </w:r>
      <w:r w:rsidRPr="00AF0FFC">
        <w:rPr>
          <w:i/>
          <w:iCs/>
        </w:rPr>
        <w:t>Statistische Synopse</w:t>
      </w:r>
      <w:r w:rsidR="00244C51">
        <w:t xml:space="preserve">, 28; </w:t>
      </w:r>
      <w:r w:rsidRPr="00AF0FFC">
        <w:t>Tyson</w:t>
      </w:r>
      <w:r>
        <w:t xml:space="preserve"> </w:t>
      </w:r>
      <w:r w:rsidRPr="00AF0FFC">
        <w:t>and Longstaff</w:t>
      </w:r>
      <w:r>
        <w:t>,</w:t>
      </w:r>
      <w:r w:rsidRPr="00AF0FFC">
        <w:t xml:space="preserve"> </w:t>
      </w:r>
      <w:r w:rsidRPr="00AF0FFC">
        <w:rPr>
          <w:i/>
          <w:iCs/>
        </w:rPr>
        <w:t>Synoptic Abstract</w:t>
      </w:r>
      <w:r w:rsidR="007A60E0">
        <w:rPr>
          <w:i/>
          <w:iCs/>
        </w:rPr>
        <w:t>,</w:t>
      </w:r>
      <w:r>
        <w:t xml:space="preserve"> </w:t>
      </w:r>
      <w:r w:rsidR="007A60E0">
        <w:t>189–193.</w:t>
      </w:r>
    </w:p>
  </w:footnote>
  <w:footnote w:id="25">
    <w:p w14:paraId="174560BD" w14:textId="77777777" w:rsidR="008A7EF7" w:rsidRDefault="008A7EF7" w:rsidP="00ED30CE">
      <w:pPr>
        <w:pStyle w:val="FootnoteText"/>
        <w:ind w:firstLine="720"/>
      </w:pPr>
      <w:r>
        <w:rPr>
          <w:rStyle w:val="FootnoteReference"/>
        </w:rPr>
        <w:footnoteRef/>
      </w:r>
      <w:r>
        <w:t xml:space="preserve"> </w:t>
      </w:r>
      <w:r w:rsidRPr="009E1E42">
        <w:t>Honoré</w:t>
      </w:r>
      <w:r>
        <w:t>, “A Statistical Study of the Synoptic Problem,” 95.</w:t>
      </w:r>
    </w:p>
  </w:footnote>
  <w:footnote w:id="26">
    <w:p w14:paraId="0DDD0688" w14:textId="1DA79367" w:rsidR="00955349" w:rsidRPr="008A62FD" w:rsidRDefault="00955349" w:rsidP="002C42E2">
      <w:pPr>
        <w:pStyle w:val="FootnoteText"/>
        <w:ind w:firstLine="720"/>
      </w:pPr>
      <w:r>
        <w:rPr>
          <w:rStyle w:val="FootnoteReference"/>
        </w:rPr>
        <w:footnoteRef/>
      </w:r>
      <w:r w:rsidRPr="008A62FD">
        <w:t xml:space="preserve"> </w:t>
      </w:r>
      <w:r w:rsidR="008A62FD">
        <w:t>Honoré, “A Statistical Study of the Synoptic Problem,” 135.</w:t>
      </w:r>
    </w:p>
  </w:footnote>
  <w:footnote w:id="27">
    <w:p w14:paraId="76F90012" w14:textId="77777777" w:rsidR="002E040B" w:rsidRPr="001C1F75" w:rsidRDefault="002E040B" w:rsidP="002E040B">
      <w:pPr>
        <w:pStyle w:val="FootnoteText"/>
        <w:ind w:firstLine="720"/>
        <w:rPr>
          <w:lang w:val="de-DE"/>
        </w:rPr>
      </w:pPr>
      <w:r>
        <w:rPr>
          <w:rStyle w:val="FootnoteReference"/>
        </w:rPr>
        <w:footnoteRef/>
      </w:r>
      <w:r w:rsidRPr="001C1F75">
        <w:rPr>
          <w:lang w:val="de-DE"/>
        </w:rPr>
        <w:t xml:space="preserve"> Morgenthaler,</w:t>
      </w:r>
      <w:r>
        <w:rPr>
          <w:lang w:val="de-DE"/>
        </w:rPr>
        <w:t xml:space="preserve"> </w:t>
      </w:r>
      <w:r w:rsidRPr="001C1F75">
        <w:rPr>
          <w:i/>
          <w:iCs/>
          <w:lang w:val="de-DE"/>
        </w:rPr>
        <w:t>Statistik des neutestamentlichen Wortschatzes</w:t>
      </w:r>
      <w:r>
        <w:rPr>
          <w:lang w:val="de-DE"/>
        </w:rPr>
        <w:t xml:space="preserve">; </w:t>
      </w:r>
      <w:r w:rsidRPr="001C1F75">
        <w:rPr>
          <w:lang w:val="de-DE"/>
        </w:rPr>
        <w:t>Morgenthaler,</w:t>
      </w:r>
      <w:r>
        <w:rPr>
          <w:lang w:val="de-DE"/>
        </w:rPr>
        <w:t xml:space="preserve"> </w:t>
      </w:r>
      <w:r w:rsidRPr="001C1F75">
        <w:rPr>
          <w:i/>
          <w:iCs/>
          <w:lang w:val="de-DE"/>
        </w:rPr>
        <w:t>Statistische Synopse</w:t>
      </w:r>
      <w:r>
        <w:rPr>
          <w:lang w:val="de-DE"/>
        </w:rPr>
        <w:t xml:space="preserve">; </w:t>
      </w:r>
      <w:r w:rsidRPr="002E040B">
        <w:rPr>
          <w:lang w:val="de-DE"/>
        </w:rPr>
        <w:t xml:space="preserve">Tyson and Longstaff, </w:t>
      </w:r>
      <w:r w:rsidRPr="002E040B">
        <w:rPr>
          <w:i/>
          <w:iCs/>
          <w:lang w:val="de-DE"/>
        </w:rPr>
        <w:t>Synoptic Abstract</w:t>
      </w:r>
      <w:r w:rsidRPr="002E040B">
        <w:rPr>
          <w:lang w:val="de-DE"/>
        </w:rPr>
        <w:t>.</w:t>
      </w:r>
    </w:p>
  </w:footnote>
  <w:footnote w:id="28">
    <w:p w14:paraId="6CA8F023" w14:textId="3DA65ADB" w:rsidR="0029355C" w:rsidRDefault="0029355C" w:rsidP="00C84F8A">
      <w:pPr>
        <w:pStyle w:val="FootnoteText"/>
        <w:ind w:firstLine="720"/>
      </w:pPr>
      <w:r>
        <w:rPr>
          <w:rStyle w:val="FootnoteReference"/>
        </w:rPr>
        <w:footnoteRef/>
      </w:r>
      <w:r w:rsidR="00C84F8A">
        <w:t xml:space="preserve"> </w:t>
      </w:r>
      <w:r>
        <w:t xml:space="preserve">Tyson and Longstaff, </w:t>
      </w:r>
      <w:r w:rsidRPr="0029355C">
        <w:rPr>
          <w:i/>
          <w:iCs/>
        </w:rPr>
        <w:t>Synoptic Abstract</w:t>
      </w:r>
      <w:r>
        <w:t>, ix.</w:t>
      </w:r>
    </w:p>
  </w:footnote>
  <w:footnote w:id="29">
    <w:p w14:paraId="16CBB60F" w14:textId="3BC14FCE" w:rsidR="00D061FC" w:rsidRPr="005D0F1D" w:rsidRDefault="00D061FC" w:rsidP="007E218C">
      <w:pPr>
        <w:pStyle w:val="FootnoteText"/>
        <w:ind w:firstLine="720"/>
        <w:rPr>
          <w:lang w:val="de-DE" w:bidi="he-IL"/>
        </w:rPr>
      </w:pPr>
      <w:r>
        <w:rPr>
          <w:rStyle w:val="FootnoteReference"/>
        </w:rPr>
        <w:footnoteRef/>
      </w:r>
      <w:r w:rsidRPr="00D061FC">
        <w:rPr>
          <w:lang w:val="de-DE"/>
        </w:rPr>
        <w:t xml:space="preserve"> </w:t>
      </w:r>
      <w:r w:rsidR="009E209D" w:rsidRPr="009E209D">
        <w:rPr>
          <w:lang w:val="de-DE" w:bidi="he-IL"/>
        </w:rPr>
        <w:t>“</w:t>
      </w:r>
      <w:r w:rsidRPr="00D061FC">
        <w:rPr>
          <w:lang w:val="de-DE" w:bidi="he-IL"/>
        </w:rPr>
        <w:t>Das syn Problem ist i</w:t>
      </w:r>
      <w:r>
        <w:rPr>
          <w:lang w:val="de-DE" w:bidi="he-IL"/>
        </w:rPr>
        <w:t>n quantitativen Fakten begründet.</w:t>
      </w:r>
      <w:r w:rsidR="009E209D">
        <w:rPr>
          <w:lang w:val="de-DE" w:bidi="he-IL"/>
        </w:rPr>
        <w:t xml:space="preserve"> </w:t>
      </w:r>
      <w:r w:rsidR="003F31C5" w:rsidRPr="00ED36EF">
        <w:rPr>
          <w:lang w:val="de-DE" w:bidi="he-IL"/>
        </w:rPr>
        <w:t>Diese quantitativen Fakten können</w:t>
      </w:r>
      <w:r w:rsidR="00ED36EF" w:rsidRPr="00ED36EF">
        <w:rPr>
          <w:lang w:val="de-DE" w:bidi="he-IL"/>
        </w:rPr>
        <w:t xml:space="preserve"> g</w:t>
      </w:r>
      <w:r w:rsidR="00ED36EF">
        <w:rPr>
          <w:lang w:val="de-DE" w:bidi="he-IL"/>
        </w:rPr>
        <w:t>raphisch dargestellt werden</w:t>
      </w:r>
      <w:r w:rsidR="009E7809" w:rsidRPr="009E7809">
        <w:rPr>
          <w:lang w:val="de-DE" w:bidi="he-IL"/>
        </w:rPr>
        <w:t>”</w:t>
      </w:r>
      <w:r w:rsidR="005D0F1D">
        <w:rPr>
          <w:lang w:val="de-DE" w:bidi="he-IL"/>
        </w:rPr>
        <w:t xml:space="preserve"> </w:t>
      </w:r>
      <w:r w:rsidR="005D0F1D" w:rsidRPr="005D0F1D">
        <w:rPr>
          <w:lang w:val="de-DE" w:bidi="he-IL"/>
        </w:rPr>
        <w:t xml:space="preserve">(Morgenthaler, </w:t>
      </w:r>
      <w:r w:rsidR="005D0F1D" w:rsidRPr="005D0F1D">
        <w:rPr>
          <w:i/>
          <w:iCs/>
          <w:lang w:val="de-DE" w:bidi="he-IL"/>
        </w:rPr>
        <w:t>Statistische Synopse</w:t>
      </w:r>
      <w:r w:rsidR="005D0F1D" w:rsidRPr="005D0F1D">
        <w:rPr>
          <w:lang w:val="de-DE" w:bidi="he-IL"/>
        </w:rPr>
        <w:t>, 28).</w:t>
      </w:r>
    </w:p>
  </w:footnote>
  <w:footnote w:id="30">
    <w:p w14:paraId="56DE0662" w14:textId="39903926" w:rsidR="005222DB" w:rsidRPr="005222DB" w:rsidRDefault="005222DB" w:rsidP="00074EE7">
      <w:pPr>
        <w:pStyle w:val="FootnoteText"/>
        <w:ind w:firstLine="720"/>
        <w:rPr>
          <w:lang w:val="de-DE"/>
        </w:rPr>
      </w:pPr>
      <w:r>
        <w:rPr>
          <w:rStyle w:val="FootnoteReference"/>
        </w:rPr>
        <w:footnoteRef/>
      </w:r>
      <w:r w:rsidRPr="005222DB">
        <w:rPr>
          <w:lang w:val="de-DE"/>
        </w:rPr>
        <w:t xml:space="preserve"> </w:t>
      </w:r>
      <w:r w:rsidR="007E218C" w:rsidRPr="007E218C">
        <w:rPr>
          <w:lang w:val="de-DE" w:bidi="he-IL"/>
        </w:rPr>
        <w:t>“</w:t>
      </w:r>
      <w:r w:rsidRPr="005222DB">
        <w:rPr>
          <w:lang w:val="de-DE"/>
        </w:rPr>
        <w:t>Eine Lösung des syn Problemes wird infolgedessen nur möglich sein aufgrund einer Umschreibung und Erfassung der quantitativen Fakten und einer anschaulichen</w:t>
      </w:r>
      <w:r>
        <w:rPr>
          <w:lang w:val="de-DE"/>
        </w:rPr>
        <w:t xml:space="preserve"> – </w:t>
      </w:r>
      <w:r w:rsidRPr="005222DB">
        <w:rPr>
          <w:lang w:val="de-DE"/>
        </w:rPr>
        <w:t>synoptischen</w:t>
      </w:r>
      <w:r>
        <w:rPr>
          <w:lang w:val="de-DE"/>
        </w:rPr>
        <w:t>! –</w:t>
      </w:r>
      <w:r w:rsidRPr="005222DB">
        <w:rPr>
          <w:lang w:val="de-DE"/>
        </w:rPr>
        <w:t xml:space="preserve"> Darstellung der betreffenden Ergebnisse</w:t>
      </w:r>
      <w:r w:rsidR="007E218C" w:rsidRPr="00074EE7">
        <w:rPr>
          <w:lang w:val="de-DE" w:bidi="he-IL"/>
        </w:rPr>
        <w:t>”</w:t>
      </w:r>
      <w:r>
        <w:rPr>
          <w:lang w:val="de-DE"/>
        </w:rPr>
        <w:t xml:space="preserve"> (Morgenthaler, </w:t>
      </w:r>
      <w:r w:rsidRPr="00E17587">
        <w:rPr>
          <w:i/>
          <w:iCs/>
          <w:lang w:val="de-DE"/>
        </w:rPr>
        <w:t>S</w:t>
      </w:r>
      <w:r w:rsidR="00E17587" w:rsidRPr="00E17587">
        <w:rPr>
          <w:i/>
          <w:iCs/>
          <w:lang w:val="de-DE"/>
        </w:rPr>
        <w:t>tatistische Synopse</w:t>
      </w:r>
      <w:r w:rsidR="00E17587">
        <w:rPr>
          <w:lang w:val="de-DE"/>
        </w:rPr>
        <w:t>, 28).</w:t>
      </w:r>
    </w:p>
  </w:footnote>
  <w:footnote w:id="31">
    <w:p w14:paraId="303137AD" w14:textId="1D663892" w:rsidR="009B0DC5" w:rsidRDefault="009B0DC5" w:rsidP="00ED30CE">
      <w:pPr>
        <w:pStyle w:val="FootnoteText"/>
        <w:ind w:firstLine="720"/>
      </w:pPr>
      <w:r>
        <w:rPr>
          <w:rStyle w:val="FootnoteReference"/>
        </w:rPr>
        <w:footnoteRef/>
      </w:r>
      <w:r>
        <w:t xml:space="preserve"> </w:t>
      </w:r>
      <w:r w:rsidRPr="00D30D32">
        <w:t>Abakuks,</w:t>
      </w:r>
      <w:r>
        <w:t xml:space="preserve"> </w:t>
      </w:r>
      <w:r w:rsidRPr="00D30D32">
        <w:rPr>
          <w:i/>
          <w:iCs/>
        </w:rPr>
        <w:t>The Synoptic Problem and Statistics</w:t>
      </w:r>
      <w:r w:rsidR="001E46B8">
        <w:t xml:space="preserve">; </w:t>
      </w:r>
      <w:r w:rsidRPr="002A02D1">
        <w:t>Abakuks, “A Modification of Honore’s Triple-Link Model in the Synoptic Problem</w:t>
      </w:r>
      <w:r>
        <w:t>,</w:t>
      </w:r>
      <w:r w:rsidRPr="002A02D1">
        <w:t>” 841–850</w:t>
      </w:r>
      <w:r>
        <w:t xml:space="preserve">; </w:t>
      </w:r>
      <w:r w:rsidRPr="002A02D1">
        <w:t>Abakuks,</w:t>
      </w:r>
      <w:r>
        <w:t xml:space="preserve"> </w:t>
      </w:r>
      <w:r w:rsidRPr="002A02D1">
        <w:t>“A Statistical Study of the Triple-Link Model in the Synoptic Problem</w:t>
      </w:r>
      <w:r>
        <w:t>,</w:t>
      </w:r>
      <w:r w:rsidRPr="002A02D1">
        <w:t>” 49–60</w:t>
      </w:r>
      <w:r>
        <w:t xml:space="preserve">; </w:t>
      </w:r>
      <w:r w:rsidRPr="002A02D1">
        <w:t>Abakuks,</w:t>
      </w:r>
      <w:r>
        <w:t xml:space="preserve"> </w:t>
      </w:r>
      <w:r w:rsidRPr="002A02D1">
        <w:t>“The synoptic problem and statistics</w:t>
      </w:r>
      <w:r>
        <w:t>,</w:t>
      </w:r>
      <w:r w:rsidRPr="002A02D1">
        <w:t>” 153–157</w:t>
      </w:r>
      <w:r>
        <w:t xml:space="preserve">; </w:t>
      </w:r>
      <w:r w:rsidRPr="002A02D1">
        <w:t>Abakuks,</w:t>
      </w:r>
      <w:r>
        <w:t xml:space="preserve"> </w:t>
      </w:r>
      <w:r w:rsidRPr="002A02D1">
        <w:t>“The synoptic problem: on Matthew’s and Luke’s use of Mark</w:t>
      </w:r>
      <w:r>
        <w:t>,</w:t>
      </w:r>
      <w:r w:rsidRPr="002A02D1">
        <w:t>” 959–975.</w:t>
      </w:r>
    </w:p>
  </w:footnote>
  <w:footnote w:id="32">
    <w:p w14:paraId="6B31C103" w14:textId="77777777" w:rsidR="009B0DC5" w:rsidRDefault="009B0DC5" w:rsidP="00ED30CE">
      <w:pPr>
        <w:pStyle w:val="FootnoteText"/>
        <w:ind w:firstLine="720"/>
      </w:pPr>
      <w:r>
        <w:rPr>
          <w:rStyle w:val="FootnoteReference"/>
        </w:rPr>
        <w:footnoteRef/>
      </w:r>
      <w:r>
        <w:t xml:space="preserve"> Abakuks, </w:t>
      </w:r>
      <w:r w:rsidRPr="00D45793">
        <w:rPr>
          <w:i/>
          <w:iCs/>
        </w:rPr>
        <w:t>The Synoptic Problem and Statistics</w:t>
      </w:r>
      <w:r>
        <w:t>, 123.</w:t>
      </w:r>
    </w:p>
  </w:footnote>
  <w:footnote w:id="33">
    <w:p w14:paraId="72ADA3A0" w14:textId="3632D233" w:rsidR="00B81E30" w:rsidRDefault="00B81E30" w:rsidP="00B81E30">
      <w:pPr>
        <w:pStyle w:val="FootnoteText"/>
        <w:ind w:firstLine="720"/>
      </w:pPr>
      <w:r>
        <w:rPr>
          <w:rStyle w:val="FootnoteReference"/>
        </w:rPr>
        <w:footnoteRef/>
      </w:r>
      <w:r>
        <w:t xml:space="preserve"> Abakuks, </w:t>
      </w:r>
      <w:r w:rsidRPr="00B81E30">
        <w:rPr>
          <w:i/>
          <w:iCs/>
        </w:rPr>
        <w:t>The Synoptic Problem and Statistics</w:t>
      </w:r>
      <w:r>
        <w:t>, 175–177.</w:t>
      </w:r>
    </w:p>
  </w:footnote>
  <w:footnote w:id="34">
    <w:p w14:paraId="7C729FD2" w14:textId="3F701A53" w:rsidR="00922991" w:rsidRDefault="00922991" w:rsidP="00ED30CE">
      <w:pPr>
        <w:pStyle w:val="FootnoteText"/>
        <w:ind w:firstLine="720"/>
      </w:pPr>
      <w:r>
        <w:rPr>
          <w:rStyle w:val="FootnoteReference"/>
        </w:rPr>
        <w:footnoteRef/>
      </w:r>
      <w:r>
        <w:t xml:space="preserve"> </w:t>
      </w:r>
      <w:r w:rsidRPr="00840E62">
        <w:t>Werner Kahl, “Inclusive and Exclusive Agreements – Towards a Neutral Comparison of the Synoptic Gospels, or: Minor Agreements as Misleading Category</w:t>
      </w:r>
      <w:r>
        <w:t>,</w:t>
      </w:r>
      <w:r w:rsidRPr="00840E62">
        <w:t xml:space="preserve">” </w:t>
      </w:r>
      <w:bookmarkStart w:id="2" w:name="_Hlk529871246"/>
      <w:r>
        <w:t>i</w:t>
      </w:r>
      <w:r w:rsidRPr="00840E62">
        <w:t xml:space="preserve">n </w:t>
      </w:r>
      <w:r w:rsidRPr="00840E62">
        <w:rPr>
          <w:i/>
          <w:iCs/>
        </w:rPr>
        <w:t>Luke’s Literary Creativity</w:t>
      </w:r>
      <w:r w:rsidRPr="00840E62">
        <w:t>, ed</w:t>
      </w:r>
      <w:r>
        <w:t>.</w:t>
      </w:r>
      <w:r w:rsidRPr="00840E62">
        <w:t xml:space="preserve"> Mogens Müller and Jesper Tang Nielsen, 44–78</w:t>
      </w:r>
      <w:r>
        <w:t>,</w:t>
      </w:r>
      <w:r w:rsidRPr="00840E62">
        <w:t xml:space="preserve"> LNTS 550 </w:t>
      </w:r>
      <w:r>
        <w:t>(</w:t>
      </w:r>
      <w:r w:rsidRPr="00840E62">
        <w:t>London: Bloomsbury T&amp;T Clark, 2016</w:t>
      </w:r>
      <w:r>
        <w:t>)</w:t>
      </w:r>
      <w:bookmarkEnd w:id="2"/>
      <w:r>
        <w:t xml:space="preserve">; </w:t>
      </w:r>
      <w:r w:rsidRPr="00D40B4A">
        <w:t>Jeffrey M. Tripp, “Measuring Arguments from Order for Q: Regression Analysis and a New Metric for Assessing Dependence</w:t>
      </w:r>
      <w:r>
        <w:t>,</w:t>
      </w:r>
      <w:r w:rsidRPr="00D40B4A">
        <w:t xml:space="preserve">” </w:t>
      </w:r>
      <w:r w:rsidRPr="00D40B4A">
        <w:rPr>
          <w:i/>
          <w:iCs/>
        </w:rPr>
        <w:t>Neot</w:t>
      </w:r>
      <w:r w:rsidRPr="00D40B4A">
        <w:t xml:space="preserve"> 47, no. 1 (2013): 123–148</w:t>
      </w:r>
      <w:r>
        <w:t xml:space="preserve">; Sanders and Davies, </w:t>
      </w:r>
      <w:r w:rsidRPr="00A3419D">
        <w:rPr>
          <w:i/>
          <w:iCs/>
        </w:rPr>
        <w:t>Studying the Synoptic Gospels</w:t>
      </w:r>
      <w:r>
        <w:t>, 73</w:t>
      </w:r>
      <w:r w:rsidR="00BF0CEC">
        <w:t xml:space="preserve">; Tyson and Longstaff, </w:t>
      </w:r>
      <w:r w:rsidR="00BF0CEC" w:rsidRPr="00A90553">
        <w:rPr>
          <w:i/>
          <w:iCs/>
        </w:rPr>
        <w:t>Synoptic Abstract</w:t>
      </w:r>
      <w:r w:rsidR="00BF0CEC">
        <w:t xml:space="preserve">, </w:t>
      </w:r>
      <w:r w:rsidR="00D14121">
        <w:t>2–15.</w:t>
      </w:r>
    </w:p>
  </w:footnote>
  <w:footnote w:id="35">
    <w:p w14:paraId="4E02D9F5" w14:textId="7F3A5410" w:rsidR="00061F5A" w:rsidRDefault="00061F5A" w:rsidP="00327A19">
      <w:pPr>
        <w:pStyle w:val="FootnoteText"/>
        <w:ind w:firstLine="720"/>
      </w:pPr>
      <w:r>
        <w:rPr>
          <w:rStyle w:val="FootnoteReference"/>
        </w:rPr>
        <w:footnoteRef/>
      </w:r>
      <w:r>
        <w:t xml:space="preserve"> </w:t>
      </w:r>
      <w:r w:rsidRPr="00A90553">
        <w:t>The Minor Agreements</w:t>
      </w:r>
      <w:r>
        <w:t xml:space="preserve"> </w:t>
      </w:r>
      <w:r w:rsidR="00BB0806">
        <w:t xml:space="preserve">have two major </w:t>
      </w:r>
      <w:r w:rsidR="00016D49">
        <w:t>forms</w:t>
      </w:r>
      <w:r w:rsidR="00BC5E25">
        <w:t xml:space="preserve">: (1) a </w:t>
      </w:r>
      <w:r w:rsidR="006608AC" w:rsidRPr="006608AC">
        <w:t>positive agreement in wording</w:t>
      </w:r>
      <w:r w:rsidR="00BC5E25">
        <w:t xml:space="preserve"> </w:t>
      </w:r>
      <w:r w:rsidR="006608AC" w:rsidRPr="006608AC">
        <w:t>where Matthew and Luke include the same word or same series of words, but Mark uses a different word or set of words to say the same thing</w:t>
      </w:r>
      <w:r w:rsidR="00BC5E25">
        <w:t xml:space="preserve">, (2) </w:t>
      </w:r>
      <w:r w:rsidR="006608AC" w:rsidRPr="006608AC">
        <w:t>negative agreements</w:t>
      </w:r>
      <w:r w:rsidR="00BC5E25">
        <w:t xml:space="preserve"> </w:t>
      </w:r>
      <w:r w:rsidR="006608AC" w:rsidRPr="006608AC">
        <w:t xml:space="preserve">where Matthew and Luke include the same word or phrase between them, but Mark entirely omits the word or phrase from his text. Agreements can also be defined beyond just the words themselves. Agreements in order can occur between any combination of the synoptic texts. All three synoptics, for instance, may include the same phrase, but Matthew and Mark construct the phrase one way while Luke reorders the words to construct it in a different way. </w:t>
      </w:r>
      <w:r w:rsidR="008070CA">
        <w:t xml:space="preserve">For discussion see Goodacre, </w:t>
      </w:r>
      <w:r w:rsidR="008070CA" w:rsidRPr="000E526C">
        <w:rPr>
          <w:i/>
          <w:iCs/>
        </w:rPr>
        <w:t>The Case Against Q</w:t>
      </w:r>
      <w:r w:rsidR="008070CA">
        <w:t xml:space="preserve">, </w:t>
      </w:r>
      <w:r w:rsidR="000E526C">
        <w:t>152–169.</w:t>
      </w:r>
    </w:p>
  </w:footnote>
  <w:footnote w:id="36">
    <w:p w14:paraId="258F0144" w14:textId="37557928" w:rsidR="006605B3" w:rsidRDefault="006605B3" w:rsidP="006605B3">
      <w:pPr>
        <w:pStyle w:val="FootnoteText"/>
        <w:ind w:firstLine="720"/>
      </w:pPr>
      <w:r>
        <w:rPr>
          <w:rStyle w:val="FootnoteReference"/>
        </w:rPr>
        <w:footnoteRef/>
      </w:r>
      <w:r>
        <w:t xml:space="preserve"> </w:t>
      </w:r>
      <w:r w:rsidRPr="005559AE">
        <w:t>Neirynck,</w:t>
      </w:r>
      <w:r w:rsidR="0086288E">
        <w:t xml:space="preserve"> </w:t>
      </w:r>
      <w:r w:rsidRPr="005559AE">
        <w:rPr>
          <w:i/>
          <w:iCs/>
        </w:rPr>
        <w:t>The Minor Agreements of Matthew and Luke against Mark with a Cumulative List</w:t>
      </w:r>
      <w:r w:rsidRPr="005559AE">
        <w:t>.</w:t>
      </w:r>
    </w:p>
  </w:footnote>
  <w:footnote w:id="37">
    <w:p w14:paraId="08B1F820" w14:textId="66230FFD" w:rsidR="00327A19" w:rsidRDefault="00327A19" w:rsidP="00327A19">
      <w:pPr>
        <w:pStyle w:val="FootnoteText"/>
        <w:ind w:firstLine="720"/>
      </w:pPr>
      <w:r>
        <w:rPr>
          <w:rStyle w:val="FootnoteReference"/>
        </w:rPr>
        <w:footnoteRef/>
      </w:r>
      <w:r>
        <w:t xml:space="preserve"> Tyson and Longstaff, </w:t>
      </w:r>
      <w:r w:rsidRPr="00327A19">
        <w:rPr>
          <w:i/>
          <w:iCs/>
        </w:rPr>
        <w:t>Synoptic Abstract</w:t>
      </w:r>
      <w:r>
        <w:t>, ix.</w:t>
      </w:r>
    </w:p>
  </w:footnote>
  <w:footnote w:id="38">
    <w:p w14:paraId="266AE87B" w14:textId="14BE66CC" w:rsidR="00E6712F" w:rsidRPr="00384BFB" w:rsidRDefault="00E6712F" w:rsidP="00ED30CE">
      <w:pPr>
        <w:pStyle w:val="FootnoteText"/>
        <w:ind w:firstLine="720"/>
      </w:pPr>
      <w:r>
        <w:rPr>
          <w:rStyle w:val="FootnoteReference"/>
        </w:rPr>
        <w:footnoteRef/>
      </w:r>
      <w:r>
        <w:t xml:space="preserve"> </w:t>
      </w:r>
      <w:r w:rsidRPr="007E30A8">
        <w:t xml:space="preserve">David L. Mealand, “Is there Stylometric Evidence for Q?” </w:t>
      </w:r>
      <w:r w:rsidRPr="007E30A8">
        <w:rPr>
          <w:i/>
          <w:iCs/>
        </w:rPr>
        <w:t>NTS</w:t>
      </w:r>
      <w:r w:rsidRPr="007E30A8">
        <w:t xml:space="preserve"> 57 (2011): 483–507</w:t>
      </w:r>
      <w:r>
        <w:t xml:space="preserve">; </w:t>
      </w:r>
      <w:r w:rsidRPr="0085314D">
        <w:t>Honoré, “A Statistical Study of the Synoptic Problem</w:t>
      </w:r>
      <w:r w:rsidR="0033755A">
        <w:t xml:space="preserve">,” </w:t>
      </w:r>
      <w:r w:rsidRPr="0085314D">
        <w:t>95–147</w:t>
      </w:r>
      <w:r>
        <w:t xml:space="preserve">; </w:t>
      </w:r>
      <w:r w:rsidRPr="00475649">
        <w:t>Carlston</w:t>
      </w:r>
      <w:r w:rsidR="0033755A">
        <w:t xml:space="preserve"> </w:t>
      </w:r>
      <w:r w:rsidRPr="00475649">
        <w:t>and Norlin</w:t>
      </w:r>
      <w:r>
        <w:t>,</w:t>
      </w:r>
      <w:r w:rsidRPr="00475649">
        <w:t xml:space="preserve"> “Once More: Statistics and Q</w:t>
      </w:r>
      <w:r>
        <w:t>,</w:t>
      </w:r>
      <w:r w:rsidRPr="00475649">
        <w:t>” 59–78</w:t>
      </w:r>
      <w:r>
        <w:t xml:space="preserve">; </w:t>
      </w:r>
      <w:r w:rsidRPr="00475649">
        <w:t>Carlston and Norlin</w:t>
      </w:r>
      <w:r>
        <w:t>,</w:t>
      </w:r>
      <w:r w:rsidRPr="00475649">
        <w:t xml:space="preserve"> “Statistics and Q: Some Further Observations</w:t>
      </w:r>
      <w:r>
        <w:t>,</w:t>
      </w:r>
      <w:r w:rsidRPr="00475649">
        <w:t>” 108–123</w:t>
      </w:r>
      <w:r>
        <w:t xml:space="preserve">; </w:t>
      </w:r>
      <w:r w:rsidRPr="003A3896">
        <w:t>Tripp, “Measuring Arguments from Order for Q</w:t>
      </w:r>
      <w:r w:rsidR="0033755A">
        <w:t xml:space="preserve">,” </w:t>
      </w:r>
      <w:r w:rsidRPr="003A3896">
        <w:t>123–148</w:t>
      </w:r>
      <w:r w:rsidR="004E5FC7">
        <w:t>;</w:t>
      </w:r>
      <w:r w:rsidR="004E5FC7" w:rsidRPr="004E5FC7">
        <w:t xml:space="preserve"> </w:t>
      </w:r>
      <w:r w:rsidR="004E5FC7" w:rsidRPr="00B6423A">
        <w:t>Frans Neirynck, ed.</w:t>
      </w:r>
      <w:r w:rsidR="004E5FC7">
        <w:t>,</w:t>
      </w:r>
      <w:r w:rsidR="004E5FC7" w:rsidRPr="00B6423A">
        <w:t xml:space="preserve"> </w:t>
      </w:r>
      <w:r w:rsidR="004E5FC7" w:rsidRPr="00B6423A">
        <w:rPr>
          <w:i/>
          <w:iCs/>
        </w:rPr>
        <w:t>The Minor Agreements of Matthew and Luke against mark with a Cumulative List</w:t>
      </w:r>
      <w:r w:rsidR="00425445">
        <w:rPr>
          <w:i/>
          <w:iCs/>
        </w:rPr>
        <w:t xml:space="preserve">; </w:t>
      </w:r>
      <w:r w:rsidR="00425445" w:rsidRPr="00384BFB">
        <w:t xml:space="preserve">Marcus, </w:t>
      </w:r>
      <w:r w:rsidR="00425445" w:rsidRPr="00384BFB">
        <w:rPr>
          <w:i/>
          <w:iCs/>
        </w:rPr>
        <w:t>Mark</w:t>
      </w:r>
      <w:r w:rsidR="00425445" w:rsidRPr="00384BFB">
        <w:t>, 45</w:t>
      </w:r>
      <w:r w:rsidR="00384BFB" w:rsidRPr="00384BFB">
        <w:t>–47.</w:t>
      </w:r>
    </w:p>
  </w:footnote>
  <w:footnote w:id="39">
    <w:p w14:paraId="6E65844F" w14:textId="60515CD8" w:rsidR="00E6712F" w:rsidRDefault="00E6712F" w:rsidP="00ED30CE">
      <w:pPr>
        <w:pStyle w:val="FootnoteText"/>
        <w:ind w:firstLine="720"/>
      </w:pPr>
      <w:r>
        <w:rPr>
          <w:rStyle w:val="FootnoteReference"/>
        </w:rPr>
        <w:footnoteRef/>
      </w:r>
      <w:r>
        <w:t xml:space="preserve"> </w:t>
      </w:r>
      <w:r w:rsidRPr="00840413">
        <w:t xml:space="preserve">Abakuks, </w:t>
      </w:r>
      <w:r w:rsidRPr="00840413">
        <w:rPr>
          <w:i/>
          <w:iCs/>
        </w:rPr>
        <w:t>The Synoptic Problem and Statistics</w:t>
      </w:r>
      <w:r w:rsidR="00A60E6A">
        <w:t xml:space="preserve">, </w:t>
      </w:r>
      <w:r w:rsidR="003F6EC6">
        <w:t>175–177.</w:t>
      </w:r>
    </w:p>
  </w:footnote>
  <w:footnote w:id="40">
    <w:p w14:paraId="4791AB6E" w14:textId="31547907" w:rsidR="00E6712F" w:rsidRPr="00CA596A" w:rsidRDefault="00E6712F" w:rsidP="00ED30CE">
      <w:pPr>
        <w:pStyle w:val="FootnoteText"/>
        <w:ind w:firstLine="720"/>
      </w:pPr>
      <w:r>
        <w:rPr>
          <w:rStyle w:val="FootnoteReference"/>
        </w:rPr>
        <w:footnoteRef/>
      </w:r>
      <w:r w:rsidRPr="00CA596A">
        <w:t xml:space="preserve"> Morgenthaler, </w:t>
      </w:r>
      <w:r w:rsidRPr="00CA596A">
        <w:rPr>
          <w:i/>
          <w:iCs/>
        </w:rPr>
        <w:t>Statistische Synopse</w:t>
      </w:r>
      <w:r w:rsidR="00CA596A" w:rsidRPr="00CA596A">
        <w:t>.</w:t>
      </w:r>
    </w:p>
  </w:footnote>
  <w:footnote w:id="41">
    <w:p w14:paraId="3A6A87FB" w14:textId="6CCCBA4C" w:rsidR="00E6712F" w:rsidRDefault="00E6712F" w:rsidP="00ED30CE">
      <w:pPr>
        <w:pStyle w:val="FootnoteText"/>
        <w:ind w:firstLine="720"/>
      </w:pPr>
      <w:r>
        <w:rPr>
          <w:rStyle w:val="FootnoteReference"/>
        </w:rPr>
        <w:footnoteRef/>
      </w:r>
      <w:r>
        <w:t xml:space="preserve"> Sanders and Davies, </w:t>
      </w:r>
      <w:r w:rsidRPr="003308BD">
        <w:rPr>
          <w:i/>
          <w:iCs/>
        </w:rPr>
        <w:t>Studying the Synoptic Gospels</w:t>
      </w:r>
      <w:r>
        <w:t xml:space="preserve">, 73; </w:t>
      </w:r>
      <w:r w:rsidRPr="00F34A21">
        <w:t>Mattila, “A Problem Still Clouded</w:t>
      </w:r>
      <w:r w:rsidR="00E85927">
        <w:t xml:space="preserve">,” </w:t>
      </w:r>
      <w:r w:rsidRPr="00F34A21">
        <w:t>313–329</w:t>
      </w:r>
      <w:r>
        <w:t xml:space="preserve">; </w:t>
      </w:r>
      <w:r w:rsidRPr="00F34A21">
        <w:t xml:space="preserve">Mattila, “Negotiating the Clouds Around Statistics and </w:t>
      </w:r>
      <w:r>
        <w:t>‘</w:t>
      </w:r>
      <w:r w:rsidRPr="00F34A21">
        <w:t>Q</w:t>
      </w:r>
      <w:r>
        <w:t>’</w:t>
      </w:r>
      <w:r w:rsidR="0066115C">
        <w:t xml:space="preserve">,” </w:t>
      </w:r>
      <w:r w:rsidRPr="00F34A21">
        <w:t>105–131</w:t>
      </w:r>
      <w:r>
        <w:t xml:space="preserve">; </w:t>
      </w:r>
      <w:r w:rsidRPr="00E51558">
        <w:t>O’Rourke, “Some Observations on the Synoptic Problem and the Use of Statistical Procedures</w:t>
      </w:r>
      <w:r>
        <w:t>,</w:t>
      </w:r>
      <w:r w:rsidRPr="00E51558">
        <w:t>” 272–277</w:t>
      </w:r>
      <w:r>
        <w:t xml:space="preserve">; </w:t>
      </w:r>
      <w:r w:rsidRPr="004B2767">
        <w:t>Poirier, “Statistical Studies of the Verbal Agreements and their Impact on the Synoptic Problem</w:t>
      </w:r>
      <w:r>
        <w:t>,” 119</w:t>
      </w:r>
      <w:r w:rsidRPr="004B2767">
        <w:t>.</w:t>
      </w:r>
    </w:p>
  </w:footnote>
  <w:footnote w:id="42">
    <w:p w14:paraId="23EF8D0A" w14:textId="77777777" w:rsidR="00E6712F" w:rsidRDefault="00E6712F" w:rsidP="00ED30CE">
      <w:pPr>
        <w:pStyle w:val="FootnoteText"/>
        <w:ind w:firstLine="720"/>
      </w:pPr>
      <w:r>
        <w:rPr>
          <w:rStyle w:val="FootnoteReference"/>
        </w:rPr>
        <w:footnoteRef/>
      </w:r>
      <w:r>
        <w:t xml:space="preserve"> </w:t>
      </w:r>
      <w:r w:rsidRPr="004B2767">
        <w:t>Poirier, “Statistical Studies of the Verbal Agreements and their Impact on the Synoptic Problem</w:t>
      </w:r>
      <w:r>
        <w:t>,” 119</w:t>
      </w:r>
      <w:r w:rsidRPr="004B2767">
        <w:t>.</w:t>
      </w:r>
    </w:p>
  </w:footnote>
  <w:footnote w:id="43">
    <w:p w14:paraId="38027ED7" w14:textId="77777777" w:rsidR="00E6712F" w:rsidRDefault="00E6712F" w:rsidP="00ED30CE">
      <w:pPr>
        <w:pStyle w:val="FootnoteText"/>
        <w:ind w:firstLine="720"/>
      </w:pPr>
      <w:r>
        <w:rPr>
          <w:rStyle w:val="FootnoteReference"/>
        </w:rPr>
        <w:footnoteRef/>
      </w:r>
      <w:r>
        <w:t xml:space="preserve"> Sanders and Davies, </w:t>
      </w:r>
      <w:r w:rsidRPr="003E58BB">
        <w:rPr>
          <w:i/>
          <w:iCs/>
        </w:rPr>
        <w:t>Studying the Synoptic Gospels</w:t>
      </w:r>
      <w:r>
        <w:t>, 73.</w:t>
      </w:r>
    </w:p>
  </w:footnote>
  <w:footnote w:id="44">
    <w:p w14:paraId="52C8DF83" w14:textId="77777777" w:rsidR="00E6712F" w:rsidRDefault="00E6712F" w:rsidP="00ED30CE">
      <w:pPr>
        <w:pStyle w:val="FootnoteText"/>
        <w:ind w:firstLine="720"/>
      </w:pPr>
      <w:r>
        <w:rPr>
          <w:rStyle w:val="FootnoteReference"/>
        </w:rPr>
        <w:footnoteRef/>
      </w:r>
      <w:r>
        <w:t xml:space="preserve"> Sanders and Davies, </w:t>
      </w:r>
      <w:r w:rsidRPr="003E58BB">
        <w:rPr>
          <w:i/>
          <w:iCs/>
        </w:rPr>
        <w:t>Studying the Synoptic Gospels</w:t>
      </w:r>
      <w:r>
        <w:t>, 73.</w:t>
      </w:r>
    </w:p>
  </w:footnote>
  <w:footnote w:id="45">
    <w:p w14:paraId="76498AD6" w14:textId="6EF1B981" w:rsidR="00E6712F" w:rsidRDefault="00E6712F" w:rsidP="00ED30CE">
      <w:pPr>
        <w:pStyle w:val="FootnoteText"/>
        <w:ind w:firstLine="720"/>
      </w:pPr>
      <w:r>
        <w:rPr>
          <w:rStyle w:val="FootnoteReference"/>
        </w:rPr>
        <w:footnoteRef/>
      </w:r>
      <w:r>
        <w:t xml:space="preserve"> </w:t>
      </w:r>
      <w:r w:rsidRPr="002F7346">
        <w:t>Poirier, “Statistical Studies of the Verbal Agreements and their Impact on the Synoptic Proble</w:t>
      </w:r>
      <w:r w:rsidRPr="0018708A">
        <w:t>m,”</w:t>
      </w:r>
      <w:r>
        <w:rPr>
          <w:i/>
          <w:iCs/>
        </w:rPr>
        <w:t xml:space="preserve"> </w:t>
      </w:r>
      <w:r w:rsidRPr="0018708A">
        <w:t>119</w:t>
      </w:r>
      <w:r>
        <w:t xml:space="preserve">; </w:t>
      </w:r>
      <w:r w:rsidRPr="0042715F">
        <w:t>O’Rourke, “Some Observations on the Synoptic Problem and the Use of Statistical Procedures</w:t>
      </w:r>
      <w:r>
        <w:t>,</w:t>
      </w:r>
      <w:r w:rsidRPr="0042715F">
        <w:t>” 272–277.</w:t>
      </w:r>
    </w:p>
  </w:footnote>
  <w:footnote w:id="46">
    <w:p w14:paraId="590C0038" w14:textId="3BF8975C" w:rsidR="009A2732" w:rsidRDefault="009A2732" w:rsidP="00730ABF">
      <w:pPr>
        <w:pStyle w:val="FootnoteText"/>
        <w:ind w:firstLine="720"/>
      </w:pPr>
      <w:r>
        <w:rPr>
          <w:rStyle w:val="FootnoteReference"/>
        </w:rPr>
        <w:footnoteRef/>
      </w:r>
      <w:r>
        <w:t xml:space="preserve"> </w:t>
      </w:r>
      <w:r w:rsidR="00607284">
        <w:t xml:space="preserve">The Greek text used to construct the online database and the following contingency tables </w:t>
      </w:r>
      <w:r w:rsidR="007C62BB">
        <w:t>comes from the NA</w:t>
      </w:r>
      <w:r w:rsidR="007C62BB" w:rsidRPr="006B19C9">
        <w:rPr>
          <w:vertAlign w:val="superscript"/>
        </w:rPr>
        <w:t>28</w:t>
      </w:r>
      <w:r w:rsidR="007C62BB">
        <w:t xml:space="preserve">. The naming of pericopae and </w:t>
      </w:r>
      <w:r w:rsidR="00A131AD">
        <w:t xml:space="preserve">their verse </w:t>
      </w:r>
      <w:r w:rsidR="00A17761">
        <w:t>ranges</w:t>
      </w:r>
      <w:r w:rsidR="00A131AD">
        <w:t xml:space="preserve"> are large</w:t>
      </w:r>
      <w:r w:rsidR="00A17761">
        <w:t>ly</w:t>
      </w:r>
      <w:r w:rsidR="00A131AD">
        <w:t xml:space="preserve"> taken from </w:t>
      </w:r>
      <w:r w:rsidR="00A943F9" w:rsidRPr="00A131AD">
        <w:t xml:space="preserve">Kurt </w:t>
      </w:r>
      <w:r w:rsidR="00A131AD" w:rsidRPr="00A131AD">
        <w:t>Aland, ed.</w:t>
      </w:r>
      <w:r w:rsidR="00A943F9">
        <w:t>,</w:t>
      </w:r>
      <w:r w:rsidR="00A131AD" w:rsidRPr="00A131AD">
        <w:t xml:space="preserve"> </w:t>
      </w:r>
      <w:r w:rsidR="00A131AD" w:rsidRPr="00A131AD">
        <w:rPr>
          <w:i/>
          <w:iCs/>
        </w:rPr>
        <w:t>Synopsis of the Four Gospels: Greek-English Edition of the Synopsis Quattuor Evangeliorum</w:t>
      </w:r>
      <w:r w:rsidR="00A943F9">
        <w:t xml:space="preserve">, </w:t>
      </w:r>
      <w:r w:rsidR="00A131AD" w:rsidRPr="00A131AD">
        <w:t xml:space="preserve">15th ed. </w:t>
      </w:r>
      <w:r w:rsidR="00A943F9">
        <w:t>(</w:t>
      </w:r>
      <w:r w:rsidR="00A131AD" w:rsidRPr="00A131AD">
        <w:t>Stuttgart: German Bible Society, 2013</w:t>
      </w:r>
      <w:r w:rsidR="00A943F9">
        <w:t>)</w:t>
      </w:r>
      <w:r w:rsidR="00A131AD" w:rsidRPr="00A131AD">
        <w:t>.</w:t>
      </w:r>
      <w:r w:rsidR="009B08A6">
        <w:t xml:space="preserve"> In some cases, the names and verse ranges have been slightly altered</w:t>
      </w:r>
      <w:r w:rsidR="001D1052">
        <w:t xml:space="preserve"> from the </w:t>
      </w:r>
      <w:r w:rsidR="00D93B8B" w:rsidRPr="000245EA">
        <w:rPr>
          <w:i/>
          <w:iCs/>
        </w:rPr>
        <w:t>Synopsis Quattuor Evangeliorum</w:t>
      </w:r>
      <w:r w:rsidR="00D93B8B">
        <w:t xml:space="preserve">. </w:t>
      </w:r>
      <w:r w:rsidR="00970258">
        <w:t xml:space="preserve">Text files and word counts of the NA28 </w:t>
      </w:r>
      <w:r w:rsidR="00B82943">
        <w:t>were constructed using BibleWorks 10</w:t>
      </w:r>
      <w:r w:rsidR="00D82C57">
        <w:t xml:space="preserve"> (</w:t>
      </w:r>
      <w:hyperlink r:id="rId2" w:history="1">
        <w:r w:rsidR="00465C7E" w:rsidRPr="005B6776">
          <w:rPr>
            <w:rStyle w:val="Hyperlink"/>
          </w:rPr>
          <w:t>https://www.bibleworks.com/</w:t>
        </w:r>
      </w:hyperlink>
      <w:r w:rsidR="00D82C57">
        <w:t>)</w:t>
      </w:r>
      <w:r w:rsidR="00D624F6">
        <w:t>.</w:t>
      </w:r>
      <w:r w:rsidR="00465C7E">
        <w:t xml:space="preserve"> </w:t>
      </w:r>
    </w:p>
  </w:footnote>
  <w:footnote w:id="47">
    <w:p w14:paraId="416B38AF" w14:textId="282BDAAA" w:rsidR="004C14E0" w:rsidRDefault="004C14E0" w:rsidP="00AB406A">
      <w:pPr>
        <w:pStyle w:val="FootnoteText"/>
        <w:ind w:firstLine="720"/>
      </w:pPr>
      <w:r>
        <w:rPr>
          <w:rStyle w:val="FootnoteReference"/>
        </w:rPr>
        <w:footnoteRef/>
      </w:r>
      <w:r>
        <w:t xml:space="preserve"> Abakuks, </w:t>
      </w:r>
      <w:r w:rsidRPr="004D649A">
        <w:rPr>
          <w:i/>
          <w:iCs/>
        </w:rPr>
        <w:t>The Synoptic Problem and Statistics</w:t>
      </w:r>
      <w:r>
        <w:t>, 123–177.</w:t>
      </w:r>
      <w:r w:rsidR="009C06AB">
        <w:t xml:space="preserve"> </w:t>
      </w:r>
      <w:r w:rsidR="000026A2" w:rsidRPr="00886497">
        <w:t xml:space="preserve">For </w:t>
      </w:r>
      <w:r w:rsidR="00886497">
        <w:t xml:space="preserve">a </w:t>
      </w:r>
      <w:r w:rsidR="000026A2" w:rsidRPr="00886497">
        <w:t>summary of contingency tables see</w:t>
      </w:r>
      <w:r w:rsidR="002660B1">
        <w:t xml:space="preserve"> Alan Agresti and Barbara Finlay</w:t>
      </w:r>
      <w:r w:rsidR="00760506">
        <w:t xml:space="preserve">, </w:t>
      </w:r>
      <w:r w:rsidR="00760506" w:rsidRPr="00886497">
        <w:rPr>
          <w:i/>
          <w:iCs/>
        </w:rPr>
        <w:t>Statistical Methods for the Social Sciences</w:t>
      </w:r>
      <w:r w:rsidR="00760506">
        <w:t xml:space="preserve">, </w:t>
      </w:r>
      <w:r w:rsidR="00886497">
        <w:t xml:space="preserve">4th </w:t>
      </w:r>
      <w:r w:rsidR="00760506">
        <w:t xml:space="preserve">ed. (Upper Saddle River, NJ: </w:t>
      </w:r>
      <w:r w:rsidR="0072220A">
        <w:t xml:space="preserve">Pearson Prentice Hall, 2009), </w:t>
      </w:r>
      <w:r w:rsidR="001F2102">
        <w:t xml:space="preserve">221–247; Will H. Moore and David A. Siegel, </w:t>
      </w:r>
      <w:r w:rsidR="001F2102" w:rsidRPr="00886497">
        <w:rPr>
          <w:i/>
          <w:iCs/>
        </w:rPr>
        <w:t>A Mathematics Course for Political &amp; Social Research</w:t>
      </w:r>
      <w:r w:rsidR="001F2102">
        <w:t xml:space="preserve"> (</w:t>
      </w:r>
      <w:r w:rsidR="00886497">
        <w:t>Princeton: Princeton University Press, 2013), 206–207.</w:t>
      </w:r>
    </w:p>
  </w:footnote>
  <w:footnote w:id="48">
    <w:p w14:paraId="4551520D" w14:textId="76397B66" w:rsidR="00F50389" w:rsidRDefault="00F50389" w:rsidP="00F50389">
      <w:pPr>
        <w:pStyle w:val="FootnoteText"/>
        <w:ind w:firstLine="720"/>
      </w:pPr>
      <w:r>
        <w:rPr>
          <w:rStyle w:val="FootnoteReference"/>
        </w:rPr>
        <w:footnoteRef/>
      </w:r>
      <w:r>
        <w:t xml:space="preserve"> Abakuks points out that a contingency table can be used to look for positive or negative association between two texts but calculating the chi-squared statistic is unwarranted because the samples are never truly random. Is this regard, the contingency tables cannot determine </w:t>
      </w:r>
      <w:r w:rsidRPr="00BF4644">
        <w:rPr>
          <w:i/>
          <w:iCs/>
        </w:rPr>
        <w:t>statistical</w:t>
      </w:r>
      <w:r>
        <w:t xml:space="preserve"> significance (Abakuks, </w:t>
      </w:r>
      <w:r w:rsidRPr="00961FC3">
        <w:rPr>
          <w:i/>
          <w:iCs/>
        </w:rPr>
        <w:t>The Synoptic Problem and Statistics</w:t>
      </w:r>
      <w:r>
        <w:t>, 40).</w:t>
      </w:r>
      <w:r w:rsidR="00A73F4B">
        <w:t xml:space="preserve"> </w:t>
      </w:r>
      <w:r w:rsidR="007E7229">
        <w:t>Agresti and Fin</w:t>
      </w:r>
      <w:r w:rsidR="00A533AC">
        <w:t>la</w:t>
      </w:r>
      <w:r w:rsidR="007E7229">
        <w:t xml:space="preserve">y, </w:t>
      </w:r>
      <w:r w:rsidR="007E7229" w:rsidRPr="001C193B">
        <w:rPr>
          <w:i/>
          <w:iCs/>
        </w:rPr>
        <w:t>Statistical Methods for the Social Sciences</w:t>
      </w:r>
      <w:r w:rsidR="007E7229">
        <w:t xml:space="preserve">, </w:t>
      </w:r>
      <w:r w:rsidR="001C193B">
        <w:t>224–225.</w:t>
      </w:r>
    </w:p>
  </w:footnote>
  <w:footnote w:id="49">
    <w:p w14:paraId="1DECF252" w14:textId="77777777" w:rsidR="000B123B" w:rsidRPr="00AD6CC9" w:rsidRDefault="000B123B" w:rsidP="000B123B">
      <w:pPr>
        <w:pStyle w:val="FootnoteText"/>
        <w:ind w:firstLine="720"/>
      </w:pPr>
      <w:r>
        <w:rPr>
          <w:rStyle w:val="FootnoteReference"/>
        </w:rPr>
        <w:footnoteRef/>
      </w:r>
      <w:r>
        <w:t xml:space="preserve"> For discussion see </w:t>
      </w:r>
      <w:r w:rsidRPr="002A29A2">
        <w:t xml:space="preserve">C. M. Tuckett, </w:t>
      </w:r>
      <w:r w:rsidRPr="002A29A2">
        <w:rPr>
          <w:i/>
          <w:iCs/>
        </w:rPr>
        <w:t>The Revival of the Griesbach Hypothesis: An Analysis and Appraisal</w:t>
      </w:r>
      <w:r>
        <w:t xml:space="preserve">, </w:t>
      </w:r>
      <w:r w:rsidRPr="002A29A2">
        <w:t>SNTSMS 44</w:t>
      </w:r>
      <w:r>
        <w:t xml:space="preserve"> (</w:t>
      </w:r>
      <w:r w:rsidRPr="002A29A2">
        <w:t>Cambridge: Cambridge University Press, 2005</w:t>
      </w:r>
      <w:r>
        <w:t xml:space="preserve">); </w:t>
      </w:r>
      <w:r w:rsidRPr="007974B7">
        <w:t>C. S. Mann</w:t>
      </w:r>
      <w:r>
        <w:t xml:space="preserve">, </w:t>
      </w:r>
      <w:r w:rsidRPr="007974B7">
        <w:rPr>
          <w:i/>
          <w:iCs/>
        </w:rPr>
        <w:t>Mark: A New Translation with Introduction and Commentary</w:t>
      </w:r>
      <w:r>
        <w:t xml:space="preserve">, </w:t>
      </w:r>
      <w:r w:rsidRPr="007974B7">
        <w:t>AB 27</w:t>
      </w:r>
      <w:r>
        <w:t xml:space="preserve"> (</w:t>
      </w:r>
      <w:r w:rsidRPr="007974B7">
        <w:t>Garden City, NY: Doubleday, 1986</w:t>
      </w:r>
      <w:r>
        <w:t xml:space="preserve">), 47–66; Linnemann, Is there a Synoptic Problem?, 47–62; </w:t>
      </w:r>
      <w:r w:rsidRPr="00AD6CC9">
        <w:t>William R. Farmer</w:t>
      </w:r>
      <w:r>
        <w:t>,</w:t>
      </w:r>
      <w:r w:rsidRPr="00AD6CC9">
        <w:t xml:space="preserve"> </w:t>
      </w:r>
      <w:r w:rsidRPr="00AD6CC9">
        <w:rPr>
          <w:i/>
          <w:iCs/>
        </w:rPr>
        <w:t>The Synoptic Problem: A Critical Analysis</w:t>
      </w:r>
      <w:r>
        <w:t xml:space="preserve"> (</w:t>
      </w:r>
      <w:r w:rsidRPr="00AD6CC9">
        <w:t>New York: Macmillan, 1964</w:t>
      </w:r>
      <w:r>
        <w:t>).</w:t>
      </w:r>
    </w:p>
    <w:p w14:paraId="2618F5A7" w14:textId="77777777" w:rsidR="000B123B" w:rsidRPr="007974B7" w:rsidRDefault="000B123B" w:rsidP="000B123B">
      <w:pPr>
        <w:pStyle w:val="FootnoteText"/>
        <w:ind w:firstLine="720"/>
      </w:pPr>
    </w:p>
    <w:p w14:paraId="2694D48C" w14:textId="77777777" w:rsidR="000B123B" w:rsidRDefault="000B123B" w:rsidP="000B123B">
      <w:pPr>
        <w:pStyle w:val="FootnoteText"/>
      </w:pPr>
    </w:p>
  </w:footnote>
  <w:footnote w:id="50">
    <w:p w14:paraId="132CEEA8" w14:textId="35B1088F" w:rsidR="00747026" w:rsidRDefault="00747026" w:rsidP="00747026">
      <w:pPr>
        <w:pStyle w:val="FootnoteText"/>
        <w:ind w:firstLine="720"/>
      </w:pPr>
      <w:r>
        <w:rPr>
          <w:rStyle w:val="FootnoteReference"/>
        </w:rPr>
        <w:footnoteRef/>
      </w:r>
      <w:r>
        <w:t xml:space="preserve"> Agresti and Fin</w:t>
      </w:r>
      <w:r w:rsidR="00A533AC">
        <w:t>la</w:t>
      </w:r>
      <w:r>
        <w:t xml:space="preserve">y, </w:t>
      </w:r>
      <w:r w:rsidRPr="001C193B">
        <w:rPr>
          <w:i/>
          <w:iCs/>
        </w:rPr>
        <w:t>Statistical Methods for the Social Sciences</w:t>
      </w:r>
      <w:r>
        <w:t>, 225.</w:t>
      </w:r>
    </w:p>
  </w:footnote>
  <w:footnote w:id="51">
    <w:p w14:paraId="3F6AD9E8" w14:textId="4791530F" w:rsidR="002C4CB1" w:rsidRDefault="002C4CB1" w:rsidP="004F1F5C">
      <w:pPr>
        <w:pStyle w:val="FootnoteText"/>
        <w:ind w:firstLine="720"/>
      </w:pPr>
      <w:r>
        <w:rPr>
          <w:rStyle w:val="FootnoteReference"/>
        </w:rPr>
        <w:footnoteRef/>
      </w:r>
      <w:r>
        <w:t xml:space="preserve"> </w:t>
      </w:r>
      <w:r w:rsidR="00632F4C">
        <w:t xml:space="preserve">See </w:t>
      </w:r>
      <w:hyperlink r:id="rId3" w:history="1">
        <w:r w:rsidR="00F80AAE">
          <w:rPr>
            <w:rStyle w:val="Hyperlink"/>
          </w:rPr>
          <w:t>https://dchristensen7452.github.io/GospelData/synopses/188Beelzebub.html</w:t>
        </w:r>
      </w:hyperlink>
      <w:r w:rsidR="00F80AAE">
        <w:t>.</w:t>
      </w:r>
    </w:p>
  </w:footnote>
  <w:footnote w:id="52">
    <w:p w14:paraId="1ACEA1BA" w14:textId="77777777" w:rsidR="00BB5A72" w:rsidRDefault="00BB5A72" w:rsidP="004F1F5C">
      <w:pPr>
        <w:pStyle w:val="FootnoteText"/>
        <w:ind w:firstLine="720"/>
      </w:pPr>
      <w:r>
        <w:rPr>
          <w:rStyle w:val="FootnoteReference"/>
        </w:rPr>
        <w:footnoteRef/>
      </w:r>
      <w:r>
        <w:t xml:space="preserve"> “By Beelzebul the ruler of demons he casts out demons.”</w:t>
      </w:r>
    </w:p>
  </w:footnote>
  <w:footnote w:id="53">
    <w:p w14:paraId="050BCF03" w14:textId="29F5D754" w:rsidR="00596B68" w:rsidRDefault="00596B68" w:rsidP="00596B68">
      <w:pPr>
        <w:pStyle w:val="FootnoteText"/>
        <w:ind w:firstLine="720"/>
      </w:pPr>
      <w:r>
        <w:rPr>
          <w:rStyle w:val="FootnoteReference"/>
        </w:rPr>
        <w:footnoteRef/>
      </w:r>
      <w:r>
        <w:t xml:space="preserve"> “By the rule</w:t>
      </w:r>
      <w:r w:rsidR="00D20371">
        <w:t>r</w:t>
      </w:r>
      <w:r>
        <w:t xml:space="preserve"> of demons he casts out demons.”</w:t>
      </w:r>
    </w:p>
  </w:footnote>
  <w:footnote w:id="54">
    <w:p w14:paraId="615093B8" w14:textId="77777777" w:rsidR="006C7145" w:rsidRPr="00666B2A" w:rsidRDefault="006C7145" w:rsidP="006C7145">
      <w:pPr>
        <w:pStyle w:val="FootnoteText"/>
        <w:ind w:firstLine="720"/>
        <w:rPr>
          <w:lang w:bidi="he-IL"/>
        </w:rPr>
      </w:pPr>
      <w:r>
        <w:rPr>
          <w:rStyle w:val="FootnoteReference"/>
        </w:rPr>
        <w:footnoteRef/>
      </w:r>
      <w:r>
        <w:t xml:space="preserve"> Luke’s account is the closest to Mark’s, including </w:t>
      </w:r>
      <w:r>
        <w:rPr>
          <w:lang w:val="el-GR"/>
        </w:rPr>
        <w:t>Βεελζεβου</w:t>
      </w:r>
      <w:r w:rsidRPr="00B31A2F">
        <w:t>̀</w:t>
      </w:r>
      <w:r>
        <w:rPr>
          <w:lang w:val="el-GR"/>
        </w:rPr>
        <w:t>λ</w:t>
      </w:r>
      <w:r>
        <w:rPr>
          <w:lang w:bidi="he-IL"/>
        </w:rPr>
        <w:t xml:space="preserve"> in the instrumental </w:t>
      </w:r>
      <w:r>
        <w:rPr>
          <w:lang w:val="el-GR" w:bidi="he-IL"/>
        </w:rPr>
        <w:t>ε</w:t>
      </w:r>
      <w:r w:rsidRPr="00E74398">
        <w:rPr>
          <w:lang w:bidi="he-IL"/>
        </w:rPr>
        <w:t>̓</w:t>
      </w:r>
      <w:r>
        <w:rPr>
          <w:lang w:val="el-GR" w:bidi="he-IL"/>
        </w:rPr>
        <w:t>ν</w:t>
      </w:r>
      <w:r w:rsidRPr="00E74398">
        <w:rPr>
          <w:lang w:bidi="he-IL"/>
        </w:rPr>
        <w:t xml:space="preserve"> </w:t>
      </w:r>
      <w:r>
        <w:rPr>
          <w:lang w:bidi="he-IL"/>
        </w:rPr>
        <w:t xml:space="preserve">phrase: </w:t>
      </w:r>
      <w:r>
        <w:rPr>
          <w:lang w:val="el-GR"/>
        </w:rPr>
        <w:t>ε</w:t>
      </w:r>
      <w:r w:rsidRPr="00E37E6B">
        <w:t>̓</w:t>
      </w:r>
      <w:r>
        <w:rPr>
          <w:lang w:val="el-GR"/>
        </w:rPr>
        <w:t>ν</w:t>
      </w:r>
      <w:r w:rsidRPr="00E37E6B">
        <w:t xml:space="preserve"> </w:t>
      </w:r>
      <w:r>
        <w:rPr>
          <w:lang w:val="el-GR"/>
        </w:rPr>
        <w:t>Βεελζεβου</w:t>
      </w:r>
      <w:r w:rsidRPr="0040342B">
        <w:t>̀</w:t>
      </w:r>
      <w:r>
        <w:rPr>
          <w:lang w:val="el-GR"/>
        </w:rPr>
        <w:t>λ</w:t>
      </w:r>
      <w:r w:rsidRPr="0040342B">
        <w:t xml:space="preserve"> </w:t>
      </w:r>
      <w:r>
        <w:rPr>
          <w:lang w:val="el-GR"/>
        </w:rPr>
        <w:t>τω</w:t>
      </w:r>
      <w:r w:rsidRPr="00E37E6B">
        <w:t xml:space="preserve">͂ͅ </w:t>
      </w:r>
      <w:r>
        <w:rPr>
          <w:lang w:val="el-GR"/>
        </w:rPr>
        <w:t>α</w:t>
      </w:r>
      <w:r w:rsidRPr="00E37E6B">
        <w:t>̓́</w:t>
      </w:r>
      <w:r>
        <w:rPr>
          <w:lang w:val="el-GR"/>
        </w:rPr>
        <w:t>ρχοντι</w:t>
      </w:r>
      <w:r w:rsidRPr="00E37E6B">
        <w:t xml:space="preserve"> </w:t>
      </w:r>
      <w:r>
        <w:rPr>
          <w:lang w:val="el-GR"/>
        </w:rPr>
        <w:t>τω</w:t>
      </w:r>
      <w:r w:rsidRPr="00E37E6B">
        <w:t>͂</w:t>
      </w:r>
      <w:r>
        <w:rPr>
          <w:lang w:val="el-GR"/>
        </w:rPr>
        <w:t>ν</w:t>
      </w:r>
      <w:r w:rsidRPr="00E37E6B">
        <w:t xml:space="preserve"> </w:t>
      </w:r>
      <w:r>
        <w:rPr>
          <w:lang w:val="el-GR"/>
        </w:rPr>
        <w:t>δαιμονι</w:t>
      </w:r>
      <w:r w:rsidRPr="00E37E6B">
        <w:t>́</w:t>
      </w:r>
      <w:r>
        <w:rPr>
          <w:lang w:val="el-GR"/>
        </w:rPr>
        <w:t>ων</w:t>
      </w:r>
      <w:r w:rsidRPr="00E37E6B">
        <w:t xml:space="preserve"> </w:t>
      </w:r>
      <w:r>
        <w:rPr>
          <w:lang w:val="el-GR"/>
        </w:rPr>
        <w:t>ε</w:t>
      </w:r>
      <w:r w:rsidRPr="00E37E6B">
        <w:t>̓</w:t>
      </w:r>
      <w:r>
        <w:rPr>
          <w:lang w:val="el-GR"/>
        </w:rPr>
        <w:t>κβα</w:t>
      </w:r>
      <w:r w:rsidRPr="0080693F">
        <w:t>́</w:t>
      </w:r>
      <w:r>
        <w:rPr>
          <w:lang w:val="el-GR"/>
        </w:rPr>
        <w:t>λλει</w:t>
      </w:r>
      <w:r w:rsidRPr="0080693F">
        <w:t xml:space="preserve"> </w:t>
      </w:r>
      <w:r>
        <w:rPr>
          <w:lang w:val="el-GR"/>
        </w:rPr>
        <w:t>τα</w:t>
      </w:r>
      <w:r w:rsidRPr="0080693F">
        <w:t xml:space="preserve">̀ </w:t>
      </w:r>
      <w:r>
        <w:rPr>
          <w:lang w:val="el-GR"/>
        </w:rPr>
        <w:t>δαιμο</w:t>
      </w:r>
      <w:r w:rsidRPr="0080693F">
        <w:t>́</w:t>
      </w:r>
      <w:r>
        <w:rPr>
          <w:lang w:val="el-GR"/>
        </w:rPr>
        <w:t>νια</w:t>
      </w:r>
      <w:r>
        <w:rPr>
          <w:lang w:bidi="he-IL"/>
        </w:rPr>
        <w:t xml:space="preserve"> (by Beelzebub, the rule of the demons, he casts out demons [Lk 11:15</w:t>
      </w:r>
      <w:r>
        <w:rPr>
          <w:lang w:bidi="he-IL"/>
        </w:rPr>
        <w:fldChar w:fldCharType="begin"/>
      </w:r>
      <w:r>
        <w:instrText xml:space="preserve"> XE "</w:instrText>
      </w:r>
      <w:r w:rsidRPr="007E083B">
        <w:rPr>
          <w:lang w:bidi="he-IL"/>
        </w:rPr>
        <w:instrText>Luke</w:instrText>
      </w:r>
      <w:r w:rsidRPr="007E083B">
        <w:instrText>:11\:15</w:instrText>
      </w:r>
      <w:r>
        <w:instrText xml:space="preserve">" </w:instrText>
      </w:r>
      <w:r>
        <w:rPr>
          <w:lang w:bidi="he-IL"/>
        </w:rPr>
        <w:fldChar w:fldCharType="end"/>
      </w:r>
      <w:r>
        <w:rPr>
          <w:lang w:bidi="he-IL"/>
        </w:rPr>
        <w:t xml:space="preserve">]). Matthew also includes </w:t>
      </w:r>
      <w:r>
        <w:rPr>
          <w:lang w:val="el-GR" w:bidi="he-IL"/>
        </w:rPr>
        <w:t>Βεελζεβου</w:t>
      </w:r>
      <w:r w:rsidRPr="001A3774">
        <w:rPr>
          <w:lang w:bidi="he-IL"/>
        </w:rPr>
        <w:t>̀</w:t>
      </w:r>
      <w:r>
        <w:rPr>
          <w:lang w:val="el-GR" w:bidi="he-IL"/>
        </w:rPr>
        <w:t>λ</w:t>
      </w:r>
      <w:r w:rsidRPr="001A3774">
        <w:rPr>
          <w:lang w:bidi="he-IL"/>
        </w:rPr>
        <w:t xml:space="preserve"> </w:t>
      </w:r>
      <w:r>
        <w:rPr>
          <w:lang w:bidi="he-IL"/>
        </w:rPr>
        <w:t xml:space="preserve">in the prepositional phrase, but structures the whole clause with an </w:t>
      </w:r>
      <w:r>
        <w:rPr>
          <w:lang w:val="el-GR" w:bidi="he-IL"/>
        </w:rPr>
        <w:t>ει</w:t>
      </w:r>
      <w:r w:rsidRPr="009D0650">
        <w:rPr>
          <w:lang w:bidi="he-IL"/>
        </w:rPr>
        <w:t xml:space="preserve">̓ </w:t>
      </w:r>
      <w:r>
        <w:rPr>
          <w:lang w:val="el-GR" w:bidi="he-IL"/>
        </w:rPr>
        <w:t>μη</w:t>
      </w:r>
      <w:r w:rsidRPr="00FE64E6">
        <w:rPr>
          <w:lang w:bidi="he-IL"/>
        </w:rPr>
        <w:t>́</w:t>
      </w:r>
      <w:r>
        <w:rPr>
          <w:lang w:bidi="he-IL"/>
        </w:rPr>
        <w:t xml:space="preserve"> phrase: </w:t>
      </w:r>
      <w:r>
        <w:rPr>
          <w:lang w:val="el-GR" w:bidi="he-IL"/>
        </w:rPr>
        <w:t>ου</w:t>
      </w:r>
      <w:r w:rsidRPr="00666B2A">
        <w:rPr>
          <w:lang w:bidi="he-IL"/>
        </w:rPr>
        <w:t>̔͂</w:t>
      </w:r>
      <w:r>
        <w:rPr>
          <w:lang w:val="el-GR" w:bidi="he-IL"/>
        </w:rPr>
        <w:t>τος</w:t>
      </w:r>
      <w:r w:rsidRPr="00666B2A">
        <w:rPr>
          <w:lang w:bidi="he-IL"/>
        </w:rPr>
        <w:t xml:space="preserve"> </w:t>
      </w:r>
      <w:r>
        <w:rPr>
          <w:lang w:val="el-GR" w:bidi="he-IL"/>
        </w:rPr>
        <w:t>ου</w:t>
      </w:r>
      <w:r w:rsidRPr="00666B2A">
        <w:rPr>
          <w:lang w:bidi="he-IL"/>
        </w:rPr>
        <w:t>̓</w:t>
      </w:r>
      <w:r>
        <w:rPr>
          <w:lang w:val="el-GR" w:bidi="he-IL"/>
        </w:rPr>
        <w:t>κ</w:t>
      </w:r>
      <w:r w:rsidRPr="00666B2A">
        <w:rPr>
          <w:lang w:bidi="he-IL"/>
        </w:rPr>
        <w:t xml:space="preserve"> </w:t>
      </w:r>
      <w:r>
        <w:rPr>
          <w:lang w:val="el-GR" w:bidi="he-IL"/>
        </w:rPr>
        <w:t>ε</w:t>
      </w:r>
      <w:r w:rsidRPr="00666B2A">
        <w:rPr>
          <w:lang w:bidi="he-IL"/>
        </w:rPr>
        <w:t>̓</w:t>
      </w:r>
      <w:r>
        <w:rPr>
          <w:lang w:val="el-GR" w:bidi="he-IL"/>
        </w:rPr>
        <w:t>κβα</w:t>
      </w:r>
      <w:r w:rsidRPr="00666B2A">
        <w:rPr>
          <w:lang w:bidi="he-IL"/>
        </w:rPr>
        <w:t>́</w:t>
      </w:r>
      <w:r>
        <w:rPr>
          <w:lang w:val="el-GR" w:bidi="he-IL"/>
        </w:rPr>
        <w:t>λλει</w:t>
      </w:r>
      <w:r w:rsidRPr="00666B2A">
        <w:rPr>
          <w:lang w:bidi="he-IL"/>
        </w:rPr>
        <w:t xml:space="preserve"> </w:t>
      </w:r>
      <w:r>
        <w:rPr>
          <w:lang w:val="el-GR" w:bidi="he-IL"/>
        </w:rPr>
        <w:t>τα</w:t>
      </w:r>
      <w:r w:rsidRPr="00666B2A">
        <w:rPr>
          <w:lang w:bidi="he-IL"/>
        </w:rPr>
        <w:t xml:space="preserve">̀ </w:t>
      </w:r>
      <w:r>
        <w:rPr>
          <w:lang w:val="el-GR" w:bidi="he-IL"/>
        </w:rPr>
        <w:t>δαιμο</w:t>
      </w:r>
      <w:r w:rsidRPr="00666B2A">
        <w:rPr>
          <w:lang w:bidi="he-IL"/>
        </w:rPr>
        <w:t>́</w:t>
      </w:r>
      <w:r>
        <w:rPr>
          <w:lang w:val="el-GR" w:bidi="he-IL"/>
        </w:rPr>
        <w:t>νια</w:t>
      </w:r>
      <w:r w:rsidRPr="00666B2A">
        <w:rPr>
          <w:lang w:bidi="he-IL"/>
        </w:rPr>
        <w:t xml:space="preserve"> </w:t>
      </w:r>
      <w:r>
        <w:rPr>
          <w:lang w:val="el-GR" w:bidi="he-IL"/>
        </w:rPr>
        <w:t>ει</w:t>
      </w:r>
      <w:r w:rsidRPr="00666B2A">
        <w:rPr>
          <w:lang w:bidi="he-IL"/>
        </w:rPr>
        <w:t xml:space="preserve">̓ </w:t>
      </w:r>
      <w:r>
        <w:rPr>
          <w:lang w:val="el-GR" w:bidi="he-IL"/>
        </w:rPr>
        <w:t>μη</w:t>
      </w:r>
      <w:r w:rsidRPr="00666B2A">
        <w:rPr>
          <w:lang w:bidi="he-IL"/>
        </w:rPr>
        <w:t xml:space="preserve">̀ </w:t>
      </w:r>
      <w:r>
        <w:rPr>
          <w:lang w:val="el-GR"/>
        </w:rPr>
        <w:t>ε</w:t>
      </w:r>
      <w:r w:rsidRPr="00E37E6B">
        <w:t>̓</w:t>
      </w:r>
      <w:r>
        <w:rPr>
          <w:lang w:val="el-GR"/>
        </w:rPr>
        <w:t>ν</w:t>
      </w:r>
      <w:r w:rsidRPr="00E37E6B">
        <w:t xml:space="preserve"> </w:t>
      </w:r>
      <w:r>
        <w:rPr>
          <w:lang w:val="el-GR"/>
        </w:rPr>
        <w:t>τω</w:t>
      </w:r>
      <w:r w:rsidRPr="00E37E6B">
        <w:t xml:space="preserve">͂ͅ </w:t>
      </w:r>
      <w:r>
        <w:rPr>
          <w:lang w:val="el-GR"/>
        </w:rPr>
        <w:t>Βεελζεβου</w:t>
      </w:r>
      <w:r w:rsidRPr="0040342B">
        <w:t>̀</w:t>
      </w:r>
      <w:r>
        <w:rPr>
          <w:lang w:val="el-GR"/>
        </w:rPr>
        <w:t>λ</w:t>
      </w:r>
      <w:r w:rsidRPr="0040342B">
        <w:t xml:space="preserve"> </w:t>
      </w:r>
      <w:r>
        <w:rPr>
          <w:lang w:val="el-GR"/>
        </w:rPr>
        <w:t>α</w:t>
      </w:r>
      <w:r w:rsidRPr="00E37E6B">
        <w:t>̓́</w:t>
      </w:r>
      <w:r>
        <w:rPr>
          <w:lang w:val="el-GR"/>
        </w:rPr>
        <w:t>ρχοντι</w:t>
      </w:r>
      <w:r w:rsidRPr="00E37E6B">
        <w:t xml:space="preserve"> </w:t>
      </w:r>
      <w:r>
        <w:rPr>
          <w:lang w:val="el-GR"/>
        </w:rPr>
        <w:t>τω</w:t>
      </w:r>
      <w:r w:rsidRPr="00E37E6B">
        <w:t>͂</w:t>
      </w:r>
      <w:r>
        <w:rPr>
          <w:lang w:val="el-GR"/>
        </w:rPr>
        <w:t>ν</w:t>
      </w:r>
      <w:r w:rsidRPr="00E37E6B">
        <w:t xml:space="preserve"> </w:t>
      </w:r>
      <w:r>
        <w:rPr>
          <w:lang w:val="el-GR"/>
        </w:rPr>
        <w:t>δαιμονι</w:t>
      </w:r>
      <w:r w:rsidRPr="00E37E6B">
        <w:t>́</w:t>
      </w:r>
      <w:r>
        <w:rPr>
          <w:lang w:val="el-GR"/>
        </w:rPr>
        <w:t>ων</w:t>
      </w:r>
      <w:r>
        <w:t xml:space="preserve"> (This man does not cast out demons except by the ruler of the demons, Beelzebub [Mt 12:24</w:t>
      </w:r>
      <w:r>
        <w:fldChar w:fldCharType="begin"/>
      </w:r>
      <w:r>
        <w:instrText xml:space="preserve"> XE "</w:instrText>
      </w:r>
      <w:r w:rsidRPr="00857374">
        <w:instrText>Matt:12\:24</w:instrText>
      </w:r>
      <w:r>
        <w:instrText xml:space="preserve">" </w:instrText>
      </w:r>
      <w:r>
        <w:fldChar w:fldCharType="end"/>
      </w:r>
      <w:r>
        <w:t>]).</w:t>
      </w:r>
    </w:p>
  </w:footnote>
  <w:footnote w:id="55">
    <w:p w14:paraId="22A88391" w14:textId="35F7B9A6" w:rsidR="006B0C86" w:rsidRDefault="006B0C86" w:rsidP="00940F1E">
      <w:pPr>
        <w:pStyle w:val="FootnoteText"/>
        <w:ind w:firstLine="720"/>
      </w:pPr>
      <w:r>
        <w:rPr>
          <w:rStyle w:val="FootnoteReference"/>
        </w:rPr>
        <w:footnoteRef/>
      </w:r>
      <w:r>
        <w:t xml:space="preserve"> </w:t>
      </w:r>
      <w:r w:rsidR="00950F24">
        <w:t xml:space="preserve">E.g. Mt </w:t>
      </w:r>
      <w:r w:rsidR="00DE5B20">
        <w:t>12:24–26; Mk 3:22–25; Lk 11:15</w:t>
      </w:r>
      <w:r w:rsidR="00940F1E">
        <w:t>–18a.</w:t>
      </w:r>
    </w:p>
  </w:footnote>
  <w:footnote w:id="56">
    <w:p w14:paraId="58BC43C6" w14:textId="4C6452AF" w:rsidR="003F7F08" w:rsidRDefault="003F7F08" w:rsidP="003F7F08">
      <w:pPr>
        <w:pStyle w:val="FootnoteText"/>
        <w:ind w:firstLine="720"/>
      </w:pPr>
      <w:r>
        <w:rPr>
          <w:rStyle w:val="FootnoteReference"/>
        </w:rPr>
        <w:footnoteRef/>
      </w:r>
      <w:r>
        <w:t xml:space="preserve"> Mt 12:27–28; Lk 11:19–20.</w:t>
      </w:r>
    </w:p>
  </w:footnote>
  <w:footnote w:id="57">
    <w:p w14:paraId="059D555F" w14:textId="36AE1216" w:rsidR="008D6EB0" w:rsidRDefault="008D6EB0" w:rsidP="00F24564">
      <w:pPr>
        <w:pStyle w:val="FootnoteText"/>
        <w:ind w:firstLine="720"/>
      </w:pPr>
      <w:r>
        <w:rPr>
          <w:rStyle w:val="FootnoteReference"/>
        </w:rPr>
        <w:footnoteRef/>
      </w:r>
      <w:r>
        <w:t xml:space="preserve"> See </w:t>
      </w:r>
      <w:hyperlink r:id="rId4" w:history="1">
        <w:r w:rsidR="00072053">
          <w:rPr>
            <w:rStyle w:val="Hyperlink"/>
          </w:rPr>
          <w:t>https://dchristensen7452.github.io/GospelData/synopses/254.html</w:t>
        </w:r>
      </w:hyperlink>
      <w:r w:rsidR="00072053">
        <w:t xml:space="preserve"> and </w:t>
      </w:r>
      <w:hyperlink r:id="rId5" w:history="1">
        <w:r w:rsidR="00072053">
          <w:rPr>
            <w:rStyle w:val="Hyperlink"/>
          </w:rPr>
          <w:t>https://dchristensen7452.github.io/GospelData/synopses/255.html</w:t>
        </w:r>
      </w:hyperlink>
      <w:r w:rsidR="00072053">
        <w:t>.</w:t>
      </w:r>
    </w:p>
  </w:footnote>
  <w:footnote w:id="58">
    <w:p w14:paraId="4978A060" w14:textId="77777777" w:rsidR="00D04980" w:rsidRDefault="00D04980" w:rsidP="00D04980">
      <w:pPr>
        <w:pStyle w:val="FootnoteText"/>
        <w:ind w:firstLine="720"/>
      </w:pPr>
      <w:r>
        <w:rPr>
          <w:rStyle w:val="FootnoteReference"/>
        </w:rPr>
        <w:footnoteRef/>
      </w:r>
      <w:r>
        <w:t xml:space="preserve"> See </w:t>
      </w:r>
      <w:hyperlink r:id="rId6" w:history="1">
        <w:r>
          <w:rPr>
            <w:rStyle w:val="Hyperlink"/>
          </w:rPr>
          <w:t>https://dchristensen7452.github.io/GospelData/synopses/38.html</w:t>
        </w:r>
      </w:hyperlink>
      <w:r>
        <w:t>.</w:t>
      </w:r>
    </w:p>
  </w:footnote>
  <w:footnote w:id="59">
    <w:p w14:paraId="392BFDF2" w14:textId="6FD86BEB" w:rsidR="005335F0" w:rsidRDefault="005335F0" w:rsidP="009C09EE">
      <w:pPr>
        <w:pStyle w:val="FootnoteText"/>
        <w:ind w:firstLine="720"/>
      </w:pPr>
      <w:r>
        <w:rPr>
          <w:rStyle w:val="FootnoteReference"/>
        </w:rPr>
        <w:footnoteRef/>
      </w:r>
      <w:r>
        <w:t xml:space="preserve"> E.g. Mt 12:27–28; Lk 11:</w:t>
      </w:r>
      <w:r w:rsidR="00E64592">
        <w:t>19–20.</w:t>
      </w:r>
    </w:p>
  </w:footnote>
  <w:footnote w:id="60">
    <w:p w14:paraId="48E49CCF" w14:textId="2F2CD31D" w:rsidR="00E51AE2" w:rsidRDefault="00E51AE2" w:rsidP="0023064A">
      <w:pPr>
        <w:pStyle w:val="FootnoteText"/>
        <w:ind w:firstLine="720"/>
      </w:pPr>
      <w:r>
        <w:rPr>
          <w:rStyle w:val="FootnoteReference"/>
        </w:rPr>
        <w:footnoteRef/>
      </w:r>
      <w:r>
        <w:t xml:space="preserve"> </w:t>
      </w:r>
      <w:r w:rsidR="0023064A">
        <w:t xml:space="preserve">See </w:t>
      </w:r>
      <w:hyperlink r:id="rId7" w:history="1">
        <w:r w:rsidR="0023064A">
          <w:rPr>
            <w:rStyle w:val="Hyperlink"/>
          </w:rPr>
          <w:t>https://dchristensen7452.github.io/GospelData/synopses/43Paralytic.html</w:t>
        </w:r>
      </w:hyperlink>
      <w:r w:rsidR="0023064A">
        <w:t>.</w:t>
      </w:r>
    </w:p>
  </w:footnote>
  <w:footnote w:id="61">
    <w:p w14:paraId="6406E4F8" w14:textId="74B3F19F" w:rsidR="00E93029" w:rsidRDefault="00E93029" w:rsidP="005E3587">
      <w:pPr>
        <w:pStyle w:val="FootnoteText"/>
        <w:ind w:firstLine="720"/>
      </w:pPr>
      <w:r>
        <w:rPr>
          <w:rStyle w:val="FootnoteReference"/>
        </w:rPr>
        <w:footnoteRef/>
      </w:r>
      <w:r>
        <w:t xml:space="preserve"> </w:t>
      </w:r>
      <w:r w:rsidR="00E46232">
        <w:t>Matthew has this pericope follow the Stilling of the Storm (</w:t>
      </w:r>
      <w:r w:rsidR="009B3FE1">
        <w:t xml:space="preserve">Mt 8:23–27; cf. Mk </w:t>
      </w:r>
      <w:r w:rsidR="00805465">
        <w:t>4:35–41; Lk 8:22–25</w:t>
      </w:r>
      <w:r w:rsidR="00E46232">
        <w:t>) and the Gerasene Demoniac</w:t>
      </w:r>
      <w:r w:rsidR="002242B2">
        <w:t>s (Mt 8:28</w:t>
      </w:r>
      <w:r w:rsidR="009B3FE1">
        <w:t>–</w:t>
      </w:r>
      <w:r w:rsidR="002242B2">
        <w:t>34</w:t>
      </w:r>
      <w:r w:rsidR="009B3FE1">
        <w:t>; cf. Mk 5:1–20; Lk 8:26–39).</w:t>
      </w:r>
      <w:r w:rsidR="00326E99">
        <w:t xml:space="preserve"> Mark and Luke place it after the Cleansing of the Leper (Mk</w:t>
      </w:r>
      <w:r w:rsidR="0044665D">
        <w:t xml:space="preserve"> 1:40–45; Lk 5:12–16; cf. Mt 8:1–4).</w:t>
      </w:r>
    </w:p>
  </w:footnote>
  <w:footnote w:id="62">
    <w:p w14:paraId="24672E67" w14:textId="1F97CC2A" w:rsidR="00A01DB7" w:rsidRPr="001D3EDF" w:rsidRDefault="00A01DB7" w:rsidP="00A01DB7">
      <w:pPr>
        <w:pStyle w:val="FootnoteText"/>
        <w:ind w:firstLine="720"/>
        <w:rPr>
          <w:lang w:bidi="he-IL"/>
        </w:rPr>
      </w:pPr>
      <w:r>
        <w:rPr>
          <w:rStyle w:val="FootnoteReference"/>
        </w:rPr>
        <w:footnoteRef/>
      </w:r>
      <w:r>
        <w:t xml:space="preserve"> Luke 5:2</w:t>
      </w:r>
      <w:r w:rsidRPr="000375ED">
        <w:t>0</w:t>
      </w:r>
      <w:r>
        <w:rPr>
          <w:lang w:val="el-GR"/>
        </w:rPr>
        <w:fldChar w:fldCharType="begin"/>
      </w:r>
      <w:r>
        <w:instrText xml:space="preserve"> XE "</w:instrText>
      </w:r>
      <w:r w:rsidRPr="0018497E">
        <w:instrText>Luke:5\:20</w:instrText>
      </w:r>
      <w:r>
        <w:instrText xml:space="preserve">" </w:instrText>
      </w:r>
      <w:r>
        <w:rPr>
          <w:lang w:val="el-GR"/>
        </w:rPr>
        <w:fldChar w:fldCharType="end"/>
      </w:r>
      <w:r w:rsidRPr="000375ED">
        <w:t xml:space="preserve">, </w:t>
      </w:r>
      <w:r>
        <w:rPr>
          <w:lang w:bidi="he-IL"/>
        </w:rPr>
        <w:t>cf. 5:23</w:t>
      </w:r>
      <w:r>
        <w:rPr>
          <w:lang w:bidi="he-IL"/>
        </w:rPr>
        <w:fldChar w:fldCharType="begin"/>
      </w:r>
      <w:r>
        <w:instrText xml:space="preserve"> XE "</w:instrText>
      </w:r>
      <w:r w:rsidRPr="00B875FF">
        <w:instrText>Luke:5\:23</w:instrText>
      </w:r>
      <w:r>
        <w:instrText xml:space="preserve">" </w:instrText>
      </w:r>
      <w:r>
        <w:rPr>
          <w:lang w:bidi="he-IL"/>
        </w:rPr>
        <w:fldChar w:fldCharType="end"/>
      </w:r>
      <w:r>
        <w:t xml:space="preserve"> includes</w:t>
      </w:r>
      <w:r w:rsidR="00346166">
        <w:t xml:space="preserve"> </w:t>
      </w:r>
      <w:r w:rsidR="00656C15">
        <w:t>an</w:t>
      </w:r>
      <w:r w:rsidR="00346166">
        <w:t xml:space="preserve"> indirect object </w:t>
      </w:r>
      <w:r w:rsidR="00656C15">
        <w:rPr>
          <w:lang w:bidi="he-IL"/>
        </w:rPr>
        <w:t>and renders the main verb in the perfect:</w:t>
      </w:r>
      <w:r w:rsidR="00346166">
        <w:t xml:space="preserve"> </w:t>
      </w:r>
      <w:r>
        <w:rPr>
          <w:lang w:val="el-GR"/>
        </w:rPr>
        <w:t>α</w:t>
      </w:r>
      <w:r w:rsidRPr="000375ED">
        <w:t>̓</w:t>
      </w:r>
      <w:r>
        <w:rPr>
          <w:lang w:val="el-GR"/>
        </w:rPr>
        <w:t>φε</w:t>
      </w:r>
      <w:r w:rsidRPr="000375ED">
        <w:t>́</w:t>
      </w:r>
      <w:r>
        <w:rPr>
          <w:lang w:val="el-GR"/>
        </w:rPr>
        <w:t>ωνται</w:t>
      </w:r>
      <w:r w:rsidRPr="000375ED">
        <w:t xml:space="preserve">́ </w:t>
      </w:r>
      <w:r>
        <w:rPr>
          <w:lang w:val="el-GR"/>
        </w:rPr>
        <w:t>σοι</w:t>
      </w:r>
      <w:r w:rsidRPr="000375ED">
        <w:t xml:space="preserve"> </w:t>
      </w:r>
      <w:r>
        <w:rPr>
          <w:lang w:val="el-GR"/>
        </w:rPr>
        <w:t>αι</w:t>
      </w:r>
      <w:r w:rsidRPr="000375ED">
        <w:t xml:space="preserve">̔ </w:t>
      </w:r>
      <w:r>
        <w:rPr>
          <w:lang w:val="el-GR"/>
        </w:rPr>
        <w:t>α</w:t>
      </w:r>
      <w:r w:rsidRPr="000375ED">
        <w:t>̔</w:t>
      </w:r>
      <w:r>
        <w:rPr>
          <w:lang w:val="el-GR"/>
        </w:rPr>
        <w:t>μαρτι</w:t>
      </w:r>
      <w:r w:rsidRPr="000375ED">
        <w:t>́</w:t>
      </w:r>
      <w:r>
        <w:rPr>
          <w:lang w:val="el-GR"/>
        </w:rPr>
        <w:t>αι</w:t>
      </w:r>
      <w:r w:rsidRPr="000375ED">
        <w:t xml:space="preserve"> </w:t>
      </w:r>
      <w:r>
        <w:rPr>
          <w:lang w:val="el-GR"/>
        </w:rPr>
        <w:t>σου</w:t>
      </w:r>
      <w:r w:rsidR="00121355">
        <w:t xml:space="preserve"> (Your sins have been forgiven you).</w:t>
      </w:r>
    </w:p>
  </w:footnote>
  <w:footnote w:id="63">
    <w:p w14:paraId="256BE27D" w14:textId="280D57DA" w:rsidR="00A01DB7" w:rsidRPr="004228C8" w:rsidRDefault="00A01DB7" w:rsidP="00A01DB7">
      <w:pPr>
        <w:pStyle w:val="FootnoteText"/>
        <w:ind w:firstLine="720"/>
        <w:rPr>
          <w:lang w:bidi="he-IL"/>
        </w:rPr>
      </w:pPr>
      <w:r>
        <w:rPr>
          <w:rStyle w:val="FootnoteReference"/>
        </w:rPr>
        <w:footnoteRef/>
      </w:r>
      <w:r>
        <w:t xml:space="preserve"> Mark 2:9</w:t>
      </w:r>
      <w:r>
        <w:fldChar w:fldCharType="begin"/>
      </w:r>
      <w:r>
        <w:instrText xml:space="preserve"> XE "</w:instrText>
      </w:r>
      <w:r w:rsidRPr="00084DB1">
        <w:instrText>Mark:2\:9</w:instrText>
      </w:r>
      <w:r>
        <w:instrText xml:space="preserve">" </w:instrText>
      </w:r>
      <w:r>
        <w:fldChar w:fldCharType="end"/>
      </w:r>
      <w:r>
        <w:t xml:space="preserve"> includes </w:t>
      </w:r>
      <w:r w:rsidR="00167330">
        <w:t>the phrase</w:t>
      </w:r>
      <w:r>
        <w:t xml:space="preserve"> </w:t>
      </w:r>
      <w:r>
        <w:rPr>
          <w:lang w:val="el-GR"/>
        </w:rPr>
        <w:t>και</w:t>
      </w:r>
      <w:r w:rsidRPr="004228C8">
        <w:t xml:space="preserve">̀ </w:t>
      </w:r>
      <w:r>
        <w:rPr>
          <w:lang w:val="el-GR"/>
        </w:rPr>
        <w:t>α</w:t>
      </w:r>
      <w:r w:rsidRPr="004228C8">
        <w:t>̓͂</w:t>
      </w:r>
      <w:r>
        <w:rPr>
          <w:lang w:val="el-GR"/>
        </w:rPr>
        <w:t>ρον</w:t>
      </w:r>
      <w:r w:rsidRPr="004228C8">
        <w:t xml:space="preserve"> </w:t>
      </w:r>
      <w:r>
        <w:rPr>
          <w:lang w:val="el-GR"/>
        </w:rPr>
        <w:t>το</w:t>
      </w:r>
      <w:r w:rsidRPr="004228C8">
        <w:t>̀</w:t>
      </w:r>
      <w:r>
        <w:rPr>
          <w:lang w:val="el-GR"/>
        </w:rPr>
        <w:t>ν</w:t>
      </w:r>
      <w:r w:rsidRPr="004228C8">
        <w:t xml:space="preserve"> </w:t>
      </w:r>
      <w:r>
        <w:rPr>
          <w:lang w:val="el-GR"/>
        </w:rPr>
        <w:t>κρα</w:t>
      </w:r>
      <w:r w:rsidRPr="004228C8">
        <w:t>́</w:t>
      </w:r>
      <w:r>
        <w:rPr>
          <w:lang w:val="el-GR"/>
        </w:rPr>
        <w:t>βαττο</w:t>
      </w:r>
      <w:r w:rsidRPr="004228C8">
        <w:t>́</w:t>
      </w:r>
      <w:r>
        <w:rPr>
          <w:lang w:val="el-GR"/>
        </w:rPr>
        <w:t>ν</w:t>
      </w:r>
      <w:r w:rsidRPr="004228C8">
        <w:t xml:space="preserve"> </w:t>
      </w:r>
      <w:r>
        <w:rPr>
          <w:lang w:val="el-GR"/>
        </w:rPr>
        <w:t>σου</w:t>
      </w:r>
      <w:r w:rsidR="00167330">
        <w:t xml:space="preserve"> (and </w:t>
      </w:r>
      <w:r w:rsidR="00211D40">
        <w:t>take up your mat).</w:t>
      </w:r>
      <w:r w:rsidR="00EB656F">
        <w:t xml:space="preserve"> Luke 5:23, again, </w:t>
      </w:r>
      <w:r w:rsidR="001A2BFF">
        <w:t>i</w:t>
      </w:r>
      <w:r w:rsidR="00EB656F">
        <w:t xml:space="preserve">ncludes an indirect object </w:t>
      </w:r>
      <w:r w:rsidR="00EB656F">
        <w:rPr>
          <w:lang w:bidi="he-IL"/>
        </w:rPr>
        <w:t>and renders the main verb in the perfect:</w:t>
      </w:r>
      <w:r w:rsidR="00EB656F">
        <w:t xml:space="preserve"> </w:t>
      </w:r>
      <w:r w:rsidR="00EB656F">
        <w:rPr>
          <w:lang w:val="el-GR"/>
        </w:rPr>
        <w:t>α</w:t>
      </w:r>
      <w:r w:rsidR="00EB656F" w:rsidRPr="000375ED">
        <w:t>̓</w:t>
      </w:r>
      <w:r w:rsidR="00EB656F">
        <w:rPr>
          <w:lang w:val="el-GR"/>
        </w:rPr>
        <w:t>φε</w:t>
      </w:r>
      <w:r w:rsidR="00EB656F" w:rsidRPr="000375ED">
        <w:t>́</w:t>
      </w:r>
      <w:r w:rsidR="00EB656F">
        <w:rPr>
          <w:lang w:val="el-GR"/>
        </w:rPr>
        <w:t>ωνται</w:t>
      </w:r>
      <w:r w:rsidR="00EB656F" w:rsidRPr="000375ED">
        <w:t xml:space="preserve">́ </w:t>
      </w:r>
      <w:r w:rsidR="00EB656F">
        <w:rPr>
          <w:lang w:val="el-GR"/>
        </w:rPr>
        <w:t>σοι</w:t>
      </w:r>
      <w:r w:rsidR="00EB656F" w:rsidRPr="000375ED">
        <w:t xml:space="preserve"> </w:t>
      </w:r>
      <w:r w:rsidR="00EB656F">
        <w:rPr>
          <w:lang w:val="el-GR"/>
        </w:rPr>
        <w:t>αι</w:t>
      </w:r>
      <w:r w:rsidR="00EB656F" w:rsidRPr="000375ED">
        <w:t xml:space="preserve">̔ </w:t>
      </w:r>
      <w:r w:rsidR="00EB656F">
        <w:rPr>
          <w:lang w:val="el-GR"/>
        </w:rPr>
        <w:t>α</w:t>
      </w:r>
      <w:r w:rsidR="00EB656F" w:rsidRPr="000375ED">
        <w:t>̔</w:t>
      </w:r>
      <w:r w:rsidR="00EB656F">
        <w:rPr>
          <w:lang w:val="el-GR"/>
        </w:rPr>
        <w:t>μαρτι</w:t>
      </w:r>
      <w:r w:rsidR="00EB656F" w:rsidRPr="000375ED">
        <w:t>́</w:t>
      </w:r>
      <w:r w:rsidR="00EB656F">
        <w:rPr>
          <w:lang w:val="el-GR"/>
        </w:rPr>
        <w:t>αι</w:t>
      </w:r>
      <w:r w:rsidR="00EB656F" w:rsidRPr="000375ED">
        <w:t xml:space="preserve"> </w:t>
      </w:r>
      <w:r w:rsidR="00EB656F">
        <w:rPr>
          <w:lang w:val="el-GR"/>
        </w:rPr>
        <w:t>σου</w:t>
      </w:r>
      <w:r w:rsidR="00EB656F">
        <w:t xml:space="preserve"> (Your sins have been forgiven you).</w:t>
      </w:r>
    </w:p>
  </w:footnote>
  <w:footnote w:id="64">
    <w:p w14:paraId="36DC8A4F" w14:textId="1C4A8D60" w:rsidR="00A01DB7" w:rsidRPr="00D96DB6" w:rsidRDefault="00A01DB7" w:rsidP="00A01DB7">
      <w:pPr>
        <w:pStyle w:val="FootnoteText"/>
        <w:ind w:firstLine="720"/>
        <w:rPr>
          <w:lang w:bidi="he-IL"/>
        </w:rPr>
      </w:pPr>
      <w:r>
        <w:rPr>
          <w:rStyle w:val="FootnoteReference"/>
        </w:rPr>
        <w:footnoteRef/>
      </w:r>
      <w:r>
        <w:t xml:space="preserve"> The syntax of this sentence varies between each synoptic gospel. Matthew and Mark arrange the main clause</w:t>
      </w:r>
      <w:r w:rsidR="00EE5124">
        <w:t xml:space="preserve"> </w:t>
      </w:r>
      <w:r>
        <w:rPr>
          <w:lang w:bidi="he-IL"/>
        </w:rPr>
        <w:t>object verb subject</w:t>
      </w:r>
      <w:r w:rsidR="005C11CC">
        <w:rPr>
          <w:lang w:bidi="he-IL"/>
        </w:rPr>
        <w:t xml:space="preserve">; </w:t>
      </w:r>
      <w:r>
        <w:rPr>
          <w:lang w:bidi="he-IL"/>
        </w:rPr>
        <w:t xml:space="preserve">Luke arranges it subject object verb. Mark ends the sentence with the prepositional clause </w:t>
      </w:r>
      <w:r>
        <w:rPr>
          <w:lang w:val="el-GR" w:bidi="he-IL"/>
        </w:rPr>
        <w:t>ε</w:t>
      </w:r>
      <w:r w:rsidRPr="005D4F21">
        <w:rPr>
          <w:lang w:bidi="he-IL"/>
        </w:rPr>
        <w:t>̓</w:t>
      </w:r>
      <w:r>
        <w:rPr>
          <w:lang w:val="el-GR" w:bidi="he-IL"/>
        </w:rPr>
        <w:t>πι</w:t>
      </w:r>
      <w:r w:rsidRPr="005D4F21">
        <w:rPr>
          <w:lang w:bidi="he-IL"/>
        </w:rPr>
        <w:t xml:space="preserve">̀ </w:t>
      </w:r>
      <w:r>
        <w:rPr>
          <w:lang w:val="el-GR" w:bidi="he-IL"/>
        </w:rPr>
        <w:t>τη</w:t>
      </w:r>
      <w:r w:rsidRPr="005D4F21">
        <w:rPr>
          <w:lang w:bidi="he-IL"/>
        </w:rPr>
        <w:t>͂</w:t>
      </w:r>
      <w:r>
        <w:rPr>
          <w:lang w:val="el-GR" w:bidi="he-IL"/>
        </w:rPr>
        <w:t>ς</w:t>
      </w:r>
      <w:r w:rsidRPr="005D4F21">
        <w:rPr>
          <w:lang w:bidi="he-IL"/>
        </w:rPr>
        <w:t xml:space="preserve"> </w:t>
      </w:r>
      <w:r>
        <w:rPr>
          <w:lang w:val="el-GR" w:bidi="he-IL"/>
        </w:rPr>
        <w:t>γη</w:t>
      </w:r>
      <w:r w:rsidRPr="005D4F21">
        <w:rPr>
          <w:lang w:bidi="he-IL"/>
        </w:rPr>
        <w:t>͂</w:t>
      </w:r>
      <w:r>
        <w:rPr>
          <w:lang w:val="el-GR" w:bidi="he-IL"/>
        </w:rPr>
        <w:t>ς</w:t>
      </w:r>
      <w:r w:rsidR="00B1202B">
        <w:rPr>
          <w:lang w:bidi="he-IL"/>
        </w:rPr>
        <w:t xml:space="preserve"> (on the earth)</w:t>
      </w:r>
      <w:r>
        <w:rPr>
          <w:lang w:bidi="he-IL"/>
        </w:rPr>
        <w:t xml:space="preserve">, while Matthew and Luke end with the complementary infinitive and its subject, </w:t>
      </w:r>
      <w:r>
        <w:rPr>
          <w:lang w:val="el-GR" w:bidi="he-IL"/>
        </w:rPr>
        <w:t>α</w:t>
      </w:r>
      <w:r w:rsidRPr="00D96DB6">
        <w:rPr>
          <w:lang w:bidi="he-IL"/>
        </w:rPr>
        <w:t>̓</w:t>
      </w:r>
      <w:r>
        <w:rPr>
          <w:lang w:val="el-GR" w:bidi="he-IL"/>
        </w:rPr>
        <w:t>φιε</w:t>
      </w:r>
      <w:r w:rsidRPr="00D96DB6">
        <w:rPr>
          <w:lang w:bidi="he-IL"/>
        </w:rPr>
        <w:t>́</w:t>
      </w:r>
      <w:r w:rsidR="00B1202B">
        <w:rPr>
          <w:lang w:val="el-GR" w:bidi="he-IL"/>
        </w:rPr>
        <w:t>ν</w:t>
      </w:r>
      <w:r>
        <w:rPr>
          <w:lang w:val="el-GR" w:bidi="he-IL"/>
        </w:rPr>
        <w:t>αι</w:t>
      </w:r>
      <w:r w:rsidRPr="00D96DB6">
        <w:rPr>
          <w:lang w:bidi="he-IL"/>
        </w:rPr>
        <w:t xml:space="preserve"> </w:t>
      </w:r>
      <w:r>
        <w:rPr>
          <w:lang w:val="el-GR" w:bidi="he-IL"/>
        </w:rPr>
        <w:t>α</w:t>
      </w:r>
      <w:r w:rsidRPr="00D96DB6">
        <w:rPr>
          <w:lang w:bidi="he-IL"/>
        </w:rPr>
        <w:t>̔</w:t>
      </w:r>
      <w:r>
        <w:rPr>
          <w:lang w:val="el-GR" w:bidi="he-IL"/>
        </w:rPr>
        <w:t>μαρτι</w:t>
      </w:r>
      <w:r w:rsidRPr="00D96DB6">
        <w:rPr>
          <w:lang w:bidi="he-IL"/>
        </w:rPr>
        <w:t>́</w:t>
      </w:r>
      <w:r>
        <w:rPr>
          <w:lang w:val="el-GR" w:bidi="he-IL"/>
        </w:rPr>
        <w:t>ας</w:t>
      </w:r>
      <w:r w:rsidR="00B1202B">
        <w:rPr>
          <w:lang w:bidi="he-IL"/>
        </w:rPr>
        <w:t xml:space="preserve"> (to forgive sins)</w:t>
      </w:r>
      <w:r w:rsidRPr="00D96DB6">
        <w:rPr>
          <w:lang w:bidi="he-IL"/>
        </w:rPr>
        <w:t>.</w:t>
      </w:r>
    </w:p>
  </w:footnote>
  <w:footnote w:id="65">
    <w:p w14:paraId="77A4BE6A" w14:textId="12AAA359" w:rsidR="00F21615" w:rsidRDefault="00F21615" w:rsidP="00C35AA5">
      <w:pPr>
        <w:pStyle w:val="FootnoteText"/>
        <w:ind w:firstLine="720"/>
      </w:pPr>
      <w:r>
        <w:rPr>
          <w:rStyle w:val="FootnoteReference"/>
        </w:rPr>
        <w:footnoteRef/>
      </w:r>
      <w:r>
        <w:t xml:space="preserve"> </w:t>
      </w:r>
      <w:r w:rsidR="00316904">
        <w:t xml:space="preserve">The confirmation that the Son of Man has authority to forgive sins is thus demonstrated </w:t>
      </w:r>
      <w:r w:rsidR="00316904" w:rsidRPr="00C72BB2">
        <w:rPr>
          <w:i/>
          <w:iCs/>
        </w:rPr>
        <w:t>a fortiori</w:t>
      </w:r>
      <w:r w:rsidR="00B22FF7">
        <w:t xml:space="preserve"> (Marshall, </w:t>
      </w:r>
      <w:r w:rsidR="00B22FF7" w:rsidRPr="00C35AA5">
        <w:rPr>
          <w:i/>
          <w:iCs/>
        </w:rPr>
        <w:t>Gospel of Luke</w:t>
      </w:r>
      <w:r w:rsidR="00B22FF7">
        <w:t>, 214</w:t>
      </w:r>
      <w:r w:rsidR="00C72BB2">
        <w:t xml:space="preserve">; cf. Bovon, </w:t>
      </w:r>
      <w:r w:rsidR="00C72BB2" w:rsidRPr="00C35AA5">
        <w:rPr>
          <w:i/>
          <w:iCs/>
        </w:rPr>
        <w:t>Luke</w:t>
      </w:r>
      <w:r w:rsidR="00C72BB2">
        <w:t>, 1:</w:t>
      </w:r>
      <w:r w:rsidR="00C35AA5">
        <w:t>183</w:t>
      </w:r>
      <w:r w:rsidR="00B22FF7">
        <w:t xml:space="preserve">). Some commentators, however, </w:t>
      </w:r>
      <w:r w:rsidR="00A07647">
        <w:t xml:space="preserve">do not see this demonstration as proof of </w:t>
      </w:r>
      <w:r w:rsidR="00F509A5">
        <w:t>from</w:t>
      </w:r>
      <w:r w:rsidR="0027735A">
        <w:t xml:space="preserve"> the lesser to the greater</w:t>
      </w:r>
    </w:p>
  </w:footnote>
  <w:footnote w:id="66">
    <w:p w14:paraId="7AFC976A" w14:textId="18F6CC41" w:rsidR="0040368A" w:rsidRDefault="0040368A" w:rsidP="0040368A">
      <w:pPr>
        <w:pStyle w:val="FootnoteText"/>
        <w:ind w:firstLine="720"/>
      </w:pPr>
      <w:r>
        <w:rPr>
          <w:rStyle w:val="FootnoteReference"/>
        </w:rPr>
        <w:footnoteRef/>
      </w:r>
      <w:r>
        <w:t xml:space="preserve"> See </w:t>
      </w:r>
      <w:hyperlink r:id="rId8" w:history="1">
        <w:r>
          <w:rPr>
            <w:rStyle w:val="Hyperlink"/>
          </w:rPr>
          <w:t>https://dchristensen7452.github.io/GospelData/synopses/43Paralytic.html</w:t>
        </w:r>
      </w:hyperlink>
      <w:r>
        <w:t>.</w:t>
      </w:r>
    </w:p>
  </w:footnote>
  <w:footnote w:id="67">
    <w:p w14:paraId="6BE5F717" w14:textId="22E726F9" w:rsidR="00E67443" w:rsidRDefault="00E67443" w:rsidP="00184D16">
      <w:pPr>
        <w:pStyle w:val="FootnoteText"/>
        <w:ind w:firstLine="720"/>
      </w:pPr>
      <w:r>
        <w:rPr>
          <w:rStyle w:val="FootnoteReference"/>
        </w:rPr>
        <w:footnoteRef/>
      </w:r>
      <w:r>
        <w:t xml:space="preserve"> </w:t>
      </w:r>
      <w:r w:rsidR="0059093D">
        <w:t>9 out of 126 for Matthew; 9 out of 213 for Luke.</w:t>
      </w:r>
      <w:r w:rsidR="003D62C7">
        <w:t xml:space="preserve"> The percentage for words that match only in form is only slightly higher. 13 out of 126 for Matthew, </w:t>
      </w:r>
      <w:r w:rsidR="002908AC">
        <w:t xml:space="preserve">about 10%; 13 out of 213 for Luke, about </w:t>
      </w:r>
      <w:r w:rsidR="00BC33EA">
        <w:t>6%.</w:t>
      </w:r>
    </w:p>
  </w:footnote>
  <w:footnote w:id="68">
    <w:p w14:paraId="10C06C5A" w14:textId="34336A25" w:rsidR="00E552BA" w:rsidRPr="00043954" w:rsidRDefault="00E552BA" w:rsidP="00E552BA">
      <w:pPr>
        <w:pStyle w:val="FootnoteText"/>
        <w:ind w:firstLine="720"/>
      </w:pPr>
      <w:r>
        <w:rPr>
          <w:rStyle w:val="FootnoteReference"/>
        </w:rPr>
        <w:footnoteRef/>
      </w:r>
      <w:r w:rsidRPr="00043954">
        <w:t xml:space="preserve"> So Bovon, </w:t>
      </w:r>
      <w:r w:rsidRPr="00043954">
        <w:rPr>
          <w:i/>
          <w:iCs/>
        </w:rPr>
        <w:t>Luke</w:t>
      </w:r>
      <w:r w:rsidRPr="00043954">
        <w:t>, 1:180.</w:t>
      </w:r>
      <w:r w:rsidR="00C9283D" w:rsidRPr="00043954">
        <w:t xml:space="preserve"> </w:t>
      </w:r>
      <w:r w:rsidR="0081120F">
        <w:t xml:space="preserve">Albright and Mann, </w:t>
      </w:r>
      <w:r w:rsidR="00686A2D" w:rsidRPr="00686A2D">
        <w:rPr>
          <w:i/>
          <w:iCs/>
        </w:rPr>
        <w:t>Matthew</w:t>
      </w:r>
      <w:r w:rsidR="00686A2D">
        <w:t xml:space="preserve">, 104. </w:t>
      </w:r>
      <w:r w:rsidR="00C9283D" w:rsidRPr="00043954">
        <w:t xml:space="preserve">Cf. Luz, </w:t>
      </w:r>
      <w:r w:rsidR="00C9283D" w:rsidRPr="00043954">
        <w:rPr>
          <w:i/>
          <w:iCs/>
        </w:rPr>
        <w:t>Matthew</w:t>
      </w:r>
      <w:r w:rsidR="00C9283D" w:rsidRPr="00043954">
        <w:t>, 27</w:t>
      </w:r>
      <w:r w:rsidR="00461A25" w:rsidRPr="00043954">
        <w:t>.</w:t>
      </w:r>
    </w:p>
  </w:footnote>
  <w:footnote w:id="69">
    <w:p w14:paraId="74668AD8" w14:textId="5E985D98" w:rsidR="00722C17" w:rsidRPr="00722C17" w:rsidRDefault="00722C17" w:rsidP="00722C17">
      <w:pPr>
        <w:pStyle w:val="FootnoteText"/>
        <w:ind w:firstLine="720"/>
        <w:rPr>
          <w:lang w:bidi="he-IL"/>
        </w:rPr>
      </w:pPr>
      <w:r>
        <w:rPr>
          <w:rStyle w:val="FootnoteReference"/>
        </w:rPr>
        <w:footnoteRef/>
      </w:r>
      <w:r>
        <w:t xml:space="preserve"> Luke omits </w:t>
      </w:r>
      <w:r>
        <w:rPr>
          <w:lang w:val="el-GR"/>
        </w:rPr>
        <w:t>ο</w:t>
      </w:r>
      <w:r w:rsidRPr="00722C17">
        <w:t xml:space="preserve">̔ </w:t>
      </w:r>
      <w:r>
        <w:rPr>
          <w:lang w:val="el-GR"/>
        </w:rPr>
        <w:t>Ι</w:t>
      </w:r>
      <w:r w:rsidRPr="00722C17">
        <w:t>̓</w:t>
      </w:r>
      <w:r>
        <w:rPr>
          <w:lang w:val="el-GR"/>
        </w:rPr>
        <w:t>ησου</w:t>
      </w:r>
      <w:r w:rsidRPr="00722C17">
        <w:t>͂</w:t>
      </w:r>
      <w:r>
        <w:rPr>
          <w:lang w:val="el-GR"/>
        </w:rPr>
        <w:t>ς</w:t>
      </w:r>
      <w:r w:rsidRPr="00722C17">
        <w:t xml:space="preserve"> </w:t>
      </w:r>
      <w:r>
        <w:rPr>
          <w:lang w:bidi="he-IL"/>
        </w:rPr>
        <w:t>(Jesus) as the explicit subject.</w:t>
      </w:r>
    </w:p>
  </w:footnote>
  <w:footnote w:id="70">
    <w:p w14:paraId="60F37CBA" w14:textId="66051939" w:rsidR="00935B55" w:rsidRPr="002D34CB" w:rsidRDefault="00935B55" w:rsidP="00F10379">
      <w:pPr>
        <w:pStyle w:val="FootnoteText"/>
        <w:ind w:firstLine="720"/>
        <w:rPr>
          <w:lang w:bidi="he-IL"/>
        </w:rPr>
      </w:pPr>
      <w:r>
        <w:rPr>
          <w:rStyle w:val="FootnoteReference"/>
        </w:rPr>
        <w:footnoteRef/>
      </w:r>
      <w:r>
        <w:t xml:space="preserve"> </w:t>
      </w:r>
      <w:r w:rsidR="0094008D">
        <w:t>Luke put the main verb in the perfect (</w:t>
      </w:r>
      <w:r w:rsidR="0094008D">
        <w:rPr>
          <w:lang w:val="el-GR"/>
        </w:rPr>
        <w:t>α</w:t>
      </w:r>
      <w:r w:rsidR="0094008D" w:rsidRPr="0094008D">
        <w:t>̓</w:t>
      </w:r>
      <w:r w:rsidR="0094008D">
        <w:rPr>
          <w:lang w:val="el-GR"/>
        </w:rPr>
        <w:t>φε</w:t>
      </w:r>
      <w:r w:rsidR="0094008D" w:rsidRPr="0094008D">
        <w:t>́</w:t>
      </w:r>
      <w:r w:rsidR="0094008D">
        <w:rPr>
          <w:lang w:val="el-GR"/>
        </w:rPr>
        <w:t>ωνται</w:t>
      </w:r>
      <w:r w:rsidR="0094008D" w:rsidRPr="0094008D">
        <w:t>́</w:t>
      </w:r>
      <w:r w:rsidR="001C7AFA">
        <w:t>, have been forgiven</w:t>
      </w:r>
      <w:r w:rsidR="001C7AFA">
        <w:rPr>
          <w:lang w:bidi="he-IL"/>
        </w:rPr>
        <w:t xml:space="preserve">) and includes an indirect object </w:t>
      </w:r>
      <w:r w:rsidR="001C7AFA">
        <w:rPr>
          <w:lang w:val="el-GR" w:bidi="he-IL"/>
        </w:rPr>
        <w:t>σοι</w:t>
      </w:r>
      <w:r w:rsidR="001C7AFA" w:rsidRPr="001C7AFA">
        <w:rPr>
          <w:lang w:bidi="he-IL"/>
        </w:rPr>
        <w:t xml:space="preserve"> </w:t>
      </w:r>
      <w:r w:rsidR="001C7AFA">
        <w:rPr>
          <w:lang w:bidi="he-IL"/>
        </w:rPr>
        <w:t>(to you).</w:t>
      </w:r>
      <w:r w:rsidR="00F10379">
        <w:rPr>
          <w:lang w:bidi="he-IL"/>
        </w:rPr>
        <w:t xml:space="preserve"> Luke also puts to possessive </w:t>
      </w:r>
      <w:r w:rsidR="002D34CB">
        <w:rPr>
          <w:lang w:val="el-GR" w:bidi="he-IL"/>
        </w:rPr>
        <w:t>σου</w:t>
      </w:r>
      <w:r w:rsidR="002D34CB" w:rsidRPr="002D34CB">
        <w:rPr>
          <w:lang w:bidi="he-IL"/>
        </w:rPr>
        <w:t xml:space="preserve"> </w:t>
      </w:r>
      <w:r w:rsidR="002D34CB">
        <w:rPr>
          <w:lang w:bidi="he-IL"/>
        </w:rPr>
        <w:t>(of you) after the subject.</w:t>
      </w:r>
    </w:p>
  </w:footnote>
  <w:footnote w:id="71">
    <w:p w14:paraId="589E723A" w14:textId="2095C729" w:rsidR="00E07F55" w:rsidRDefault="00E07F55" w:rsidP="0028358C">
      <w:pPr>
        <w:pStyle w:val="FootnoteText"/>
        <w:ind w:firstLine="720"/>
      </w:pPr>
      <w:r>
        <w:rPr>
          <w:rStyle w:val="FootnoteReference"/>
        </w:rPr>
        <w:footnoteRef/>
      </w:r>
      <w:r>
        <w:t xml:space="preserve"> Tannehill, </w:t>
      </w:r>
      <w:r w:rsidRPr="0028358C">
        <w:rPr>
          <w:i/>
          <w:iCs/>
        </w:rPr>
        <w:t>Narrative Unity of Luke-Acts</w:t>
      </w:r>
      <w:r>
        <w:t xml:space="preserve">, </w:t>
      </w:r>
      <w:r w:rsidR="00BB28CF">
        <w:t>1:</w:t>
      </w:r>
      <w:r w:rsidR="00CA18C5">
        <w:t xml:space="preserve">103–126; Bovon, </w:t>
      </w:r>
      <w:r w:rsidR="00CA18C5" w:rsidRPr="0028358C">
        <w:rPr>
          <w:i/>
          <w:iCs/>
        </w:rPr>
        <w:t>Luke</w:t>
      </w:r>
      <w:r w:rsidR="00CA18C5">
        <w:t>, 1:182</w:t>
      </w:r>
      <w:r w:rsidR="00BB28CF">
        <w:t xml:space="preserve">; </w:t>
      </w:r>
      <w:r w:rsidR="004D4BD6">
        <w:t xml:space="preserve">Luz, </w:t>
      </w:r>
      <w:r w:rsidR="004D4BD6" w:rsidRPr="004D4BD6">
        <w:rPr>
          <w:i/>
          <w:iCs/>
        </w:rPr>
        <w:t>Matthew</w:t>
      </w:r>
      <w:r w:rsidR="004D4BD6">
        <w:t>, 28–29.</w:t>
      </w:r>
    </w:p>
  </w:footnote>
  <w:footnote w:id="72">
    <w:p w14:paraId="5EF498E3" w14:textId="0CC2DB0B" w:rsidR="00513F5F" w:rsidRPr="007C1DBA" w:rsidRDefault="00513F5F" w:rsidP="0024367F">
      <w:pPr>
        <w:pStyle w:val="FootnoteText"/>
        <w:ind w:firstLine="720"/>
        <w:rPr>
          <w:lang w:bidi="he-IL"/>
        </w:rPr>
      </w:pPr>
      <w:r>
        <w:rPr>
          <w:rStyle w:val="FootnoteReference"/>
        </w:rPr>
        <w:footnoteRef/>
      </w:r>
      <w:r>
        <w:t xml:space="preserve"> Matthew mentions </w:t>
      </w:r>
      <w:r w:rsidR="00050D51">
        <w:rPr>
          <w:lang w:val="el-GR"/>
        </w:rPr>
        <w:t>α</w:t>
      </w:r>
      <w:r w:rsidR="00050D51" w:rsidRPr="007C1DBA">
        <w:t>̔</w:t>
      </w:r>
      <w:r w:rsidR="00050D51">
        <w:rPr>
          <w:lang w:val="el-GR"/>
        </w:rPr>
        <w:t>μαρτι</w:t>
      </w:r>
      <w:r w:rsidR="00050D51" w:rsidRPr="007C1DBA">
        <w:t>́</w:t>
      </w:r>
      <w:r w:rsidR="00050D51">
        <w:rPr>
          <w:lang w:val="el-GR"/>
        </w:rPr>
        <w:t>α</w:t>
      </w:r>
      <w:r w:rsidR="00050D51" w:rsidRPr="007C1DBA">
        <w:t xml:space="preserve"> </w:t>
      </w:r>
      <w:r w:rsidR="00050D51">
        <w:rPr>
          <w:lang w:bidi="he-IL"/>
        </w:rPr>
        <w:t>(si</w:t>
      </w:r>
      <w:r w:rsidR="007C1DBA">
        <w:rPr>
          <w:lang w:bidi="he-IL"/>
        </w:rPr>
        <w:t xml:space="preserve">n) and </w:t>
      </w:r>
      <w:r w:rsidR="007C1DBA">
        <w:rPr>
          <w:lang w:val="el-GR" w:bidi="he-IL"/>
        </w:rPr>
        <w:t>α</w:t>
      </w:r>
      <w:r w:rsidR="007C1DBA" w:rsidRPr="007C1DBA">
        <w:rPr>
          <w:lang w:bidi="he-IL"/>
        </w:rPr>
        <w:t>̔</w:t>
      </w:r>
      <w:r w:rsidR="007C1DBA">
        <w:rPr>
          <w:lang w:val="el-GR" w:bidi="he-IL"/>
        </w:rPr>
        <w:t>μαρτωλο</w:t>
      </w:r>
      <w:r w:rsidR="007C1DBA" w:rsidRPr="007C1DBA">
        <w:rPr>
          <w:lang w:bidi="he-IL"/>
        </w:rPr>
        <w:t>́</w:t>
      </w:r>
      <w:r w:rsidR="007C1DBA">
        <w:rPr>
          <w:lang w:val="el-GR" w:bidi="he-IL"/>
        </w:rPr>
        <w:t>ς</w:t>
      </w:r>
      <w:r w:rsidR="007C1DBA" w:rsidRPr="007C1DBA">
        <w:rPr>
          <w:lang w:bidi="he-IL"/>
        </w:rPr>
        <w:t xml:space="preserve"> </w:t>
      </w:r>
      <w:r w:rsidR="007C1DBA">
        <w:rPr>
          <w:lang w:bidi="he-IL"/>
        </w:rPr>
        <w:t>(sinners) 15 times (</w:t>
      </w:r>
      <w:r w:rsidR="00286851">
        <w:rPr>
          <w:lang w:bidi="he-IL"/>
        </w:rPr>
        <w:t>1:21; 3:6; 9:2, 5, 6, 10, 11, 13</w:t>
      </w:r>
      <w:r w:rsidR="00B210E1">
        <w:rPr>
          <w:lang w:bidi="he-IL"/>
        </w:rPr>
        <w:t>; 11:19; 12:31; 18:15, 21; 26:28, 45).</w:t>
      </w:r>
      <w:r w:rsidR="0035146E">
        <w:rPr>
          <w:lang w:bidi="he-IL"/>
        </w:rPr>
        <w:t xml:space="preserve"> Luke mentions them </w:t>
      </w:r>
      <w:r w:rsidR="001C0035">
        <w:rPr>
          <w:lang w:bidi="he-IL"/>
        </w:rPr>
        <w:t xml:space="preserve">33 times (1:77; 3:3; 5:8, 20, 21, 23, 24, 30, </w:t>
      </w:r>
      <w:r w:rsidR="000C58D6">
        <w:rPr>
          <w:lang w:bidi="he-IL"/>
        </w:rPr>
        <w:t>32; 6:32–34; 7:34, 37, 39, 47</w:t>
      </w:r>
      <w:r w:rsidR="00992BEA">
        <w:rPr>
          <w:lang w:bidi="he-IL"/>
        </w:rPr>
        <w:t>–</w:t>
      </w:r>
      <w:r w:rsidR="000C58D6">
        <w:rPr>
          <w:lang w:bidi="he-IL"/>
        </w:rPr>
        <w:t>49</w:t>
      </w:r>
      <w:r w:rsidR="00992BEA">
        <w:rPr>
          <w:lang w:bidi="he-IL"/>
        </w:rPr>
        <w:t>; 11:4; 13:2; 15:1–2, 7, 10, 18, 21; 17:3</w:t>
      </w:r>
      <w:r w:rsidR="00140FEA">
        <w:rPr>
          <w:lang w:bidi="he-IL"/>
        </w:rPr>
        <w:t>–4; 18:13; 19:7</w:t>
      </w:r>
      <w:r w:rsidR="00E5370C">
        <w:rPr>
          <w:lang w:bidi="he-IL"/>
        </w:rPr>
        <w:t>;</w:t>
      </w:r>
      <w:r w:rsidR="00140FEA">
        <w:rPr>
          <w:lang w:bidi="he-IL"/>
        </w:rPr>
        <w:t xml:space="preserve"> 24:7, 47</w:t>
      </w:r>
      <w:r w:rsidR="009E47A7">
        <w:rPr>
          <w:lang w:bidi="he-IL"/>
        </w:rPr>
        <w:t>).</w:t>
      </w:r>
    </w:p>
  </w:footnote>
  <w:footnote w:id="73">
    <w:p w14:paraId="1397B6B7" w14:textId="07B692D0" w:rsidR="002C1D2C" w:rsidRDefault="002C1D2C" w:rsidP="00DC2B89">
      <w:pPr>
        <w:pStyle w:val="FootnoteText"/>
        <w:ind w:firstLine="720"/>
      </w:pPr>
      <w:r>
        <w:rPr>
          <w:rStyle w:val="FootnoteReference"/>
        </w:rPr>
        <w:footnoteRef/>
      </w:r>
      <w:r>
        <w:t xml:space="preserve"> Elsewhere Jesus is i</w:t>
      </w:r>
      <w:r w:rsidR="0025360B">
        <w:t>nvolved with sinners but does not proclaim forgiveness (e.g. Mt 11:19</w:t>
      </w:r>
      <w:r w:rsidR="00026750">
        <w:t>) or he</w:t>
      </w:r>
      <w:r w:rsidR="00B5109A">
        <w:t xml:space="preserve"> speaks about forgiveness in relation to sins but does not himself proclaim forgiveness (Mt </w:t>
      </w:r>
      <w:r w:rsidR="003A2585">
        <w:t>12:31; 18:15).</w:t>
      </w:r>
    </w:p>
  </w:footnote>
  <w:footnote w:id="74">
    <w:p w14:paraId="7922040C" w14:textId="6D2E9A6C" w:rsidR="001624EF" w:rsidRDefault="001624EF" w:rsidP="00077BB5">
      <w:pPr>
        <w:pStyle w:val="FootnoteText"/>
        <w:ind w:firstLine="720"/>
      </w:pPr>
      <w:r>
        <w:rPr>
          <w:rStyle w:val="FootnoteReference"/>
        </w:rPr>
        <w:footnoteRef/>
      </w:r>
      <w:r>
        <w:t xml:space="preserve"> Nolland, </w:t>
      </w:r>
      <w:r w:rsidRPr="00077BB5">
        <w:rPr>
          <w:i/>
          <w:iCs/>
        </w:rPr>
        <w:t>Gospel of Matthew</w:t>
      </w:r>
      <w:r>
        <w:t xml:space="preserve">, 99; </w:t>
      </w:r>
      <w:r w:rsidR="00A956DE">
        <w:t xml:space="preserve">Morris, </w:t>
      </w:r>
      <w:r w:rsidR="00A956DE" w:rsidRPr="00077BB5">
        <w:rPr>
          <w:i/>
          <w:iCs/>
        </w:rPr>
        <w:t>Gospel According to Matthew</w:t>
      </w:r>
      <w:r w:rsidR="00A956DE">
        <w:t xml:space="preserve">, </w:t>
      </w:r>
      <w:r w:rsidR="00077BB5">
        <w:t>30.</w:t>
      </w:r>
    </w:p>
  </w:footnote>
  <w:footnote w:id="75">
    <w:p w14:paraId="11EC2299" w14:textId="799B463C" w:rsidR="00B52A84" w:rsidRDefault="00B52A84" w:rsidP="00B52A84">
      <w:pPr>
        <w:pStyle w:val="FootnoteText"/>
        <w:ind w:firstLine="720"/>
      </w:pPr>
      <w:r>
        <w:rPr>
          <w:rStyle w:val="FootnoteReference"/>
        </w:rPr>
        <w:footnoteRef/>
      </w:r>
      <w:r>
        <w:t xml:space="preserve"> “For he will save his people from their sins.”</w:t>
      </w:r>
    </w:p>
  </w:footnote>
  <w:footnote w:id="76">
    <w:p w14:paraId="16D9E0F8" w14:textId="77777777" w:rsidR="00C011FD" w:rsidRDefault="00C011FD" w:rsidP="00C011FD">
      <w:pPr>
        <w:pStyle w:val="FootnoteText"/>
        <w:ind w:firstLine="720"/>
      </w:pPr>
      <w:r w:rsidRPr="00135604">
        <w:rPr>
          <w:rStyle w:val="FootnoteReference"/>
        </w:rPr>
        <w:footnoteRef/>
      </w:r>
      <w:r w:rsidRPr="00135604">
        <w:t xml:space="preserve"> On the programmatic nature of Matthew’s Emmanuel theme see David D. Kupp, </w:t>
      </w:r>
      <w:r w:rsidRPr="00135604">
        <w:rPr>
          <w:i/>
          <w:iCs/>
        </w:rPr>
        <w:t>Matthew’s Emmanuel: Divine Presence and God’s People in the First Gospel</w:t>
      </w:r>
      <w:r w:rsidRPr="00135604">
        <w:t>, SNTSMS 90 (New York: Cambridge University Press, 1996).</w:t>
      </w:r>
    </w:p>
  </w:footnote>
  <w:footnote w:id="77">
    <w:p w14:paraId="5B48551A" w14:textId="05340092" w:rsidR="00C4106C" w:rsidRPr="00A97044" w:rsidRDefault="00C4106C" w:rsidP="00B17703">
      <w:pPr>
        <w:pStyle w:val="FootnoteText"/>
        <w:ind w:firstLine="720"/>
        <w:rPr>
          <w:lang w:bidi="he-IL"/>
        </w:rPr>
      </w:pPr>
      <w:r>
        <w:rPr>
          <w:rStyle w:val="FootnoteReference"/>
        </w:rPr>
        <w:footnoteRef/>
      </w:r>
      <w:r w:rsidRPr="00A97044">
        <w:t xml:space="preserve"> </w:t>
      </w:r>
      <w:r w:rsidR="00894A29" w:rsidRPr="00A97044">
        <w:rPr>
          <w:lang w:bidi="he-IL"/>
        </w:rPr>
        <w:t xml:space="preserve">“And behold, </w:t>
      </w:r>
      <w:r w:rsidR="00A97044" w:rsidRPr="00A97044">
        <w:rPr>
          <w:lang w:bidi="he-IL"/>
        </w:rPr>
        <w:t>I a</w:t>
      </w:r>
      <w:r w:rsidR="00A97044">
        <w:rPr>
          <w:lang w:bidi="he-IL"/>
        </w:rPr>
        <w:t xml:space="preserve">m with you </w:t>
      </w:r>
      <w:r w:rsidR="004530AF">
        <w:rPr>
          <w:lang w:bidi="he-IL"/>
        </w:rPr>
        <w:t xml:space="preserve">always, </w:t>
      </w:r>
      <w:r w:rsidR="00A95381">
        <w:rPr>
          <w:lang w:bidi="he-IL"/>
        </w:rPr>
        <w:t>until the end of the age</w:t>
      </w:r>
      <w:r w:rsidR="00B17703">
        <w:rPr>
          <w:lang w:bidi="he-IL"/>
        </w:rPr>
        <w:t>.”</w:t>
      </w:r>
      <w:r w:rsidR="00202A1C">
        <w:rPr>
          <w:lang w:bidi="he-IL"/>
        </w:rPr>
        <w:t xml:space="preserve"> Morris, </w:t>
      </w:r>
      <w:r w:rsidR="001458D1" w:rsidRPr="0045701A">
        <w:rPr>
          <w:i/>
          <w:iCs/>
          <w:lang w:bidi="he-IL"/>
        </w:rPr>
        <w:t>Gospel According to Matthew</w:t>
      </w:r>
      <w:r w:rsidR="001458D1">
        <w:rPr>
          <w:lang w:bidi="he-IL"/>
        </w:rPr>
        <w:t>, 749–750.</w:t>
      </w:r>
    </w:p>
  </w:footnote>
  <w:footnote w:id="78">
    <w:p w14:paraId="33BE962F" w14:textId="7D9A70BC" w:rsidR="00A37EB9" w:rsidRPr="00125D2E" w:rsidRDefault="00A37EB9" w:rsidP="00C71CAE">
      <w:pPr>
        <w:pStyle w:val="FootnoteText"/>
        <w:ind w:firstLine="720"/>
      </w:pPr>
      <w:r>
        <w:rPr>
          <w:rStyle w:val="FootnoteReference"/>
        </w:rPr>
        <w:footnoteRef/>
      </w:r>
      <w:r>
        <w:t xml:space="preserve"> </w:t>
      </w:r>
      <w:r w:rsidR="005460D9">
        <w:t xml:space="preserve">Commentators </w:t>
      </w:r>
      <w:r w:rsidR="00125D2E">
        <w:t xml:space="preserve">seem to take </w:t>
      </w:r>
      <w:r w:rsidR="00125D2E" w:rsidRPr="0006344E">
        <w:rPr>
          <w:lang w:val="el-GR" w:bidi="he-IL"/>
        </w:rPr>
        <w:t>τοῖς</w:t>
      </w:r>
      <w:r w:rsidR="00125D2E" w:rsidRPr="0006344E">
        <w:rPr>
          <w:lang w:bidi="he-IL"/>
        </w:rPr>
        <w:t xml:space="preserve"> </w:t>
      </w:r>
      <w:r w:rsidR="00125D2E" w:rsidRPr="0006344E">
        <w:rPr>
          <w:lang w:val="el-GR" w:bidi="he-IL"/>
        </w:rPr>
        <w:t>ἀνθρώποις</w:t>
      </w:r>
      <w:r w:rsidR="00125D2E">
        <w:rPr>
          <w:lang w:bidi="he-IL"/>
        </w:rPr>
        <w:t xml:space="preserve"> in two ways. (1) As a reminder </w:t>
      </w:r>
      <w:r w:rsidR="00F80B78">
        <w:rPr>
          <w:lang w:bidi="he-IL"/>
        </w:rPr>
        <w:t>to the church that they too have authority to forgive sins</w:t>
      </w:r>
      <w:r w:rsidR="00054E51">
        <w:rPr>
          <w:lang w:bidi="he-IL"/>
        </w:rPr>
        <w:t>, a sort of communal participation if for</w:t>
      </w:r>
      <w:r w:rsidR="008C0944">
        <w:rPr>
          <w:lang w:bidi="he-IL"/>
        </w:rPr>
        <w:t>giving</w:t>
      </w:r>
      <w:r w:rsidR="00570064">
        <w:rPr>
          <w:lang w:bidi="he-IL"/>
        </w:rPr>
        <w:t xml:space="preserve"> (Luz, </w:t>
      </w:r>
      <w:r w:rsidR="00570064" w:rsidRPr="008C0944">
        <w:rPr>
          <w:i/>
          <w:iCs/>
          <w:lang w:bidi="he-IL"/>
        </w:rPr>
        <w:t>Matthew</w:t>
      </w:r>
      <w:r w:rsidR="00C53749">
        <w:rPr>
          <w:lang w:bidi="he-IL"/>
        </w:rPr>
        <w:t>, 28</w:t>
      </w:r>
      <w:r w:rsidR="008C0944">
        <w:rPr>
          <w:lang w:bidi="he-IL"/>
        </w:rPr>
        <w:t xml:space="preserve">; Nolland, </w:t>
      </w:r>
      <w:r w:rsidR="008C0944" w:rsidRPr="008C0944">
        <w:rPr>
          <w:i/>
          <w:iCs/>
          <w:lang w:bidi="he-IL"/>
        </w:rPr>
        <w:t>Gospel of Matthew</w:t>
      </w:r>
      <w:r w:rsidR="008C0944">
        <w:rPr>
          <w:lang w:bidi="he-IL"/>
        </w:rPr>
        <w:t>, 383</w:t>
      </w:r>
      <w:r w:rsidR="00C53749">
        <w:rPr>
          <w:lang w:bidi="he-IL"/>
        </w:rPr>
        <w:t xml:space="preserve">), or (2) </w:t>
      </w:r>
      <w:r w:rsidR="00D539DA">
        <w:rPr>
          <w:lang w:bidi="he-IL"/>
        </w:rPr>
        <w:t xml:space="preserve">as an </w:t>
      </w:r>
      <w:r w:rsidR="005A2A1A">
        <w:rPr>
          <w:lang w:bidi="he-IL"/>
        </w:rPr>
        <w:t xml:space="preserve">indication of </w:t>
      </w:r>
      <w:r w:rsidR="00C46908">
        <w:rPr>
          <w:lang w:bidi="he-IL"/>
        </w:rPr>
        <w:t>heavenly</w:t>
      </w:r>
      <w:r w:rsidR="005A2A1A">
        <w:rPr>
          <w:lang w:bidi="he-IL"/>
        </w:rPr>
        <w:t xml:space="preserve"> action being done </w:t>
      </w:r>
      <w:r w:rsidR="00F97732">
        <w:rPr>
          <w:lang w:bidi="he-IL"/>
        </w:rPr>
        <w:t xml:space="preserve">on earth (Morris, </w:t>
      </w:r>
      <w:r w:rsidR="00F97732" w:rsidRPr="00C46908">
        <w:rPr>
          <w:i/>
          <w:iCs/>
          <w:lang w:bidi="he-IL"/>
        </w:rPr>
        <w:t>Gospel According to Matthew</w:t>
      </w:r>
      <w:r w:rsidR="00F97732">
        <w:rPr>
          <w:lang w:bidi="he-IL"/>
        </w:rPr>
        <w:t>, 218; Nolland</w:t>
      </w:r>
      <w:r w:rsidR="00C46908">
        <w:rPr>
          <w:lang w:bidi="he-IL"/>
        </w:rPr>
        <w:t xml:space="preserve">, </w:t>
      </w:r>
      <w:r w:rsidR="00C46908" w:rsidRPr="00C46908">
        <w:rPr>
          <w:i/>
          <w:iCs/>
          <w:lang w:bidi="he-IL"/>
        </w:rPr>
        <w:t>Gospel of Matthew</w:t>
      </w:r>
      <w:r w:rsidR="00C46908">
        <w:rPr>
          <w:lang w:bidi="he-IL"/>
        </w:rPr>
        <w:t>, 383).</w:t>
      </w:r>
    </w:p>
  </w:footnote>
  <w:footnote w:id="79">
    <w:p w14:paraId="241335C0" w14:textId="2F9A8CF0" w:rsidR="00066E39" w:rsidRPr="00066E39" w:rsidRDefault="00066E39" w:rsidP="00066E39">
      <w:pPr>
        <w:pStyle w:val="FootnoteText"/>
        <w:ind w:firstLine="720"/>
        <w:rPr>
          <w:lang w:bidi="he-IL"/>
        </w:rPr>
      </w:pPr>
      <w:r>
        <w:rPr>
          <w:rStyle w:val="FootnoteReference"/>
        </w:rPr>
        <w:footnoteRef/>
      </w:r>
      <w:r w:rsidRPr="00066E39">
        <w:t xml:space="preserve"> </w:t>
      </w:r>
      <w:r w:rsidRPr="00066E39">
        <w:rPr>
          <w:lang w:bidi="he-IL"/>
        </w:rPr>
        <w:t>“The Son of Man h</w:t>
      </w:r>
      <w:r>
        <w:rPr>
          <w:lang w:bidi="he-IL"/>
        </w:rPr>
        <w:t>as authority.”</w:t>
      </w:r>
      <w:r w:rsidR="00AD029E">
        <w:rPr>
          <w:lang w:bidi="he-IL"/>
        </w:rPr>
        <w:t xml:space="preserve"> Albright and Mann, </w:t>
      </w:r>
      <w:r w:rsidR="00AD029E" w:rsidRPr="00AD029E">
        <w:rPr>
          <w:i/>
          <w:iCs/>
          <w:lang w:bidi="he-IL"/>
        </w:rPr>
        <w:t>Matthew</w:t>
      </w:r>
      <w:r w:rsidR="00AD029E">
        <w:rPr>
          <w:lang w:bidi="he-IL"/>
        </w:rPr>
        <w:t>, 103.</w:t>
      </w:r>
    </w:p>
  </w:footnote>
  <w:footnote w:id="80">
    <w:p w14:paraId="545A4586" w14:textId="68F775B4" w:rsidR="0019181D" w:rsidRPr="00BA41DE" w:rsidRDefault="0019181D" w:rsidP="00D4754A">
      <w:pPr>
        <w:pStyle w:val="FootnoteText"/>
        <w:ind w:firstLine="720"/>
      </w:pPr>
      <w:r>
        <w:rPr>
          <w:rStyle w:val="FootnoteReference"/>
        </w:rPr>
        <w:footnoteRef/>
      </w:r>
      <w:r w:rsidRPr="00BA41DE">
        <w:t xml:space="preserve"> </w:t>
      </w:r>
      <w:r w:rsidR="00BA41DE" w:rsidRPr="00BA41DE">
        <w:t>Jesus thus acts as m</w:t>
      </w:r>
      <w:r w:rsidR="00BA41DE">
        <w:t>ore than a “broker” acting on God’s behalf</w:t>
      </w:r>
      <w:r w:rsidR="00DB178A">
        <w:t xml:space="preserve"> (</w:t>
      </w:r>
      <w:r w:rsidR="00B93C8D">
        <w:t>M</w:t>
      </w:r>
      <w:r w:rsidR="00D4754A">
        <w:t xml:space="preserve">alina and Rohrbaugh, </w:t>
      </w:r>
      <w:r w:rsidR="00D4754A" w:rsidRPr="00D4754A">
        <w:rPr>
          <w:i/>
          <w:iCs/>
        </w:rPr>
        <w:t>Social-Science Commentary on the Synoptic Gospel</w:t>
      </w:r>
      <w:r w:rsidR="00D4754A">
        <w:rPr>
          <w:i/>
          <w:iCs/>
        </w:rPr>
        <w:t>s</w:t>
      </w:r>
      <w:r w:rsidR="00D4754A">
        <w:t>, 59</w:t>
      </w:r>
      <w:r w:rsidR="00DB178A">
        <w:t>)</w:t>
      </w:r>
      <w:r w:rsidR="00D4754A">
        <w:t>.</w:t>
      </w:r>
    </w:p>
  </w:footnote>
  <w:footnote w:id="81">
    <w:p w14:paraId="6BF393D1" w14:textId="46638353" w:rsidR="00C979B4" w:rsidRPr="00A97044" w:rsidRDefault="00C979B4" w:rsidP="00C979B4">
      <w:pPr>
        <w:pStyle w:val="FootnoteText"/>
        <w:ind w:firstLine="720"/>
        <w:rPr>
          <w:lang w:val="de-DE"/>
        </w:rPr>
      </w:pPr>
      <w:r>
        <w:rPr>
          <w:rStyle w:val="FootnoteReference"/>
        </w:rPr>
        <w:footnoteRef/>
      </w:r>
      <w:r w:rsidRPr="00A97044">
        <w:rPr>
          <w:lang w:val="de-DE"/>
        </w:rPr>
        <w:t xml:space="preserve"> E.g. NRSV, NIV, ESV.</w:t>
      </w:r>
    </w:p>
  </w:footnote>
  <w:footnote w:id="82">
    <w:p w14:paraId="1A96EB27" w14:textId="74D9BAB2" w:rsidR="00EE6BCA" w:rsidRDefault="00EE6BCA" w:rsidP="00D33A0D">
      <w:pPr>
        <w:pStyle w:val="FootnoteText"/>
        <w:ind w:firstLine="720"/>
      </w:pPr>
      <w:r>
        <w:rPr>
          <w:rStyle w:val="FootnoteReference"/>
        </w:rPr>
        <w:footnoteRef/>
      </w:r>
      <w:r>
        <w:t xml:space="preserve"> This is to say that Jesus cannot be the recipient of the authority mentioned in this </w:t>
      </w:r>
      <w:r w:rsidR="005A7819">
        <w:t>phrase</w:t>
      </w:r>
      <w:r w:rsidR="000B3994">
        <w:t xml:space="preserve">, e.g. “And they glorified God </w:t>
      </w:r>
      <w:r w:rsidR="005A7819">
        <w:t>who had given this authority to the man.”</w:t>
      </w:r>
      <w:r w:rsidR="00211713">
        <w:t xml:space="preserve"> The </w:t>
      </w:r>
      <w:r w:rsidR="00973F95">
        <w:t>NLT</w:t>
      </w:r>
      <w:r w:rsidR="00CA3717">
        <w:t xml:space="preserve"> uses such a misinformed</w:t>
      </w:r>
      <w:r w:rsidR="00384674">
        <w:t xml:space="preserve"> translation: “</w:t>
      </w:r>
      <w:r w:rsidR="00384674" w:rsidRPr="00384674">
        <w:t>And they praised God for sending a man with such great authority</w:t>
      </w:r>
      <w:r w:rsidR="00384674">
        <w:t>.”</w:t>
      </w:r>
    </w:p>
  </w:footnote>
  <w:footnote w:id="83">
    <w:p w14:paraId="02D31185" w14:textId="1A5A5590" w:rsidR="00F176E0" w:rsidRDefault="00F176E0" w:rsidP="006A172C">
      <w:pPr>
        <w:pStyle w:val="FootnoteText"/>
        <w:ind w:firstLine="720"/>
      </w:pPr>
      <w:r>
        <w:rPr>
          <w:rStyle w:val="FootnoteReference"/>
        </w:rPr>
        <w:footnoteRef/>
      </w:r>
      <w:r>
        <w:t xml:space="preserve"> Though this should not be taken to mean that Son of Man in this instance refers to </w:t>
      </w:r>
      <w:r w:rsidR="00910BD1">
        <w:t xml:space="preserve">humanity as a communal entity. See Nolland, </w:t>
      </w:r>
      <w:r w:rsidR="00910BD1" w:rsidRPr="006A172C">
        <w:rPr>
          <w:i/>
          <w:iCs/>
        </w:rPr>
        <w:t>Matthew</w:t>
      </w:r>
      <w:r w:rsidR="00910BD1">
        <w:t>, 383</w:t>
      </w:r>
      <w:r w:rsidR="006A172C">
        <w:t>.</w:t>
      </w:r>
    </w:p>
  </w:footnote>
  <w:footnote w:id="84">
    <w:p w14:paraId="7E09BAA7" w14:textId="154E15DF" w:rsidR="00414616" w:rsidRDefault="00414616" w:rsidP="00333B6C">
      <w:pPr>
        <w:pStyle w:val="FootnoteText"/>
        <w:ind w:firstLine="720"/>
      </w:pPr>
      <w:r>
        <w:rPr>
          <w:rStyle w:val="FootnoteReference"/>
        </w:rPr>
        <w:footnoteRef/>
      </w:r>
      <w:r>
        <w:t xml:space="preserve"> </w:t>
      </w:r>
      <w:r w:rsidR="00E224BD">
        <w:t xml:space="preserve">This </w:t>
      </w:r>
      <w:r w:rsidR="00E224BD" w:rsidRPr="00E224BD">
        <w:t>may also be rendered as a dative of interest because the authority Jesus exhibits directly benefits humans</w:t>
      </w:r>
      <w:r w:rsidR="00E224BD">
        <w:t xml:space="preserve">: </w:t>
      </w:r>
      <w:r w:rsidR="00E224BD" w:rsidRPr="00E224BD">
        <w:t xml:space="preserve">“And they glorified God, who had given such authority for the benefit of </w:t>
      </w:r>
      <w:r w:rsidR="00CF332C">
        <w:t>humanity</w:t>
      </w:r>
      <w:r w:rsidR="00E224BD" w:rsidRPr="00E224BD">
        <w:t xml:space="preserve">” </w:t>
      </w:r>
      <w:r w:rsidR="00793B27">
        <w:t>(</w:t>
      </w:r>
      <w:r w:rsidR="000549B2">
        <w:t xml:space="preserve">Morris, </w:t>
      </w:r>
      <w:r w:rsidR="000549B2" w:rsidRPr="00F31886">
        <w:rPr>
          <w:i/>
          <w:iCs/>
        </w:rPr>
        <w:t>Gospel According to Matthew</w:t>
      </w:r>
      <w:r w:rsidR="00F31886">
        <w:t>,</w:t>
      </w:r>
      <w:r w:rsidR="000549B2">
        <w:t xml:space="preserve"> 217–218</w:t>
      </w:r>
      <w:r w:rsidR="00793B27">
        <w:t xml:space="preserve">; </w:t>
      </w:r>
      <w:r w:rsidR="001C27C4">
        <w:t xml:space="preserve">Albright and Mann, </w:t>
      </w:r>
      <w:r w:rsidR="001C27C4" w:rsidRPr="001C27C4">
        <w:rPr>
          <w:i/>
          <w:iCs/>
        </w:rPr>
        <w:t>Matthew</w:t>
      </w:r>
      <w:r w:rsidR="001C27C4">
        <w:t>, 103)</w:t>
      </w:r>
      <w:r w:rsidR="00F31886">
        <w:t>.</w:t>
      </w:r>
      <w:r w:rsidR="00AE2F8A">
        <w:t xml:space="preserve"> Nolland states that </w:t>
      </w:r>
      <w:r w:rsidR="00AE2F8A" w:rsidRPr="0006344E">
        <w:rPr>
          <w:lang w:val="el-GR" w:bidi="he-IL"/>
        </w:rPr>
        <w:t>τοῖς</w:t>
      </w:r>
      <w:r w:rsidR="00AE2F8A" w:rsidRPr="0006344E">
        <w:rPr>
          <w:lang w:bidi="he-IL"/>
        </w:rPr>
        <w:t xml:space="preserve"> </w:t>
      </w:r>
      <w:r w:rsidR="00AE2F8A" w:rsidRPr="0006344E">
        <w:rPr>
          <w:lang w:val="el-GR" w:bidi="he-IL"/>
        </w:rPr>
        <w:t>ἀνθρώποις</w:t>
      </w:r>
      <w:r w:rsidR="00AE2F8A">
        <w:rPr>
          <w:lang w:bidi="he-IL"/>
        </w:rPr>
        <w:t xml:space="preserve"> could mean “an emphasis on Jesus’ solidarity with humanity” but dismisses such an interpretation as “a dogmatic concern alien to the text” (</w:t>
      </w:r>
      <w:r w:rsidR="00AE2F8A" w:rsidRPr="00413F2E">
        <w:rPr>
          <w:i/>
          <w:iCs/>
          <w:lang w:bidi="he-IL"/>
        </w:rPr>
        <w:t>Gospel of Matthew</w:t>
      </w:r>
      <w:r w:rsidR="00AE2F8A">
        <w:rPr>
          <w:lang w:bidi="he-IL"/>
        </w:rPr>
        <w:t>, 383).</w:t>
      </w:r>
      <w:r w:rsidR="00646CB6">
        <w:rPr>
          <w:lang w:bidi="he-IL"/>
        </w:rPr>
        <w:t xml:space="preserve"> However, it is clear </w:t>
      </w:r>
      <w:r w:rsidR="00EC0B34">
        <w:rPr>
          <w:lang w:bidi="he-IL"/>
        </w:rPr>
        <w:t>from</w:t>
      </w:r>
      <w:r w:rsidR="00646CB6">
        <w:rPr>
          <w:lang w:bidi="he-IL"/>
        </w:rPr>
        <w:t xml:space="preserve"> the </w:t>
      </w:r>
      <w:r w:rsidR="00FB428A">
        <w:rPr>
          <w:lang w:bidi="he-IL"/>
        </w:rPr>
        <w:t xml:space="preserve">rest of Matthew that humans </w:t>
      </w:r>
      <w:r w:rsidR="00A93B45">
        <w:rPr>
          <w:lang w:bidi="he-IL"/>
        </w:rPr>
        <w:t>do wield this authority as both an indication of their solidarity with Jesus through discipleship (10:1)</w:t>
      </w:r>
      <w:r w:rsidR="00EC0B34">
        <w:rPr>
          <w:lang w:bidi="he-IL"/>
        </w:rPr>
        <w:t xml:space="preserve"> and their commission</w:t>
      </w:r>
      <w:r w:rsidR="000256C4">
        <w:rPr>
          <w:lang w:bidi="he-IL"/>
        </w:rPr>
        <w:t xml:space="preserve"> to </w:t>
      </w:r>
      <w:r w:rsidR="00597F91">
        <w:rPr>
          <w:lang w:bidi="he-IL"/>
        </w:rPr>
        <w:t xml:space="preserve">carry out </w:t>
      </w:r>
      <w:r w:rsidR="001C27C4">
        <w:rPr>
          <w:lang w:bidi="he-IL"/>
        </w:rPr>
        <w:t xml:space="preserve">and </w:t>
      </w:r>
      <w:r w:rsidR="00597F91">
        <w:rPr>
          <w:lang w:bidi="he-IL"/>
        </w:rPr>
        <w:t>continue</w:t>
      </w:r>
      <w:r w:rsidR="000256C4">
        <w:rPr>
          <w:lang w:bidi="he-IL"/>
        </w:rPr>
        <w:t xml:space="preserve"> Jesus’ </w:t>
      </w:r>
      <w:r w:rsidR="00597F91">
        <w:rPr>
          <w:lang w:bidi="he-IL"/>
        </w:rPr>
        <w:t>ministry</w:t>
      </w:r>
      <w:r w:rsidR="000256C4">
        <w:rPr>
          <w:lang w:bidi="he-IL"/>
        </w:rPr>
        <w:t xml:space="preserve"> (</w:t>
      </w:r>
      <w:r w:rsidR="00597F91">
        <w:rPr>
          <w:lang w:bidi="he-IL"/>
        </w:rPr>
        <w:t>14:19; 16:9</w:t>
      </w:r>
      <w:r w:rsidR="00E74560">
        <w:rPr>
          <w:lang w:bidi="he-IL"/>
        </w:rPr>
        <w:t xml:space="preserve">; 18:18–20; </w:t>
      </w:r>
      <w:r w:rsidR="000256C4">
        <w:rPr>
          <w:lang w:bidi="he-IL"/>
        </w:rPr>
        <w:t>28:18</w:t>
      </w:r>
      <w:r w:rsidR="00E74560">
        <w:rPr>
          <w:lang w:bidi="he-IL"/>
        </w:rPr>
        <w:t>–</w:t>
      </w:r>
      <w:r w:rsidR="000256C4">
        <w:rPr>
          <w:lang w:bidi="he-IL"/>
        </w:rPr>
        <w:t>19</w:t>
      </w:r>
      <w:r w:rsidR="00E74560">
        <w:rPr>
          <w:lang w:bidi="he-IL"/>
        </w:rPr>
        <w:t>).</w:t>
      </w:r>
    </w:p>
  </w:footnote>
  <w:footnote w:id="85">
    <w:p w14:paraId="6ED47E28" w14:textId="35BF0880" w:rsidR="004654E0" w:rsidRPr="00582ED9" w:rsidRDefault="004654E0" w:rsidP="00203178">
      <w:pPr>
        <w:pStyle w:val="FootnoteText"/>
        <w:ind w:firstLine="720"/>
      </w:pPr>
      <w:r>
        <w:rPr>
          <w:rStyle w:val="FootnoteReference"/>
        </w:rPr>
        <w:footnoteRef/>
      </w:r>
      <w:r>
        <w:t xml:space="preserve"> Morris comes close to this interpretation, but does not see the connection between </w:t>
      </w:r>
      <w:r w:rsidR="00582ED9" w:rsidRPr="0006344E">
        <w:rPr>
          <w:lang w:val="el-GR" w:bidi="he-IL"/>
        </w:rPr>
        <w:t>τοῖς</w:t>
      </w:r>
      <w:r w:rsidR="00582ED9" w:rsidRPr="0006344E">
        <w:rPr>
          <w:lang w:bidi="he-IL"/>
        </w:rPr>
        <w:t xml:space="preserve"> </w:t>
      </w:r>
      <w:r w:rsidR="00582ED9" w:rsidRPr="0006344E">
        <w:rPr>
          <w:lang w:val="el-GR" w:bidi="he-IL"/>
        </w:rPr>
        <w:t>ἀνθρώποις</w:t>
      </w:r>
      <w:r w:rsidR="00582ED9">
        <w:rPr>
          <w:lang w:bidi="he-IL"/>
        </w:rPr>
        <w:t xml:space="preserve"> here and the Matthean program of </w:t>
      </w:r>
      <w:r w:rsidR="00333B6C">
        <w:rPr>
          <w:lang w:bidi="he-IL"/>
        </w:rPr>
        <w:t xml:space="preserve">the </w:t>
      </w:r>
      <w:r w:rsidR="00203178">
        <w:rPr>
          <w:lang w:bidi="he-IL"/>
        </w:rPr>
        <w:t>Emmanuel</w:t>
      </w:r>
      <w:r w:rsidR="00333B6C">
        <w:rPr>
          <w:lang w:bidi="he-IL"/>
        </w:rPr>
        <w:t xml:space="preserve"> Messiah; he writes, “[T]he thought is that God has been pleased not to keep the power in heave</w:t>
      </w:r>
      <w:r w:rsidR="00C326A5">
        <w:rPr>
          <w:lang w:bidi="he-IL"/>
        </w:rPr>
        <w:t>n</w:t>
      </w:r>
      <w:r w:rsidR="00333B6C">
        <w:rPr>
          <w:lang w:bidi="he-IL"/>
        </w:rPr>
        <w:t>, but to give it to people here on earth in and through Jesus” (</w:t>
      </w:r>
      <w:r w:rsidR="00333B6C" w:rsidRPr="00333B6C">
        <w:rPr>
          <w:i/>
          <w:iCs/>
          <w:lang w:bidi="he-IL"/>
        </w:rPr>
        <w:t>Gospel According to Matthew</w:t>
      </w:r>
      <w:r w:rsidR="00333B6C">
        <w:rPr>
          <w:lang w:bidi="he-IL"/>
        </w:rPr>
        <w:t>, 218).</w:t>
      </w:r>
    </w:p>
  </w:footnote>
  <w:footnote w:id="86">
    <w:p w14:paraId="58CAD4A5" w14:textId="5047F5B5" w:rsidR="00D77F24" w:rsidRDefault="00D77F24" w:rsidP="00E2587D">
      <w:pPr>
        <w:pStyle w:val="FootnoteText"/>
        <w:ind w:firstLine="720"/>
      </w:pPr>
      <w:r>
        <w:rPr>
          <w:rStyle w:val="FootnoteReference"/>
        </w:rPr>
        <w:footnoteRef/>
      </w:r>
      <w:r>
        <w:t xml:space="preserve"> Tannehill, </w:t>
      </w:r>
      <w:r w:rsidRPr="00E2587D">
        <w:rPr>
          <w:i/>
          <w:iCs/>
        </w:rPr>
        <w:t>Narrative Unity of Luke-Acts</w:t>
      </w:r>
      <w:r>
        <w:t>, 1:</w:t>
      </w:r>
      <w:r w:rsidR="00E2587D">
        <w:t>103–126.</w:t>
      </w:r>
    </w:p>
  </w:footnote>
  <w:footnote w:id="87">
    <w:p w14:paraId="3CCA0383" w14:textId="2204C967" w:rsidR="00B77DF0" w:rsidRDefault="00B77DF0" w:rsidP="006C514F">
      <w:pPr>
        <w:pStyle w:val="FootnoteText"/>
        <w:ind w:firstLine="720"/>
      </w:pPr>
      <w:r>
        <w:rPr>
          <w:rStyle w:val="FootnoteReference"/>
        </w:rPr>
        <w:footnoteRef/>
      </w:r>
      <w:r>
        <w:t xml:space="preserve"> </w:t>
      </w:r>
      <w:r w:rsidR="0002784A">
        <w:t xml:space="preserve">That Jesus’ sermon at Nazareth presents some programmatic statement about his later ministry in Luke </w:t>
      </w:r>
      <w:r w:rsidR="00443D05">
        <w:t>is widely attested. Tannehill, for example</w:t>
      </w:r>
      <w:r w:rsidR="00246143">
        <w:t xml:space="preserve">, finds the sermon and particularly the quotation for Isaiah 61:1–2 to be </w:t>
      </w:r>
      <w:r w:rsidR="00ED1865">
        <w:t>a “public disclosure of Jesus’ commission from God which functions as a guide to the reader in understanding the following story of Jesus’ ministry</w:t>
      </w:r>
      <w:r w:rsidR="00C832CE">
        <w:t>”</w:t>
      </w:r>
      <w:r w:rsidR="00ED1865">
        <w:t xml:space="preserve"> </w:t>
      </w:r>
      <w:r w:rsidR="00A369A9">
        <w:t>(</w:t>
      </w:r>
      <w:r w:rsidR="0035107D" w:rsidRPr="001C0252">
        <w:rPr>
          <w:i/>
          <w:iCs/>
        </w:rPr>
        <w:t>Narrative Unity of Luke-Acts</w:t>
      </w:r>
      <w:r w:rsidR="0035107D">
        <w:t>, 1:</w:t>
      </w:r>
      <w:r w:rsidR="00B502E1">
        <w:t>62</w:t>
      </w:r>
      <w:r w:rsidR="00A369A9">
        <w:t>)</w:t>
      </w:r>
      <w:r w:rsidR="001C0252">
        <w:t>.</w:t>
      </w:r>
      <w:r w:rsidR="003F10FF">
        <w:t xml:space="preserve"> Commentators also point to other themes beside the release</w:t>
      </w:r>
      <w:r w:rsidR="004F21AF">
        <w:t xml:space="preserve"> of captives and preaching good news to the poor</w:t>
      </w:r>
      <w:r w:rsidR="00EB72B9">
        <w:t xml:space="preserve"> such as Jesus</w:t>
      </w:r>
      <w:r w:rsidR="000F6E22">
        <w:t>’</w:t>
      </w:r>
      <w:r w:rsidR="00EB72B9">
        <w:t xml:space="preserve"> rejection and the later Gentile mission (</w:t>
      </w:r>
      <w:r w:rsidR="0017594F">
        <w:t xml:space="preserve">Edwards, </w:t>
      </w:r>
      <w:r w:rsidR="0017594F" w:rsidRPr="000900A9">
        <w:rPr>
          <w:i/>
          <w:iCs/>
        </w:rPr>
        <w:t>Gospel According to Luke</w:t>
      </w:r>
      <w:r w:rsidR="0017594F">
        <w:t>, 132–133;</w:t>
      </w:r>
      <w:r w:rsidR="00156D07">
        <w:t xml:space="preserve"> Marshall, </w:t>
      </w:r>
      <w:r w:rsidR="00156D07" w:rsidRPr="000900A9">
        <w:rPr>
          <w:i/>
          <w:iCs/>
        </w:rPr>
        <w:t xml:space="preserve">Gospel </w:t>
      </w:r>
      <w:r w:rsidR="00E92A26" w:rsidRPr="000900A9">
        <w:rPr>
          <w:i/>
          <w:iCs/>
        </w:rPr>
        <w:t>of Luke</w:t>
      </w:r>
      <w:r w:rsidR="00E92A26">
        <w:t>, 178</w:t>
      </w:r>
      <w:r w:rsidR="00FD1BC5">
        <w:t>; Fitz</w:t>
      </w:r>
      <w:r w:rsidR="00BE6C1B">
        <w:t xml:space="preserve">myer, </w:t>
      </w:r>
      <w:r w:rsidR="00BE6C1B" w:rsidRPr="000900A9">
        <w:rPr>
          <w:i/>
          <w:iCs/>
        </w:rPr>
        <w:t>Gospel According to Luke</w:t>
      </w:r>
      <w:r w:rsidR="00BE6C1B">
        <w:t>, 1:529</w:t>
      </w:r>
      <w:r w:rsidR="00CB7B4C">
        <w:t xml:space="preserve">; Bovon, </w:t>
      </w:r>
      <w:r w:rsidR="00CB7B4C" w:rsidRPr="000900A9">
        <w:rPr>
          <w:i/>
          <w:iCs/>
        </w:rPr>
        <w:t>Luke</w:t>
      </w:r>
      <w:r w:rsidR="00CB7B4C">
        <w:t>, 1:157</w:t>
      </w:r>
      <w:r w:rsidR="000900A9">
        <w:t>)</w:t>
      </w:r>
      <w:r w:rsidR="00CB7B4C">
        <w:t>.</w:t>
      </w:r>
    </w:p>
  </w:footnote>
  <w:footnote w:id="88">
    <w:p w14:paraId="38D63561" w14:textId="12884C5B" w:rsidR="00BB5B10" w:rsidRDefault="00BB5B10" w:rsidP="0001422E">
      <w:pPr>
        <w:pStyle w:val="FootnoteText"/>
        <w:ind w:firstLine="720"/>
      </w:pPr>
      <w:r>
        <w:rPr>
          <w:rStyle w:val="FootnoteReference"/>
        </w:rPr>
        <w:footnoteRef/>
      </w:r>
      <w:r>
        <w:t xml:space="preserve"> “</w:t>
      </w:r>
      <w:r w:rsidR="0001422E">
        <w:t>Today, this scripture has been fulfilled in your hearing.”</w:t>
      </w:r>
    </w:p>
  </w:footnote>
  <w:footnote w:id="89">
    <w:p w14:paraId="37B9433B" w14:textId="69DD368D" w:rsidR="00AC1F8B" w:rsidRDefault="00AC1F8B" w:rsidP="002E2813">
      <w:pPr>
        <w:pStyle w:val="FootnoteText"/>
        <w:ind w:firstLine="720"/>
      </w:pPr>
      <w:r>
        <w:rPr>
          <w:rStyle w:val="FootnoteReference"/>
        </w:rPr>
        <w:footnoteRef/>
      </w:r>
      <w:r>
        <w:t xml:space="preserve"> “We have seen </w:t>
      </w:r>
      <w:r w:rsidR="002E2813">
        <w:t>strange things today.”</w:t>
      </w:r>
    </w:p>
  </w:footnote>
  <w:footnote w:id="90">
    <w:p w14:paraId="29049DE2" w14:textId="5588CB17" w:rsidR="0008768B" w:rsidRDefault="0008768B" w:rsidP="0008768B">
      <w:pPr>
        <w:pStyle w:val="FootnoteText"/>
        <w:ind w:firstLine="720"/>
      </w:pPr>
      <w:r>
        <w:rPr>
          <w:rStyle w:val="FootnoteReference"/>
        </w:rPr>
        <w:footnoteRef/>
      </w:r>
      <w:r>
        <w:t xml:space="preserve"> Fitzmyer, </w:t>
      </w:r>
      <w:r w:rsidRPr="0008768B">
        <w:rPr>
          <w:i/>
          <w:iCs/>
        </w:rPr>
        <w:t>Gospel According to Luke</w:t>
      </w:r>
      <w:r>
        <w:t>, 1:586.</w:t>
      </w:r>
    </w:p>
  </w:footnote>
  <w:footnote w:id="91">
    <w:p w14:paraId="4E0863B3" w14:textId="2FC2E6C3" w:rsidR="00A71015" w:rsidRDefault="00A71015" w:rsidP="00C42AC0">
      <w:pPr>
        <w:pStyle w:val="FootnoteText"/>
        <w:ind w:firstLine="720"/>
      </w:pPr>
      <w:r>
        <w:rPr>
          <w:rStyle w:val="FootnoteReference"/>
        </w:rPr>
        <w:footnoteRef/>
      </w:r>
      <w:r>
        <w:t xml:space="preserve"> Tannehill</w:t>
      </w:r>
      <w:r w:rsidR="00C42AC0">
        <w:t xml:space="preserve">, </w:t>
      </w:r>
      <w:r w:rsidR="00C42AC0" w:rsidRPr="00C42AC0">
        <w:rPr>
          <w:i/>
          <w:iCs/>
        </w:rPr>
        <w:t>Narrative Unity of Luke-Acts</w:t>
      </w:r>
      <w:r w:rsidR="00C42AC0">
        <w:t xml:space="preserve">, </w:t>
      </w:r>
      <w:r w:rsidR="00C01F54">
        <w:t>1:</w:t>
      </w:r>
      <w:r w:rsidR="00C42AC0">
        <w:t>65–66.</w:t>
      </w:r>
    </w:p>
  </w:footnote>
  <w:footnote w:id="92">
    <w:p w14:paraId="57C024DF" w14:textId="6E31474E" w:rsidR="00F85BA2" w:rsidRPr="008479EC" w:rsidRDefault="00F85BA2" w:rsidP="000E3C98">
      <w:pPr>
        <w:pStyle w:val="FootnoteText"/>
        <w:ind w:firstLine="720"/>
        <w:rPr>
          <w:lang w:bidi="he-IL"/>
        </w:rPr>
      </w:pPr>
      <w:r>
        <w:rPr>
          <w:rStyle w:val="FootnoteReference"/>
        </w:rPr>
        <w:footnoteRef/>
      </w:r>
      <w:r>
        <w:t xml:space="preserve"> </w:t>
      </w:r>
      <w:r w:rsidR="003B5CAA">
        <w:t xml:space="preserve">BDAG, s.v. </w:t>
      </w:r>
      <w:r w:rsidR="006C1955">
        <w:rPr>
          <w:lang w:val="el-GR"/>
        </w:rPr>
        <w:t>α</w:t>
      </w:r>
      <w:r w:rsidR="006C1955" w:rsidRPr="00CA165E">
        <w:t>̓́</w:t>
      </w:r>
      <w:r w:rsidR="006C1955">
        <w:rPr>
          <w:lang w:val="el-GR"/>
        </w:rPr>
        <w:t>φι</w:t>
      </w:r>
      <w:r w:rsidR="006C1955" w:rsidRPr="00CA165E">
        <w:t>́</w:t>
      </w:r>
      <w:r w:rsidR="006C1955">
        <w:rPr>
          <w:lang w:val="el-GR"/>
        </w:rPr>
        <w:t>ημι</w:t>
      </w:r>
      <w:r w:rsidR="006C1955" w:rsidRPr="00CA165E">
        <w:t>.</w:t>
      </w:r>
      <w:r w:rsidR="008D489C">
        <w:t xml:space="preserve"> </w:t>
      </w:r>
      <w:r w:rsidR="00B24FEA">
        <w:t>E.g. Mt</w:t>
      </w:r>
      <w:r w:rsidR="005B3AB8">
        <w:t xml:space="preserve"> 9:1–8; 12:31–32. </w:t>
      </w:r>
      <w:r w:rsidR="005B3AB8">
        <w:rPr>
          <w:lang w:val="el-GR"/>
        </w:rPr>
        <w:t>α</w:t>
      </w:r>
      <w:r w:rsidR="005B3AB8" w:rsidRPr="005B3AB8">
        <w:t>̓́</w:t>
      </w:r>
      <w:r w:rsidR="005B3AB8">
        <w:rPr>
          <w:lang w:val="el-GR"/>
        </w:rPr>
        <w:t>φι</w:t>
      </w:r>
      <w:r w:rsidR="005B3AB8" w:rsidRPr="005B3AB8">
        <w:t>́</w:t>
      </w:r>
      <w:r w:rsidR="005B3AB8">
        <w:rPr>
          <w:lang w:val="el-GR"/>
        </w:rPr>
        <w:t>ημι</w:t>
      </w:r>
      <w:r w:rsidR="00CA165E">
        <w:t xml:space="preserve"> also appears alongside </w:t>
      </w:r>
      <w:r w:rsidR="004D789F">
        <w:rPr>
          <w:lang w:val="el-GR" w:bidi="he-IL"/>
        </w:rPr>
        <w:t>παρα</w:t>
      </w:r>
      <w:r w:rsidR="004D789F" w:rsidRPr="004D789F">
        <w:rPr>
          <w:lang w:bidi="he-IL"/>
        </w:rPr>
        <w:t>́</w:t>
      </w:r>
      <w:r w:rsidR="004D789F">
        <w:rPr>
          <w:lang w:val="el-GR" w:bidi="he-IL"/>
        </w:rPr>
        <w:t>πτωμα</w:t>
      </w:r>
      <w:r w:rsidR="004D789F" w:rsidRPr="004D789F">
        <w:rPr>
          <w:lang w:bidi="he-IL"/>
        </w:rPr>
        <w:t xml:space="preserve"> </w:t>
      </w:r>
      <w:r w:rsidR="004D789F">
        <w:rPr>
          <w:lang w:bidi="he-IL"/>
        </w:rPr>
        <w:t>(trespass) in Mt 6:14</w:t>
      </w:r>
      <w:r w:rsidR="002E32C4">
        <w:rPr>
          <w:lang w:bidi="he-IL"/>
        </w:rPr>
        <w:t xml:space="preserve"> and </w:t>
      </w:r>
      <w:r w:rsidR="005B33B8">
        <w:rPr>
          <w:lang w:val="el-GR" w:bidi="he-IL"/>
        </w:rPr>
        <w:t>ο</w:t>
      </w:r>
      <w:r w:rsidR="005B33B8" w:rsidRPr="005B33B8">
        <w:rPr>
          <w:lang w:bidi="he-IL"/>
        </w:rPr>
        <w:t>̓</w:t>
      </w:r>
      <w:r w:rsidR="005B33B8">
        <w:rPr>
          <w:lang w:val="el-GR" w:bidi="he-IL"/>
        </w:rPr>
        <w:t>φει</w:t>
      </w:r>
      <w:r w:rsidR="005B33B8" w:rsidRPr="005B33B8">
        <w:rPr>
          <w:lang w:bidi="he-IL"/>
        </w:rPr>
        <w:t>́</w:t>
      </w:r>
      <w:r w:rsidR="005B33B8">
        <w:rPr>
          <w:lang w:val="el-GR" w:bidi="he-IL"/>
        </w:rPr>
        <w:t>λημα</w:t>
      </w:r>
      <w:r w:rsidR="00EF55F3">
        <w:rPr>
          <w:lang w:bidi="he-IL"/>
        </w:rPr>
        <w:t>/</w:t>
      </w:r>
      <w:r w:rsidR="00F47D4D">
        <w:rPr>
          <w:lang w:val="el-GR" w:bidi="he-IL"/>
        </w:rPr>
        <w:t>ο</w:t>
      </w:r>
      <w:r w:rsidR="00F47D4D" w:rsidRPr="00F47D4D">
        <w:rPr>
          <w:lang w:bidi="he-IL"/>
        </w:rPr>
        <w:t>̓</w:t>
      </w:r>
      <w:r w:rsidR="00F47D4D">
        <w:rPr>
          <w:lang w:val="el-GR" w:bidi="he-IL"/>
        </w:rPr>
        <w:t>φειλη</w:t>
      </w:r>
      <w:r w:rsidR="00F47D4D" w:rsidRPr="00F47D4D">
        <w:rPr>
          <w:lang w:bidi="he-IL"/>
        </w:rPr>
        <w:t>́</w:t>
      </w:r>
      <w:r w:rsidR="00CD2791">
        <w:rPr>
          <w:lang w:bidi="he-IL"/>
        </w:rPr>
        <w:t>/</w:t>
      </w:r>
      <w:r w:rsidR="00BF04A8">
        <w:rPr>
          <w:lang w:val="el-GR" w:bidi="he-IL"/>
        </w:rPr>
        <w:t>δα</w:t>
      </w:r>
      <w:r w:rsidR="00BF04A8" w:rsidRPr="00BF04A8">
        <w:rPr>
          <w:lang w:bidi="he-IL"/>
        </w:rPr>
        <w:t>́</w:t>
      </w:r>
      <w:r w:rsidR="00BF04A8">
        <w:rPr>
          <w:lang w:val="el-GR" w:bidi="he-IL"/>
        </w:rPr>
        <w:t>νειον</w:t>
      </w:r>
      <w:r w:rsidR="00BF04A8" w:rsidRPr="00BF04A8">
        <w:rPr>
          <w:lang w:bidi="he-IL"/>
        </w:rPr>
        <w:t xml:space="preserve"> </w:t>
      </w:r>
      <w:r w:rsidR="00F47D4D">
        <w:rPr>
          <w:lang w:bidi="he-IL"/>
        </w:rPr>
        <w:t>(debt</w:t>
      </w:r>
      <w:r w:rsidR="00BF04A8">
        <w:rPr>
          <w:lang w:bidi="he-IL"/>
        </w:rPr>
        <w:t>/loan</w:t>
      </w:r>
      <w:r w:rsidR="00F47D4D">
        <w:rPr>
          <w:lang w:bidi="he-IL"/>
        </w:rPr>
        <w:t>)</w:t>
      </w:r>
      <w:r w:rsidR="00232679">
        <w:rPr>
          <w:lang w:bidi="he-IL"/>
        </w:rPr>
        <w:t xml:space="preserve"> in the parable of the Unforgiving Servant (Mt 18:21</w:t>
      </w:r>
      <w:r w:rsidR="00041551">
        <w:rPr>
          <w:lang w:bidi="he-IL"/>
        </w:rPr>
        <w:t>–35).</w:t>
      </w:r>
    </w:p>
  </w:footnote>
  <w:footnote w:id="93">
    <w:p w14:paraId="4F79AD64" w14:textId="71301A18" w:rsidR="00826932" w:rsidRPr="003403AF" w:rsidRDefault="00826932" w:rsidP="003520DB">
      <w:pPr>
        <w:pStyle w:val="FootnoteText"/>
        <w:ind w:firstLine="720"/>
      </w:pPr>
      <w:r>
        <w:rPr>
          <w:rStyle w:val="FootnoteReference"/>
        </w:rPr>
        <w:footnoteRef/>
      </w:r>
      <w:r>
        <w:t xml:space="preserve"> Jesus’ statement from the cross, </w:t>
      </w:r>
      <w:r w:rsidR="003403AF" w:rsidRPr="003403AF">
        <w:rPr>
          <w:lang w:val="el-GR"/>
        </w:rPr>
        <w:t>πάτερ</w:t>
      </w:r>
      <w:r w:rsidR="003403AF" w:rsidRPr="003403AF">
        <w:t xml:space="preserve">, </w:t>
      </w:r>
      <w:r w:rsidR="003403AF" w:rsidRPr="003403AF">
        <w:rPr>
          <w:lang w:val="el-GR"/>
        </w:rPr>
        <w:t>ἄφες</w:t>
      </w:r>
      <w:r w:rsidR="003403AF" w:rsidRPr="003403AF">
        <w:t xml:space="preserve"> </w:t>
      </w:r>
      <w:r w:rsidR="003403AF" w:rsidRPr="003403AF">
        <w:rPr>
          <w:lang w:val="el-GR"/>
        </w:rPr>
        <w:t>αὐτοῖς</w:t>
      </w:r>
      <w:r w:rsidR="003403AF" w:rsidRPr="003403AF">
        <w:t xml:space="preserve">, </w:t>
      </w:r>
      <w:r w:rsidR="003403AF" w:rsidRPr="003403AF">
        <w:rPr>
          <w:lang w:val="el-GR"/>
        </w:rPr>
        <w:t>οὐ</w:t>
      </w:r>
      <w:r w:rsidR="003403AF" w:rsidRPr="003403AF">
        <w:t xml:space="preserve"> </w:t>
      </w:r>
      <w:r w:rsidR="003403AF" w:rsidRPr="003403AF">
        <w:rPr>
          <w:lang w:val="el-GR"/>
        </w:rPr>
        <w:t>γὰρ</w:t>
      </w:r>
      <w:r w:rsidR="003403AF" w:rsidRPr="003403AF">
        <w:t xml:space="preserve"> </w:t>
      </w:r>
      <w:r w:rsidR="003403AF" w:rsidRPr="003403AF">
        <w:rPr>
          <w:lang w:val="el-GR"/>
        </w:rPr>
        <w:t>οἴδασιν</w:t>
      </w:r>
      <w:r w:rsidR="003403AF" w:rsidRPr="003403AF">
        <w:t xml:space="preserve"> </w:t>
      </w:r>
      <w:r w:rsidR="003403AF" w:rsidRPr="003403AF">
        <w:rPr>
          <w:lang w:val="el-GR"/>
        </w:rPr>
        <w:t>τί</w:t>
      </w:r>
      <w:r w:rsidR="003403AF" w:rsidRPr="003403AF">
        <w:t xml:space="preserve"> </w:t>
      </w:r>
      <w:r w:rsidR="003403AF" w:rsidRPr="003403AF">
        <w:rPr>
          <w:lang w:val="el-GR"/>
        </w:rPr>
        <w:t>ποιοῦσιν</w:t>
      </w:r>
      <w:r w:rsidR="00F7516F">
        <w:t xml:space="preserve"> (Father, forgive them, for they know not what they are doing</w:t>
      </w:r>
      <w:r w:rsidR="00B659DF">
        <w:t xml:space="preserve"> [Lk</w:t>
      </w:r>
      <w:r w:rsidR="00542E1E">
        <w:t xml:space="preserve"> </w:t>
      </w:r>
      <w:r w:rsidR="00B659DF">
        <w:t>23:34]</w:t>
      </w:r>
      <w:r w:rsidR="00BD2814">
        <w:t xml:space="preserve">), is perhaps a later addition </w:t>
      </w:r>
      <w:r w:rsidR="003949BF">
        <w:t xml:space="preserve">but its usage is in line with </w:t>
      </w:r>
      <w:r w:rsidR="00B659DF">
        <w:t>other statements in Luke about forgiving harm done to someone, be it either sins or tortures.</w:t>
      </w:r>
      <w:r w:rsidR="003D4D09">
        <w:t xml:space="preserve"> See </w:t>
      </w:r>
      <w:r w:rsidR="003D4D09" w:rsidRPr="002565F7">
        <w:t xml:space="preserve">Metzger, </w:t>
      </w:r>
      <w:r w:rsidR="003D4D09" w:rsidRPr="002565F7">
        <w:rPr>
          <w:i/>
          <w:iCs/>
        </w:rPr>
        <w:t xml:space="preserve">Textual Commentary on the </w:t>
      </w:r>
      <w:r w:rsidR="00AC5E99" w:rsidRPr="002565F7">
        <w:rPr>
          <w:i/>
          <w:iCs/>
        </w:rPr>
        <w:t xml:space="preserve">Greek </w:t>
      </w:r>
      <w:r w:rsidR="003D4D09" w:rsidRPr="002565F7">
        <w:rPr>
          <w:i/>
          <w:iCs/>
        </w:rPr>
        <w:t>NT</w:t>
      </w:r>
      <w:r w:rsidR="003D4D09" w:rsidRPr="002565F7">
        <w:t xml:space="preserve">, </w:t>
      </w:r>
      <w:r w:rsidR="002565F7" w:rsidRPr="002565F7">
        <w:t>154</w:t>
      </w:r>
      <w:r w:rsidR="003D4D09" w:rsidRPr="002565F7">
        <w:t>.</w:t>
      </w:r>
    </w:p>
  </w:footnote>
  <w:footnote w:id="94">
    <w:p w14:paraId="64AE989B" w14:textId="4D0553B3" w:rsidR="002344E9" w:rsidRDefault="002344E9" w:rsidP="00C01F54">
      <w:pPr>
        <w:pStyle w:val="FootnoteText"/>
        <w:ind w:firstLine="720"/>
      </w:pPr>
      <w:r>
        <w:rPr>
          <w:rStyle w:val="FootnoteReference"/>
        </w:rPr>
        <w:footnoteRef/>
      </w:r>
      <w:r>
        <w:t xml:space="preserve"> Tannehill, </w:t>
      </w:r>
      <w:r w:rsidRPr="00C01F54">
        <w:rPr>
          <w:i/>
          <w:iCs/>
        </w:rPr>
        <w:t>Narrative Unity of Luke-Acts</w:t>
      </w:r>
      <w:r>
        <w:t xml:space="preserve">, </w:t>
      </w:r>
      <w:r w:rsidR="00C01F54">
        <w:t>1:65–66.</w:t>
      </w:r>
    </w:p>
  </w:footnote>
  <w:footnote w:id="95">
    <w:p w14:paraId="6ED57012" w14:textId="0F0722A3" w:rsidR="00265A61" w:rsidRDefault="00265A61" w:rsidP="00CF4F55">
      <w:pPr>
        <w:pStyle w:val="FootnoteText"/>
        <w:ind w:firstLine="720"/>
      </w:pPr>
      <w:r>
        <w:rPr>
          <w:rStyle w:val="FootnoteReference"/>
        </w:rPr>
        <w:footnoteRef/>
      </w:r>
      <w:r>
        <w:t xml:space="preserve"> </w:t>
      </w:r>
      <w:r w:rsidR="006744C4">
        <w:t>Bovon</w:t>
      </w:r>
      <w:r w:rsidR="00FF16BE">
        <w:t>, for example,</w:t>
      </w:r>
      <w:r w:rsidR="00372C8F">
        <w:t xml:space="preserve"> while he does not find much difference between the present </w:t>
      </w:r>
      <w:r w:rsidR="00372C8F">
        <w:rPr>
          <w:lang w:val="el-GR"/>
        </w:rPr>
        <w:t>α</w:t>
      </w:r>
      <w:r w:rsidR="00372C8F" w:rsidRPr="00372C8F">
        <w:t>̓</w:t>
      </w:r>
      <w:r w:rsidR="004F577C">
        <w:rPr>
          <w:lang w:val="el-GR"/>
        </w:rPr>
        <w:t>φι</w:t>
      </w:r>
      <w:r w:rsidR="004F577C" w:rsidRPr="004F577C">
        <w:t>́</w:t>
      </w:r>
      <w:r w:rsidR="004F577C">
        <w:rPr>
          <w:lang w:val="el-GR"/>
        </w:rPr>
        <w:t>ενται</w:t>
      </w:r>
      <w:r w:rsidR="004F577C">
        <w:rPr>
          <w:lang w:bidi="he-IL"/>
        </w:rPr>
        <w:t xml:space="preserve"> and the perfect </w:t>
      </w:r>
      <w:r w:rsidR="004F577C">
        <w:rPr>
          <w:lang w:val="el-GR" w:bidi="he-IL"/>
        </w:rPr>
        <w:t>α</w:t>
      </w:r>
      <w:r w:rsidR="004F577C" w:rsidRPr="004F577C">
        <w:rPr>
          <w:lang w:bidi="he-IL"/>
        </w:rPr>
        <w:t>̓</w:t>
      </w:r>
      <w:r w:rsidR="004F577C">
        <w:rPr>
          <w:lang w:val="el-GR" w:bidi="he-IL"/>
        </w:rPr>
        <w:t>φε</w:t>
      </w:r>
      <w:r w:rsidR="004F577C" w:rsidRPr="004F577C">
        <w:rPr>
          <w:lang w:bidi="he-IL"/>
        </w:rPr>
        <w:t>́</w:t>
      </w:r>
      <w:r w:rsidR="004F577C">
        <w:rPr>
          <w:lang w:val="el-GR" w:bidi="he-IL"/>
        </w:rPr>
        <w:t>ωνται</w:t>
      </w:r>
      <w:r w:rsidR="004F577C">
        <w:rPr>
          <w:lang w:bidi="he-IL"/>
        </w:rPr>
        <w:t>, does</w:t>
      </w:r>
      <w:r w:rsidR="00FF16BE">
        <w:t xml:space="preserve"> see the perfect as a “recognition</w:t>
      </w:r>
      <w:r w:rsidR="00742D1B">
        <w:t xml:space="preserve"> of the restored relationship between God and human individuals</w:t>
      </w:r>
      <w:r w:rsidR="00970244">
        <w:t>…. With the perfect, Luke has expressed both what has already begun and its present reality” (</w:t>
      </w:r>
      <w:r w:rsidR="00970244" w:rsidRPr="00970244">
        <w:rPr>
          <w:i/>
          <w:iCs/>
        </w:rPr>
        <w:t>Luke</w:t>
      </w:r>
      <w:r w:rsidR="00970244">
        <w:t>, 1:182).</w:t>
      </w:r>
      <w:r w:rsidR="009660A3">
        <w:t xml:space="preserve"> Likewise, Marshall says the perfect “expresses the abiding force of the </w:t>
      </w:r>
      <w:r w:rsidR="003308C6">
        <w:t>forgiveness” (</w:t>
      </w:r>
      <w:r w:rsidR="003308C6" w:rsidRPr="003308C6">
        <w:rPr>
          <w:i/>
          <w:iCs/>
        </w:rPr>
        <w:t>Gospel of Luke</w:t>
      </w:r>
      <w:r w:rsidR="003308C6">
        <w:t>, 213).</w:t>
      </w:r>
      <w:r w:rsidR="00D96CC9">
        <w:t xml:space="preserve"> Fitzm</w:t>
      </w:r>
      <w:r w:rsidR="00162351">
        <w:t>yer emphasizes the theological passiveness of the verb (</w:t>
      </w:r>
      <w:r w:rsidR="00162351" w:rsidRPr="0001611C">
        <w:rPr>
          <w:i/>
          <w:iCs/>
        </w:rPr>
        <w:t>Gospel According to Luke</w:t>
      </w:r>
      <w:r w:rsidR="00162351">
        <w:t>, 1:</w:t>
      </w:r>
      <w:r w:rsidR="00D04C22">
        <w:t>583</w:t>
      </w:r>
      <w:r w:rsidR="0001611C">
        <w:t>).</w:t>
      </w:r>
    </w:p>
  </w:footnote>
  <w:footnote w:id="96">
    <w:p w14:paraId="217511ED" w14:textId="01B361B0" w:rsidR="00425CD3" w:rsidRDefault="00425CD3" w:rsidP="00D37E42">
      <w:pPr>
        <w:pStyle w:val="FootnoteText"/>
        <w:ind w:firstLine="720"/>
      </w:pPr>
      <w:r>
        <w:rPr>
          <w:rStyle w:val="FootnoteReference"/>
        </w:rPr>
        <w:footnoteRef/>
      </w:r>
      <w:r>
        <w:t xml:space="preserve"> </w:t>
      </w:r>
      <w:r w:rsidR="005D6279">
        <w:t xml:space="preserve">Nolland, </w:t>
      </w:r>
      <w:r w:rsidR="005D6279" w:rsidRPr="00D37E42">
        <w:rPr>
          <w:i/>
          <w:iCs/>
        </w:rPr>
        <w:t>Gospel of Matthew</w:t>
      </w:r>
      <w:r w:rsidR="005D6279">
        <w:t xml:space="preserve">, 383; Morris, </w:t>
      </w:r>
      <w:r w:rsidR="005D6279" w:rsidRPr="00D37E42">
        <w:rPr>
          <w:i/>
          <w:iCs/>
        </w:rPr>
        <w:t>Gospel According to Matthew</w:t>
      </w:r>
      <w:r w:rsidR="005D6279">
        <w:t xml:space="preserve">, </w:t>
      </w:r>
      <w:r w:rsidR="00AA6EEC">
        <w:t>218</w:t>
      </w:r>
      <w:r w:rsidR="00D37E42">
        <w:t xml:space="preserve">, Luz, </w:t>
      </w:r>
      <w:r w:rsidR="00D37E42" w:rsidRPr="00D37E42">
        <w:rPr>
          <w:i/>
          <w:iCs/>
        </w:rPr>
        <w:t>Matthew</w:t>
      </w:r>
      <w:r w:rsidR="00D37E42">
        <w:t>, 28–29.</w:t>
      </w:r>
    </w:p>
  </w:footnote>
  <w:footnote w:id="97">
    <w:p w14:paraId="3184BB3A" w14:textId="2DF13D22" w:rsidR="00AD2FEB" w:rsidRDefault="00AD2FEB" w:rsidP="00AD2FEB">
      <w:pPr>
        <w:pStyle w:val="FootnoteText"/>
        <w:ind w:firstLine="720"/>
      </w:pPr>
      <w:r>
        <w:rPr>
          <w:rStyle w:val="FootnoteReference"/>
        </w:rPr>
        <w:footnoteRef/>
      </w:r>
      <w:r>
        <w:t xml:space="preserve"> Edwards, </w:t>
      </w:r>
      <w:r w:rsidRPr="00AD2FEB">
        <w:rPr>
          <w:i/>
          <w:iCs/>
        </w:rPr>
        <w:t>Gospel According to Luke</w:t>
      </w:r>
      <w:r>
        <w:t>, 166.</w:t>
      </w:r>
    </w:p>
  </w:footnote>
  <w:footnote w:id="98">
    <w:p w14:paraId="6CDA6643" w14:textId="22063333" w:rsidR="00D56661" w:rsidRPr="00FC5300" w:rsidRDefault="00D56661" w:rsidP="008127E4">
      <w:pPr>
        <w:pStyle w:val="FootnoteText"/>
        <w:ind w:firstLine="720"/>
        <w:rPr>
          <w:lang w:bidi="he-IL"/>
        </w:rPr>
      </w:pPr>
      <w:r>
        <w:rPr>
          <w:rStyle w:val="FootnoteReference"/>
        </w:rPr>
        <w:footnoteRef/>
      </w:r>
      <w:r>
        <w:t xml:space="preserve"> </w:t>
      </w:r>
      <w:r w:rsidR="00FC5300">
        <w:t xml:space="preserve">Luke is the only synoptic author who uses </w:t>
      </w:r>
      <w:r w:rsidR="00FC5300">
        <w:rPr>
          <w:lang w:val="el-GR"/>
        </w:rPr>
        <w:t>α</w:t>
      </w:r>
      <w:r w:rsidR="00FC5300" w:rsidRPr="00FC5300">
        <w:t>̓</w:t>
      </w:r>
      <w:r w:rsidR="00FC5300">
        <w:rPr>
          <w:lang w:val="el-GR"/>
        </w:rPr>
        <w:t>φι</w:t>
      </w:r>
      <w:r w:rsidR="00FC5300" w:rsidRPr="00FC5300">
        <w:t>́</w:t>
      </w:r>
      <w:r w:rsidR="00FC5300">
        <w:rPr>
          <w:lang w:val="el-GR"/>
        </w:rPr>
        <w:t>ημι</w:t>
      </w:r>
      <w:r w:rsidR="00FC5300" w:rsidRPr="00FC5300">
        <w:t xml:space="preserve"> </w:t>
      </w:r>
      <w:r w:rsidR="00FC5300">
        <w:rPr>
          <w:lang w:bidi="he-IL"/>
        </w:rPr>
        <w:t>in the perfect</w:t>
      </w:r>
      <w:r w:rsidR="00DF34EF">
        <w:rPr>
          <w:lang w:bidi="he-IL"/>
        </w:rPr>
        <w:t xml:space="preserve"> (Lk 5:</w:t>
      </w:r>
      <w:r w:rsidR="007E33BF">
        <w:rPr>
          <w:lang w:bidi="he-IL"/>
        </w:rPr>
        <w:t>20, 23; 7:47–48)</w:t>
      </w:r>
      <w:r w:rsidR="00B261BE">
        <w:rPr>
          <w:lang w:bidi="he-IL"/>
        </w:rPr>
        <w:t>, and only in these two pericopes</w:t>
      </w:r>
      <w:r w:rsidR="00FC5300">
        <w:rPr>
          <w:lang w:bidi="he-IL"/>
        </w:rPr>
        <w:t xml:space="preserve">. </w:t>
      </w:r>
      <w:r w:rsidR="00F8723B">
        <w:rPr>
          <w:lang w:bidi="he-IL"/>
        </w:rPr>
        <w:t>John uses it once in the resurrection appearance to the disciples (Jn 20:23)</w:t>
      </w:r>
      <w:r w:rsidR="007E33BF">
        <w:rPr>
          <w:lang w:bidi="he-IL"/>
        </w:rPr>
        <w:t xml:space="preserve">. The author of 1 John </w:t>
      </w:r>
      <w:r w:rsidR="00906618">
        <w:rPr>
          <w:lang w:bidi="he-IL"/>
        </w:rPr>
        <w:t>also uses it once (1 Jn 2:12).</w:t>
      </w:r>
    </w:p>
  </w:footnote>
  <w:footnote w:id="99">
    <w:p w14:paraId="6D8738FA" w14:textId="4456165E" w:rsidR="00C45CF5" w:rsidRDefault="00C45CF5" w:rsidP="00391A99">
      <w:pPr>
        <w:pStyle w:val="FootnoteText"/>
        <w:ind w:firstLine="720"/>
      </w:pPr>
      <w:r>
        <w:rPr>
          <w:rStyle w:val="FootnoteReference"/>
        </w:rPr>
        <w:footnoteRef/>
      </w:r>
      <w:r>
        <w:t xml:space="preserve"> Fitzmyer, </w:t>
      </w:r>
      <w:r w:rsidRPr="00391A99">
        <w:rPr>
          <w:i/>
          <w:iCs/>
        </w:rPr>
        <w:t>Gospel According to Luke</w:t>
      </w:r>
      <w:r>
        <w:t>, 1:687</w:t>
      </w:r>
      <w:r w:rsidR="00DE08DE">
        <w:t xml:space="preserve">; Bovon, </w:t>
      </w:r>
      <w:r w:rsidR="00DE08DE" w:rsidRPr="00DE08DE">
        <w:rPr>
          <w:i/>
          <w:iCs/>
        </w:rPr>
        <w:t>Luke</w:t>
      </w:r>
      <w:r w:rsidR="00DE08DE">
        <w:t>, 1:296–297.</w:t>
      </w:r>
    </w:p>
  </w:footnote>
  <w:footnote w:id="100">
    <w:p w14:paraId="3C601AC9" w14:textId="7D097312" w:rsidR="00124D5B" w:rsidRDefault="00124D5B" w:rsidP="00E9216A">
      <w:pPr>
        <w:pStyle w:val="FootnoteText"/>
        <w:ind w:firstLine="720"/>
      </w:pPr>
      <w:r>
        <w:rPr>
          <w:rStyle w:val="FootnoteReference"/>
        </w:rPr>
        <w:footnoteRef/>
      </w:r>
      <w:r>
        <w:t xml:space="preserve"> </w:t>
      </w:r>
      <w:r w:rsidR="009E4293">
        <w:t>“‘</w:t>
      </w:r>
      <w:r w:rsidR="00BE367C">
        <w:t xml:space="preserve">For this </w:t>
      </w:r>
      <w:r w:rsidR="00AC6654">
        <w:t>reason</w:t>
      </w:r>
      <w:r w:rsidR="00BE367C">
        <w:t xml:space="preserve"> I say to you, </w:t>
      </w:r>
      <w:r w:rsidR="003350BF">
        <w:t>her sins, which are many</w:t>
      </w:r>
      <w:r w:rsidR="009771A7">
        <w:t xml:space="preserve">, have been forgiven, </w:t>
      </w:r>
      <w:r w:rsidR="00E9216A">
        <w:t>for</w:t>
      </w:r>
      <w:r w:rsidR="009771A7">
        <w:t xml:space="preserve"> she loved much</w:t>
      </w:r>
      <w:r w:rsidR="00E436C9">
        <w:t>. But the one to whom little</w:t>
      </w:r>
      <w:r w:rsidR="00AF4FDF">
        <w:t xml:space="preserve"> is forgiven, loves little.</w:t>
      </w:r>
      <w:r w:rsidR="009E4293">
        <w:t>’ And he said to her, ‘Your sins have been forgiven.’”</w:t>
      </w:r>
    </w:p>
  </w:footnote>
  <w:footnote w:id="101">
    <w:p w14:paraId="462797C6" w14:textId="3D8401C8" w:rsidR="00287CA8" w:rsidRDefault="00287CA8" w:rsidP="00593861">
      <w:pPr>
        <w:pStyle w:val="FootnoteText"/>
        <w:ind w:firstLine="720"/>
      </w:pPr>
      <w:r>
        <w:rPr>
          <w:rStyle w:val="FootnoteReference"/>
        </w:rPr>
        <w:footnoteRef/>
      </w:r>
      <w:r>
        <w:t xml:space="preserve"> </w:t>
      </w:r>
      <w:r w:rsidR="003E0FB5" w:rsidRPr="003E0FB5">
        <w:t>Barbara E. Reid, “‘Do You See This Woman? A Liberative Look at Luke 7.36-50 and Strategies for Reading Other Lukan Stories Against the Grain</w:t>
      </w:r>
      <w:r w:rsidR="003E0FB5">
        <w:t>,</w:t>
      </w:r>
      <w:r w:rsidR="003E0FB5" w:rsidRPr="003E0FB5">
        <w:t xml:space="preserve">” </w:t>
      </w:r>
      <w:r w:rsidR="003E0FB5">
        <w:t>i</w:t>
      </w:r>
      <w:r w:rsidR="003E0FB5" w:rsidRPr="003E0FB5">
        <w:t xml:space="preserve">n </w:t>
      </w:r>
      <w:r w:rsidR="003E0FB5" w:rsidRPr="003E0FB5">
        <w:rPr>
          <w:i/>
          <w:iCs/>
        </w:rPr>
        <w:t>A Feminist Companion to Luke</w:t>
      </w:r>
      <w:r w:rsidR="003E0FB5" w:rsidRPr="003E0FB5">
        <w:t xml:space="preserve">, </w:t>
      </w:r>
      <w:r w:rsidR="003E0FB5">
        <w:t xml:space="preserve">ed. </w:t>
      </w:r>
      <w:r w:rsidR="003E0FB5" w:rsidRPr="003E0FB5">
        <w:t>Amy-Jill Levine, 106–120</w:t>
      </w:r>
      <w:r w:rsidR="003E0FB5">
        <w:t xml:space="preserve"> (</w:t>
      </w:r>
      <w:r w:rsidR="003E0FB5" w:rsidRPr="003E0FB5">
        <w:t>London: Sheffield, 2002</w:t>
      </w:r>
      <w:r w:rsidR="003E0FB5">
        <w:t>), 110, 112–113.</w:t>
      </w:r>
      <w:r w:rsidR="001C07C9">
        <w:t xml:space="preserve"> Fitzmyer, </w:t>
      </w:r>
      <w:r w:rsidR="001C07C9" w:rsidRPr="00391A99">
        <w:rPr>
          <w:i/>
          <w:iCs/>
        </w:rPr>
        <w:t>Gospel According to Luke</w:t>
      </w:r>
      <w:r w:rsidR="001C07C9">
        <w:t xml:space="preserve">, 1:687; Bovon, </w:t>
      </w:r>
      <w:r w:rsidR="001C07C9" w:rsidRPr="00DE08DE">
        <w:rPr>
          <w:i/>
          <w:iCs/>
        </w:rPr>
        <w:t>Luke</w:t>
      </w:r>
      <w:r w:rsidR="001C07C9">
        <w:t>, 1:296–297.</w:t>
      </w:r>
    </w:p>
  </w:footnote>
  <w:footnote w:id="102">
    <w:p w14:paraId="2C06125D" w14:textId="62925BA3" w:rsidR="00444F9A" w:rsidRPr="00941309" w:rsidRDefault="00444F9A" w:rsidP="00593861">
      <w:pPr>
        <w:pStyle w:val="FootnoteText"/>
        <w:ind w:firstLine="720"/>
        <w:rPr>
          <w:lang w:val="de-DE"/>
        </w:rPr>
      </w:pPr>
      <w:r>
        <w:rPr>
          <w:rStyle w:val="FootnoteReference"/>
        </w:rPr>
        <w:footnoteRef/>
      </w:r>
      <w:r w:rsidRPr="00941309">
        <w:rPr>
          <w:lang w:val="de-DE"/>
        </w:rPr>
        <w:t xml:space="preserve"> </w:t>
      </w:r>
      <w:r w:rsidR="00593861" w:rsidRPr="00941309">
        <w:rPr>
          <w:lang w:val="de-DE"/>
        </w:rPr>
        <w:t>Bovon, Luke, 1:298.</w:t>
      </w:r>
    </w:p>
  </w:footnote>
  <w:footnote w:id="103">
    <w:p w14:paraId="005AB7F9" w14:textId="3F7E6642" w:rsidR="002B6B8F" w:rsidRPr="00941309" w:rsidRDefault="002B6B8F" w:rsidP="00450FA5">
      <w:pPr>
        <w:pStyle w:val="FootnoteText"/>
        <w:ind w:firstLine="720"/>
        <w:rPr>
          <w:lang w:val="de-DE"/>
        </w:rPr>
      </w:pPr>
      <w:r>
        <w:rPr>
          <w:rStyle w:val="FootnoteReference"/>
        </w:rPr>
        <w:footnoteRef/>
      </w:r>
      <w:r w:rsidRPr="00941309">
        <w:rPr>
          <w:lang w:val="de-DE"/>
        </w:rPr>
        <w:t xml:space="preserve"> Marcus, </w:t>
      </w:r>
      <w:r w:rsidRPr="00941309">
        <w:rPr>
          <w:i/>
          <w:iCs/>
          <w:lang w:val="de-DE"/>
        </w:rPr>
        <w:t>Mark</w:t>
      </w:r>
      <w:r w:rsidRPr="00941309">
        <w:rPr>
          <w:lang w:val="de-DE"/>
        </w:rPr>
        <w:t xml:space="preserve">, </w:t>
      </w:r>
      <w:r w:rsidR="00225D76" w:rsidRPr="00941309">
        <w:rPr>
          <w:lang w:val="de-DE"/>
        </w:rPr>
        <w:t xml:space="preserve">171 – 176; </w:t>
      </w:r>
      <w:r w:rsidR="00450FA5" w:rsidRPr="00941309">
        <w:rPr>
          <w:lang w:val="de-DE"/>
        </w:rPr>
        <w:t xml:space="preserve">Mann, </w:t>
      </w:r>
      <w:r w:rsidR="00450FA5" w:rsidRPr="00941309">
        <w:rPr>
          <w:i/>
          <w:iCs/>
          <w:lang w:val="de-DE"/>
        </w:rPr>
        <w:t>Mark</w:t>
      </w:r>
      <w:r w:rsidR="00450FA5" w:rsidRPr="00941309">
        <w:rPr>
          <w:lang w:val="de-DE"/>
        </w:rPr>
        <w:t>, 204–207.</w:t>
      </w:r>
    </w:p>
  </w:footnote>
  <w:footnote w:id="104">
    <w:p w14:paraId="30B3EBC7" w14:textId="77777777" w:rsidR="00590B16" w:rsidRDefault="00590B16" w:rsidP="00590B16">
      <w:pPr>
        <w:pStyle w:val="FootnoteText"/>
        <w:ind w:firstLine="720"/>
      </w:pPr>
      <w:r>
        <w:rPr>
          <w:rStyle w:val="FootnoteReference"/>
        </w:rPr>
        <w:footnoteRef/>
      </w:r>
      <w:r>
        <w:t xml:space="preserve"> “After John had been arrested, Jesus came to Galilee preaching the good news of God and saying that ‘The time is fulfilled and the Kingdom of God has come near. Repent and believe in the good news.’”</w:t>
      </w:r>
    </w:p>
  </w:footnote>
  <w:footnote w:id="105">
    <w:p w14:paraId="7A7E32D3" w14:textId="0C6B1205" w:rsidR="00702624" w:rsidRDefault="00702624" w:rsidP="005374C0">
      <w:pPr>
        <w:pStyle w:val="FootnoteText"/>
        <w:ind w:firstLine="720"/>
      </w:pPr>
      <w:r>
        <w:rPr>
          <w:rStyle w:val="FootnoteReference"/>
        </w:rPr>
        <w:footnoteRef/>
      </w:r>
      <w:r>
        <w:t xml:space="preserve"> Especially in the words used, even though </w:t>
      </w:r>
      <w:r w:rsidR="001C16A3">
        <w:t>their order varies between all three authors.</w:t>
      </w:r>
      <w:r w:rsidR="00A92013">
        <w:t xml:space="preserve"> See </w:t>
      </w:r>
      <w:hyperlink r:id="rId9" w:history="1">
        <w:r w:rsidR="006E68BA" w:rsidRPr="005B6776">
          <w:rPr>
            <w:rStyle w:val="Hyperlink"/>
          </w:rPr>
          <w:t>https://dchristensen7452.github.io/GospelData/synopses/43Paralytic.html</w:t>
        </w:r>
      </w:hyperlink>
      <w:r w:rsidR="007B248B">
        <w:t>.</w:t>
      </w:r>
      <w:r w:rsidR="006E68BA">
        <w:t xml:space="preserve"> </w:t>
      </w:r>
    </w:p>
  </w:footnote>
  <w:footnote w:id="106">
    <w:p w14:paraId="7FC55C9F" w14:textId="3E3AABB4" w:rsidR="00A34EA8" w:rsidRDefault="00A34EA8" w:rsidP="00996F6F">
      <w:pPr>
        <w:pStyle w:val="FootnoteText"/>
        <w:ind w:firstLine="720"/>
      </w:pPr>
      <w:r>
        <w:rPr>
          <w:rStyle w:val="FootnoteReference"/>
        </w:rPr>
        <w:footnoteRef/>
      </w:r>
      <w:r>
        <w:t xml:space="preserve"> “</w:t>
      </w:r>
      <w:r w:rsidR="00226BE4">
        <w:t>on the earth.”</w:t>
      </w:r>
      <w:r w:rsidR="00B6525A">
        <w:t xml:space="preserve"> See</w:t>
      </w:r>
      <w:r w:rsidR="00942080">
        <w:t xml:space="preserve"> Nolland, </w:t>
      </w:r>
      <w:r w:rsidR="00942080" w:rsidRPr="00942080">
        <w:rPr>
          <w:i/>
          <w:iCs/>
        </w:rPr>
        <w:t>Gospel of Matthew</w:t>
      </w:r>
      <w:r w:rsidR="00942080">
        <w:t>, 382.</w:t>
      </w:r>
    </w:p>
  </w:footnote>
  <w:footnote w:id="107">
    <w:p w14:paraId="389FA919" w14:textId="4332F2A3" w:rsidR="0070737D" w:rsidRDefault="0070737D" w:rsidP="00584A38">
      <w:pPr>
        <w:pStyle w:val="FootnoteText"/>
        <w:ind w:firstLine="720"/>
      </w:pPr>
      <w:r>
        <w:rPr>
          <w:rStyle w:val="FootnoteReference"/>
        </w:rPr>
        <w:footnoteRef/>
      </w:r>
      <w:r>
        <w:t xml:space="preserve"> “</w:t>
      </w:r>
      <w:r w:rsidR="00492923">
        <w:t xml:space="preserve">But in order that you may know that the Son of Man </w:t>
      </w:r>
      <w:r w:rsidR="00A134BB">
        <w:t xml:space="preserve">on the earth </w:t>
      </w:r>
      <w:r w:rsidR="00331E0F">
        <w:t>has authority to forgive sins</w:t>
      </w:r>
      <w:r w:rsidR="00E23761">
        <w:t>.”</w:t>
      </w:r>
    </w:p>
  </w:footnote>
  <w:footnote w:id="108">
    <w:p w14:paraId="344FACE1" w14:textId="04E32207" w:rsidR="00CE08A8" w:rsidRDefault="00CE08A8" w:rsidP="00CE08A8">
      <w:pPr>
        <w:pStyle w:val="FootnoteText"/>
        <w:ind w:firstLine="720"/>
      </w:pPr>
      <w:r>
        <w:rPr>
          <w:rStyle w:val="FootnoteReference"/>
        </w:rPr>
        <w:footnoteRef/>
      </w:r>
      <w:r>
        <w:t xml:space="preserve"> “to forgive sins.”</w:t>
      </w:r>
    </w:p>
  </w:footnote>
  <w:footnote w:id="109">
    <w:p w14:paraId="2A864616" w14:textId="512FFA75" w:rsidR="00D633CE" w:rsidRDefault="00D633CE" w:rsidP="00A770D9">
      <w:pPr>
        <w:pStyle w:val="FootnoteText"/>
        <w:ind w:firstLine="720"/>
      </w:pPr>
      <w:r>
        <w:rPr>
          <w:rStyle w:val="FootnoteReference"/>
        </w:rPr>
        <w:footnoteRef/>
      </w:r>
      <w:r>
        <w:t xml:space="preserve"> “</w:t>
      </w:r>
      <w:r w:rsidR="00A770D9">
        <w:t>But</w:t>
      </w:r>
      <w:r>
        <w:t xml:space="preserve"> in order that you may know that the Son of Man has authority</w:t>
      </w:r>
      <w:r w:rsidR="00A770D9">
        <w:t xml:space="preserve"> on the earth to forgive sins.”</w:t>
      </w:r>
    </w:p>
  </w:footnote>
  <w:footnote w:id="110">
    <w:p w14:paraId="4685D16C" w14:textId="187E64F4" w:rsidR="00491DB2" w:rsidRDefault="00491DB2" w:rsidP="005A6BC5">
      <w:pPr>
        <w:pStyle w:val="FootnoteText"/>
        <w:ind w:firstLine="720"/>
      </w:pPr>
      <w:r>
        <w:rPr>
          <w:rStyle w:val="FootnoteReference"/>
        </w:rPr>
        <w:footnoteRef/>
      </w:r>
      <w:r>
        <w:t xml:space="preserve"> </w:t>
      </w:r>
      <w:r w:rsidRPr="00491DB2">
        <w:rPr>
          <w:lang w:val="el-GR"/>
        </w:rPr>
        <w:t>ἵνα</w:t>
      </w:r>
      <w:r w:rsidRPr="00491DB2">
        <w:t xml:space="preserve"> </w:t>
      </w:r>
      <w:r w:rsidRPr="00491DB2">
        <w:rPr>
          <w:lang w:val="el-GR"/>
        </w:rPr>
        <w:t>δὲ</w:t>
      </w:r>
      <w:r w:rsidRPr="00491DB2">
        <w:t xml:space="preserve"> </w:t>
      </w:r>
      <w:r w:rsidRPr="00491DB2">
        <w:rPr>
          <w:lang w:val="el-GR"/>
        </w:rPr>
        <w:t>εἰδῆτε</w:t>
      </w:r>
      <w:r w:rsidRPr="00491DB2">
        <w:t xml:space="preserve"> </w:t>
      </w:r>
      <w:r w:rsidRPr="00491DB2">
        <w:rPr>
          <w:lang w:val="el-GR"/>
        </w:rPr>
        <w:t>ὅτι</w:t>
      </w:r>
      <w:r w:rsidRPr="00491DB2">
        <w:t xml:space="preserve"> </w:t>
      </w:r>
      <w:r w:rsidRPr="00491DB2">
        <w:rPr>
          <w:lang w:val="el-GR"/>
        </w:rPr>
        <w:t>ἐξουσίαν</w:t>
      </w:r>
      <w:r w:rsidRPr="00491DB2">
        <w:t xml:space="preserve"> </w:t>
      </w:r>
      <w:r w:rsidRPr="00491DB2">
        <w:rPr>
          <w:lang w:val="el-GR"/>
        </w:rPr>
        <w:t>ἔχει</w:t>
      </w:r>
      <w:r w:rsidRPr="00491DB2">
        <w:t xml:space="preserve"> </w:t>
      </w:r>
      <w:r w:rsidRPr="00491DB2">
        <w:rPr>
          <w:lang w:val="el-GR"/>
        </w:rPr>
        <w:t>ὁ</w:t>
      </w:r>
      <w:r w:rsidRPr="00491DB2">
        <w:t xml:space="preserve"> </w:t>
      </w:r>
      <w:r w:rsidRPr="00491DB2">
        <w:rPr>
          <w:lang w:val="el-GR"/>
        </w:rPr>
        <w:t>υἱὸς</w:t>
      </w:r>
      <w:r w:rsidRPr="00491DB2">
        <w:t xml:space="preserve"> </w:t>
      </w:r>
      <w:r w:rsidRPr="00491DB2">
        <w:rPr>
          <w:lang w:val="el-GR"/>
        </w:rPr>
        <w:t>τοῦ</w:t>
      </w:r>
      <w:r w:rsidRPr="00491DB2">
        <w:t xml:space="preserve"> </w:t>
      </w:r>
      <w:r w:rsidRPr="00491DB2">
        <w:rPr>
          <w:lang w:val="el-GR"/>
        </w:rPr>
        <w:t>ἀνθρώπου</w:t>
      </w:r>
      <w:r w:rsidRPr="00491DB2">
        <w:t xml:space="preserve"> </w:t>
      </w:r>
      <w:r w:rsidRPr="00491DB2">
        <w:rPr>
          <w:lang w:val="el-GR"/>
        </w:rPr>
        <w:t>ἀφιέναι</w:t>
      </w:r>
      <w:r w:rsidRPr="00491DB2">
        <w:t xml:space="preserve"> </w:t>
      </w:r>
      <w:r w:rsidRPr="00491DB2">
        <w:rPr>
          <w:lang w:val="el-GR"/>
        </w:rPr>
        <w:t>ἁμαρτίας</w:t>
      </w:r>
      <w:r w:rsidRPr="00491DB2">
        <w:t xml:space="preserve"> </w:t>
      </w:r>
      <w:r w:rsidRPr="00491DB2">
        <w:rPr>
          <w:lang w:val="el-GR"/>
        </w:rPr>
        <w:t>ἐπὶ</w:t>
      </w:r>
      <w:r w:rsidRPr="00491DB2">
        <w:t xml:space="preserve"> </w:t>
      </w:r>
      <w:r w:rsidRPr="00491DB2">
        <w:rPr>
          <w:lang w:val="el-GR"/>
        </w:rPr>
        <w:t>τῆς</w:t>
      </w:r>
      <w:r w:rsidRPr="00491DB2">
        <w:t xml:space="preserve"> </w:t>
      </w:r>
      <w:r w:rsidRPr="00491DB2">
        <w:rPr>
          <w:lang w:val="el-GR"/>
        </w:rPr>
        <w:t>γῆς</w:t>
      </w:r>
      <w:r w:rsidRPr="00491DB2">
        <w:t xml:space="preserve"> </w:t>
      </w:r>
      <w:r w:rsidR="002F7FC8">
        <w:t>(</w:t>
      </w:r>
      <w:r w:rsidR="00BE1401">
        <w:t>“</w:t>
      </w:r>
      <w:r w:rsidR="002F7FC8">
        <w:t>But in order that you may know that the Son of Man has authority to forgive sins on the earth” [Mk 2:10]).</w:t>
      </w:r>
    </w:p>
  </w:footnote>
  <w:footnote w:id="111">
    <w:p w14:paraId="07B9BD4A" w14:textId="2806AB6D" w:rsidR="00350610" w:rsidRDefault="00350610">
      <w:pPr>
        <w:pStyle w:val="FootnoteText"/>
      </w:pPr>
      <w:r>
        <w:rPr>
          <w:rStyle w:val="FootnoteReference"/>
        </w:rPr>
        <w:footnoteRef/>
      </w:r>
      <w:r>
        <w:t xml:space="preserve"> See </w:t>
      </w:r>
      <w:hyperlink r:id="rId10" w:history="1">
        <w:r>
          <w:rPr>
            <w:rStyle w:val="Hyperlink"/>
          </w:rPr>
          <w:t>https://dchristensen7452.github.io/GospelData/</w:t>
        </w:r>
      </w:hyperlink>
      <w:r>
        <w:t>.</w:t>
      </w:r>
    </w:p>
  </w:footnote>
  <w:footnote w:id="112">
    <w:p w14:paraId="38CF7C43" w14:textId="403E3C93" w:rsidR="005A51FF" w:rsidRDefault="005A51FF" w:rsidP="005A51FF">
      <w:pPr>
        <w:pStyle w:val="FootnoteText"/>
        <w:ind w:firstLine="720"/>
      </w:pPr>
      <w:r>
        <w:rPr>
          <w:rStyle w:val="FootnoteReference"/>
        </w:rPr>
        <w:footnoteRef/>
      </w:r>
      <w:r>
        <w:t xml:space="preserve"> Numbers before a backslash are counts of words that match in morphology. Numbers after a backslash are counts of words that match in lemma.</w:t>
      </w:r>
      <w:r w:rsidR="00685345">
        <w:t xml:space="preserve"> </w:t>
      </w:r>
      <w:r w:rsidR="00E10535">
        <w:t>Digital representations of the pericopes discussed in this paper may be found at</w:t>
      </w:r>
      <w:r w:rsidR="0047762F">
        <w:t xml:space="preserve"> </w:t>
      </w:r>
      <w:hyperlink r:id="rId11" w:history="1">
        <w:r w:rsidR="0047762F">
          <w:rPr>
            <w:rStyle w:val="Hyperlink"/>
          </w:rPr>
          <w:t>https://dchristensen7452.github.io/GospelData/</w:t>
        </w:r>
      </w:hyperlink>
      <w:r w:rsidR="0047762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041048"/>
      <w:docPartObj>
        <w:docPartGallery w:val="Page Numbers (Top of Page)"/>
        <w:docPartUnique/>
      </w:docPartObj>
    </w:sdtPr>
    <w:sdtEndPr>
      <w:rPr>
        <w:noProof/>
      </w:rPr>
    </w:sdtEndPr>
    <w:sdtContent>
      <w:p w14:paraId="4E05147A" w14:textId="517E30D9" w:rsidR="00981454" w:rsidRDefault="009814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EF5E85" w14:textId="77777777" w:rsidR="00981454" w:rsidRDefault="00981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759756"/>
      <w:docPartObj>
        <w:docPartGallery w:val="Page Numbers (Top of Page)"/>
        <w:docPartUnique/>
      </w:docPartObj>
    </w:sdtPr>
    <w:sdtEndPr>
      <w:rPr>
        <w:noProof/>
      </w:rPr>
    </w:sdtEndPr>
    <w:sdtContent>
      <w:p w14:paraId="647BF3B1" w14:textId="77777777" w:rsidR="006F482E" w:rsidRDefault="005221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40BC80" w14:textId="77777777" w:rsidR="006F482E" w:rsidRDefault="002D0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F478C"/>
    <w:multiLevelType w:val="hybridMultilevel"/>
    <w:tmpl w:val="ABD48C34"/>
    <w:lvl w:ilvl="0" w:tplc="C930F1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54"/>
    <w:rsid w:val="000008B2"/>
    <w:rsid w:val="00001353"/>
    <w:rsid w:val="00001741"/>
    <w:rsid w:val="000019BA"/>
    <w:rsid w:val="000021C5"/>
    <w:rsid w:val="000026A2"/>
    <w:rsid w:val="00003E85"/>
    <w:rsid w:val="00003EF3"/>
    <w:rsid w:val="0000417F"/>
    <w:rsid w:val="00004A0E"/>
    <w:rsid w:val="0000500A"/>
    <w:rsid w:val="000059B7"/>
    <w:rsid w:val="00005F40"/>
    <w:rsid w:val="00006349"/>
    <w:rsid w:val="000063E9"/>
    <w:rsid w:val="00006AF8"/>
    <w:rsid w:val="00007760"/>
    <w:rsid w:val="0000785C"/>
    <w:rsid w:val="000079DD"/>
    <w:rsid w:val="00010AE8"/>
    <w:rsid w:val="00010C1A"/>
    <w:rsid w:val="000114B4"/>
    <w:rsid w:val="00011AE3"/>
    <w:rsid w:val="00011AE9"/>
    <w:rsid w:val="00012A4D"/>
    <w:rsid w:val="0001336B"/>
    <w:rsid w:val="00013FEA"/>
    <w:rsid w:val="0001422E"/>
    <w:rsid w:val="00014BB2"/>
    <w:rsid w:val="0001611C"/>
    <w:rsid w:val="00016239"/>
    <w:rsid w:val="00016D49"/>
    <w:rsid w:val="00017D09"/>
    <w:rsid w:val="00017D16"/>
    <w:rsid w:val="00017FCE"/>
    <w:rsid w:val="00020265"/>
    <w:rsid w:val="00022464"/>
    <w:rsid w:val="00022891"/>
    <w:rsid w:val="00022C80"/>
    <w:rsid w:val="0002328E"/>
    <w:rsid w:val="000245EA"/>
    <w:rsid w:val="00024AF2"/>
    <w:rsid w:val="000256C4"/>
    <w:rsid w:val="00026750"/>
    <w:rsid w:val="00026874"/>
    <w:rsid w:val="00026A1F"/>
    <w:rsid w:val="00026D0F"/>
    <w:rsid w:val="0002731E"/>
    <w:rsid w:val="0002784A"/>
    <w:rsid w:val="0003088E"/>
    <w:rsid w:val="000323D2"/>
    <w:rsid w:val="0003283B"/>
    <w:rsid w:val="0003335E"/>
    <w:rsid w:val="00033DAD"/>
    <w:rsid w:val="00035B1B"/>
    <w:rsid w:val="00035ECD"/>
    <w:rsid w:val="00035FE7"/>
    <w:rsid w:val="00035FED"/>
    <w:rsid w:val="00036A71"/>
    <w:rsid w:val="00036C3F"/>
    <w:rsid w:val="00040E7A"/>
    <w:rsid w:val="00041551"/>
    <w:rsid w:val="00041B4A"/>
    <w:rsid w:val="00042DE7"/>
    <w:rsid w:val="00043954"/>
    <w:rsid w:val="00043CB7"/>
    <w:rsid w:val="00044EAD"/>
    <w:rsid w:val="00045B37"/>
    <w:rsid w:val="00046801"/>
    <w:rsid w:val="000472A4"/>
    <w:rsid w:val="0004753E"/>
    <w:rsid w:val="00047716"/>
    <w:rsid w:val="00050484"/>
    <w:rsid w:val="000504A1"/>
    <w:rsid w:val="00050C1D"/>
    <w:rsid w:val="00050D51"/>
    <w:rsid w:val="00051CA3"/>
    <w:rsid w:val="00052B91"/>
    <w:rsid w:val="00052F49"/>
    <w:rsid w:val="00053202"/>
    <w:rsid w:val="0005394C"/>
    <w:rsid w:val="000539F0"/>
    <w:rsid w:val="000549B2"/>
    <w:rsid w:val="00054DDC"/>
    <w:rsid w:val="00054E51"/>
    <w:rsid w:val="000552BE"/>
    <w:rsid w:val="00055572"/>
    <w:rsid w:val="00055773"/>
    <w:rsid w:val="00055843"/>
    <w:rsid w:val="00055BFC"/>
    <w:rsid w:val="00056C33"/>
    <w:rsid w:val="00057CD3"/>
    <w:rsid w:val="0006016C"/>
    <w:rsid w:val="00060665"/>
    <w:rsid w:val="00061486"/>
    <w:rsid w:val="00061F5A"/>
    <w:rsid w:val="00061FB3"/>
    <w:rsid w:val="00062A72"/>
    <w:rsid w:val="00062FD9"/>
    <w:rsid w:val="00063344"/>
    <w:rsid w:val="0006344E"/>
    <w:rsid w:val="0006349E"/>
    <w:rsid w:val="000637D3"/>
    <w:rsid w:val="00063DF9"/>
    <w:rsid w:val="0006424D"/>
    <w:rsid w:val="0006532B"/>
    <w:rsid w:val="000658C6"/>
    <w:rsid w:val="00066E39"/>
    <w:rsid w:val="00067E48"/>
    <w:rsid w:val="00067F22"/>
    <w:rsid w:val="00070A80"/>
    <w:rsid w:val="000716B6"/>
    <w:rsid w:val="00072053"/>
    <w:rsid w:val="000724C9"/>
    <w:rsid w:val="0007305D"/>
    <w:rsid w:val="00074EE7"/>
    <w:rsid w:val="00075776"/>
    <w:rsid w:val="00075C10"/>
    <w:rsid w:val="00075CDC"/>
    <w:rsid w:val="00075D2D"/>
    <w:rsid w:val="0007630F"/>
    <w:rsid w:val="00077933"/>
    <w:rsid w:val="00077999"/>
    <w:rsid w:val="00077BB5"/>
    <w:rsid w:val="00077E67"/>
    <w:rsid w:val="000815B9"/>
    <w:rsid w:val="000815DF"/>
    <w:rsid w:val="00083EB4"/>
    <w:rsid w:val="00084328"/>
    <w:rsid w:val="00084842"/>
    <w:rsid w:val="000857D5"/>
    <w:rsid w:val="000862E8"/>
    <w:rsid w:val="0008688B"/>
    <w:rsid w:val="0008768B"/>
    <w:rsid w:val="00087E5A"/>
    <w:rsid w:val="00087F3E"/>
    <w:rsid w:val="000900A9"/>
    <w:rsid w:val="00090593"/>
    <w:rsid w:val="00090867"/>
    <w:rsid w:val="000918DB"/>
    <w:rsid w:val="000934B6"/>
    <w:rsid w:val="00094731"/>
    <w:rsid w:val="0009479C"/>
    <w:rsid w:val="000953B9"/>
    <w:rsid w:val="0009545F"/>
    <w:rsid w:val="00095D08"/>
    <w:rsid w:val="00096BEE"/>
    <w:rsid w:val="000976D2"/>
    <w:rsid w:val="000979C0"/>
    <w:rsid w:val="000A0680"/>
    <w:rsid w:val="000A08A8"/>
    <w:rsid w:val="000A17FE"/>
    <w:rsid w:val="000A1DD2"/>
    <w:rsid w:val="000A26D8"/>
    <w:rsid w:val="000A3102"/>
    <w:rsid w:val="000A3443"/>
    <w:rsid w:val="000A355B"/>
    <w:rsid w:val="000A39A6"/>
    <w:rsid w:val="000A50B1"/>
    <w:rsid w:val="000A5DB5"/>
    <w:rsid w:val="000A5E7B"/>
    <w:rsid w:val="000A6AAA"/>
    <w:rsid w:val="000A6F67"/>
    <w:rsid w:val="000A739A"/>
    <w:rsid w:val="000A780C"/>
    <w:rsid w:val="000B0808"/>
    <w:rsid w:val="000B123B"/>
    <w:rsid w:val="000B2735"/>
    <w:rsid w:val="000B2955"/>
    <w:rsid w:val="000B29B7"/>
    <w:rsid w:val="000B2B0B"/>
    <w:rsid w:val="000B2F9B"/>
    <w:rsid w:val="000B3994"/>
    <w:rsid w:val="000B39F5"/>
    <w:rsid w:val="000B3F1A"/>
    <w:rsid w:val="000B506E"/>
    <w:rsid w:val="000B54D9"/>
    <w:rsid w:val="000B6FC1"/>
    <w:rsid w:val="000B7818"/>
    <w:rsid w:val="000C07F3"/>
    <w:rsid w:val="000C0BE7"/>
    <w:rsid w:val="000C18B8"/>
    <w:rsid w:val="000C19B2"/>
    <w:rsid w:val="000C21E7"/>
    <w:rsid w:val="000C2C0E"/>
    <w:rsid w:val="000C2CA6"/>
    <w:rsid w:val="000C358D"/>
    <w:rsid w:val="000C3CCF"/>
    <w:rsid w:val="000C5160"/>
    <w:rsid w:val="000C56CF"/>
    <w:rsid w:val="000C58D6"/>
    <w:rsid w:val="000C6926"/>
    <w:rsid w:val="000C7794"/>
    <w:rsid w:val="000C7B19"/>
    <w:rsid w:val="000D0403"/>
    <w:rsid w:val="000D073C"/>
    <w:rsid w:val="000D10BB"/>
    <w:rsid w:val="000D1A61"/>
    <w:rsid w:val="000D2188"/>
    <w:rsid w:val="000D24C4"/>
    <w:rsid w:val="000D2569"/>
    <w:rsid w:val="000D2789"/>
    <w:rsid w:val="000D3839"/>
    <w:rsid w:val="000D4DEE"/>
    <w:rsid w:val="000D561C"/>
    <w:rsid w:val="000D562A"/>
    <w:rsid w:val="000D5837"/>
    <w:rsid w:val="000D7609"/>
    <w:rsid w:val="000D791E"/>
    <w:rsid w:val="000E1458"/>
    <w:rsid w:val="000E1AB4"/>
    <w:rsid w:val="000E1B57"/>
    <w:rsid w:val="000E21F6"/>
    <w:rsid w:val="000E3C98"/>
    <w:rsid w:val="000E41AB"/>
    <w:rsid w:val="000E439E"/>
    <w:rsid w:val="000E4DEB"/>
    <w:rsid w:val="000E526C"/>
    <w:rsid w:val="000E5563"/>
    <w:rsid w:val="000E5829"/>
    <w:rsid w:val="000E5CB9"/>
    <w:rsid w:val="000E63FC"/>
    <w:rsid w:val="000E6814"/>
    <w:rsid w:val="000E6BA5"/>
    <w:rsid w:val="000E7974"/>
    <w:rsid w:val="000E7F51"/>
    <w:rsid w:val="000F0773"/>
    <w:rsid w:val="000F104E"/>
    <w:rsid w:val="000F126A"/>
    <w:rsid w:val="000F32E7"/>
    <w:rsid w:val="000F3850"/>
    <w:rsid w:val="000F3B68"/>
    <w:rsid w:val="000F4276"/>
    <w:rsid w:val="000F42D1"/>
    <w:rsid w:val="000F4724"/>
    <w:rsid w:val="000F535D"/>
    <w:rsid w:val="000F5BE2"/>
    <w:rsid w:val="000F5D32"/>
    <w:rsid w:val="000F5E65"/>
    <w:rsid w:val="000F5FCB"/>
    <w:rsid w:val="000F6B1E"/>
    <w:rsid w:val="000F6E22"/>
    <w:rsid w:val="000F6E58"/>
    <w:rsid w:val="000F709E"/>
    <w:rsid w:val="000F7213"/>
    <w:rsid w:val="000F749D"/>
    <w:rsid w:val="000F792D"/>
    <w:rsid w:val="000F7AB0"/>
    <w:rsid w:val="00102B80"/>
    <w:rsid w:val="00104533"/>
    <w:rsid w:val="00104C18"/>
    <w:rsid w:val="00105348"/>
    <w:rsid w:val="00105D44"/>
    <w:rsid w:val="00106144"/>
    <w:rsid w:val="001065A6"/>
    <w:rsid w:val="00107529"/>
    <w:rsid w:val="0011043F"/>
    <w:rsid w:val="0011077B"/>
    <w:rsid w:val="0011112A"/>
    <w:rsid w:val="00111B28"/>
    <w:rsid w:val="0011212F"/>
    <w:rsid w:val="0011215B"/>
    <w:rsid w:val="001128E1"/>
    <w:rsid w:val="00112FA7"/>
    <w:rsid w:val="00114465"/>
    <w:rsid w:val="00114885"/>
    <w:rsid w:val="00114F6D"/>
    <w:rsid w:val="001150C9"/>
    <w:rsid w:val="0011515C"/>
    <w:rsid w:val="00115410"/>
    <w:rsid w:val="0011577D"/>
    <w:rsid w:val="00115DA2"/>
    <w:rsid w:val="00115E46"/>
    <w:rsid w:val="00116F3F"/>
    <w:rsid w:val="0011789C"/>
    <w:rsid w:val="00117BBF"/>
    <w:rsid w:val="00117F08"/>
    <w:rsid w:val="001201C5"/>
    <w:rsid w:val="001210AE"/>
    <w:rsid w:val="00121355"/>
    <w:rsid w:val="0012170C"/>
    <w:rsid w:val="00122B32"/>
    <w:rsid w:val="00122C7E"/>
    <w:rsid w:val="00123C4B"/>
    <w:rsid w:val="00124D5B"/>
    <w:rsid w:val="00124E1E"/>
    <w:rsid w:val="00125B9D"/>
    <w:rsid w:val="00125D2E"/>
    <w:rsid w:val="00126E9D"/>
    <w:rsid w:val="001279D8"/>
    <w:rsid w:val="001300F1"/>
    <w:rsid w:val="00130A86"/>
    <w:rsid w:val="00130BA9"/>
    <w:rsid w:val="00130CDF"/>
    <w:rsid w:val="00130F25"/>
    <w:rsid w:val="00131A4F"/>
    <w:rsid w:val="0013205B"/>
    <w:rsid w:val="0013321C"/>
    <w:rsid w:val="0013370C"/>
    <w:rsid w:val="00134CF1"/>
    <w:rsid w:val="001352DE"/>
    <w:rsid w:val="00135604"/>
    <w:rsid w:val="0013686A"/>
    <w:rsid w:val="00136BED"/>
    <w:rsid w:val="00136C6B"/>
    <w:rsid w:val="001405B3"/>
    <w:rsid w:val="0014062C"/>
    <w:rsid w:val="00140897"/>
    <w:rsid w:val="00140FEA"/>
    <w:rsid w:val="00141C0D"/>
    <w:rsid w:val="001424A2"/>
    <w:rsid w:val="0014265B"/>
    <w:rsid w:val="001427FE"/>
    <w:rsid w:val="00142ECA"/>
    <w:rsid w:val="00143673"/>
    <w:rsid w:val="001444E2"/>
    <w:rsid w:val="00144CE9"/>
    <w:rsid w:val="001458D1"/>
    <w:rsid w:val="001458E8"/>
    <w:rsid w:val="00150B06"/>
    <w:rsid w:val="00150E24"/>
    <w:rsid w:val="001510C1"/>
    <w:rsid w:val="00151271"/>
    <w:rsid w:val="001527CC"/>
    <w:rsid w:val="00152C7D"/>
    <w:rsid w:val="001539C0"/>
    <w:rsid w:val="00154831"/>
    <w:rsid w:val="001560B1"/>
    <w:rsid w:val="001566ED"/>
    <w:rsid w:val="00156D07"/>
    <w:rsid w:val="001570DE"/>
    <w:rsid w:val="00157297"/>
    <w:rsid w:val="00157C02"/>
    <w:rsid w:val="00157C91"/>
    <w:rsid w:val="00157FAF"/>
    <w:rsid w:val="001611D4"/>
    <w:rsid w:val="00162351"/>
    <w:rsid w:val="001624EF"/>
    <w:rsid w:val="00162E91"/>
    <w:rsid w:val="00163565"/>
    <w:rsid w:val="00164510"/>
    <w:rsid w:val="00164D92"/>
    <w:rsid w:val="0016516C"/>
    <w:rsid w:val="00165DE8"/>
    <w:rsid w:val="001662C0"/>
    <w:rsid w:val="00166351"/>
    <w:rsid w:val="00166871"/>
    <w:rsid w:val="00167330"/>
    <w:rsid w:val="001700D6"/>
    <w:rsid w:val="0017109A"/>
    <w:rsid w:val="00171F0D"/>
    <w:rsid w:val="001721F1"/>
    <w:rsid w:val="001725EE"/>
    <w:rsid w:val="00172E1C"/>
    <w:rsid w:val="00172F64"/>
    <w:rsid w:val="00173055"/>
    <w:rsid w:val="0017429A"/>
    <w:rsid w:val="00174F89"/>
    <w:rsid w:val="0017594F"/>
    <w:rsid w:val="00175BF8"/>
    <w:rsid w:val="001760ED"/>
    <w:rsid w:val="00176453"/>
    <w:rsid w:val="00176982"/>
    <w:rsid w:val="001773C9"/>
    <w:rsid w:val="0017764E"/>
    <w:rsid w:val="00177871"/>
    <w:rsid w:val="0017789B"/>
    <w:rsid w:val="00181289"/>
    <w:rsid w:val="00182295"/>
    <w:rsid w:val="00182412"/>
    <w:rsid w:val="00183263"/>
    <w:rsid w:val="0018401D"/>
    <w:rsid w:val="001847EE"/>
    <w:rsid w:val="00184C78"/>
    <w:rsid w:val="00184D16"/>
    <w:rsid w:val="00185BAE"/>
    <w:rsid w:val="00186814"/>
    <w:rsid w:val="00186A7A"/>
    <w:rsid w:val="0018708A"/>
    <w:rsid w:val="00187CE4"/>
    <w:rsid w:val="0019181D"/>
    <w:rsid w:val="00191C7F"/>
    <w:rsid w:val="001920FB"/>
    <w:rsid w:val="00192EC3"/>
    <w:rsid w:val="001933D4"/>
    <w:rsid w:val="00193B5D"/>
    <w:rsid w:val="0019439D"/>
    <w:rsid w:val="0019465E"/>
    <w:rsid w:val="00194712"/>
    <w:rsid w:val="00195A2C"/>
    <w:rsid w:val="00195FD2"/>
    <w:rsid w:val="00197354"/>
    <w:rsid w:val="0019772A"/>
    <w:rsid w:val="00197C76"/>
    <w:rsid w:val="00197EB7"/>
    <w:rsid w:val="001A03EC"/>
    <w:rsid w:val="001A0D38"/>
    <w:rsid w:val="001A180E"/>
    <w:rsid w:val="001A228D"/>
    <w:rsid w:val="001A29CD"/>
    <w:rsid w:val="001A2BFF"/>
    <w:rsid w:val="001A2F7B"/>
    <w:rsid w:val="001A3FDB"/>
    <w:rsid w:val="001A4FB4"/>
    <w:rsid w:val="001A5830"/>
    <w:rsid w:val="001A6F7E"/>
    <w:rsid w:val="001A75CF"/>
    <w:rsid w:val="001A7D98"/>
    <w:rsid w:val="001B02A7"/>
    <w:rsid w:val="001B1B0B"/>
    <w:rsid w:val="001B2503"/>
    <w:rsid w:val="001B27D6"/>
    <w:rsid w:val="001B3556"/>
    <w:rsid w:val="001B3E24"/>
    <w:rsid w:val="001B576B"/>
    <w:rsid w:val="001B5AA4"/>
    <w:rsid w:val="001B6A49"/>
    <w:rsid w:val="001B6DC8"/>
    <w:rsid w:val="001B7B7F"/>
    <w:rsid w:val="001C0035"/>
    <w:rsid w:val="001C0252"/>
    <w:rsid w:val="001C07C9"/>
    <w:rsid w:val="001C08DD"/>
    <w:rsid w:val="001C0B66"/>
    <w:rsid w:val="001C16A3"/>
    <w:rsid w:val="001C193B"/>
    <w:rsid w:val="001C1F75"/>
    <w:rsid w:val="001C27C4"/>
    <w:rsid w:val="001C3AE6"/>
    <w:rsid w:val="001C40BB"/>
    <w:rsid w:val="001C49B7"/>
    <w:rsid w:val="001C4D21"/>
    <w:rsid w:val="001C5A87"/>
    <w:rsid w:val="001C62A2"/>
    <w:rsid w:val="001C66C4"/>
    <w:rsid w:val="001C6A59"/>
    <w:rsid w:val="001C71B7"/>
    <w:rsid w:val="001C72F3"/>
    <w:rsid w:val="001C76C7"/>
    <w:rsid w:val="001C7782"/>
    <w:rsid w:val="001C7AED"/>
    <w:rsid w:val="001C7AFA"/>
    <w:rsid w:val="001D05D7"/>
    <w:rsid w:val="001D0742"/>
    <w:rsid w:val="001D0EFD"/>
    <w:rsid w:val="001D1052"/>
    <w:rsid w:val="001D114C"/>
    <w:rsid w:val="001D17DF"/>
    <w:rsid w:val="001D194C"/>
    <w:rsid w:val="001D268E"/>
    <w:rsid w:val="001D3189"/>
    <w:rsid w:val="001D326B"/>
    <w:rsid w:val="001D3631"/>
    <w:rsid w:val="001D3C49"/>
    <w:rsid w:val="001D499E"/>
    <w:rsid w:val="001D5891"/>
    <w:rsid w:val="001D73A9"/>
    <w:rsid w:val="001E07C0"/>
    <w:rsid w:val="001E0CB6"/>
    <w:rsid w:val="001E2012"/>
    <w:rsid w:val="001E256E"/>
    <w:rsid w:val="001E2CFE"/>
    <w:rsid w:val="001E3127"/>
    <w:rsid w:val="001E378A"/>
    <w:rsid w:val="001E46B8"/>
    <w:rsid w:val="001E4FCE"/>
    <w:rsid w:val="001E5BC0"/>
    <w:rsid w:val="001E6385"/>
    <w:rsid w:val="001E674A"/>
    <w:rsid w:val="001E6EAF"/>
    <w:rsid w:val="001E7095"/>
    <w:rsid w:val="001E7890"/>
    <w:rsid w:val="001E7A5F"/>
    <w:rsid w:val="001F1458"/>
    <w:rsid w:val="001F1919"/>
    <w:rsid w:val="001F1EC0"/>
    <w:rsid w:val="001F2102"/>
    <w:rsid w:val="001F3B54"/>
    <w:rsid w:val="001F3C6B"/>
    <w:rsid w:val="001F4432"/>
    <w:rsid w:val="001F4990"/>
    <w:rsid w:val="001F4AE6"/>
    <w:rsid w:val="001F5335"/>
    <w:rsid w:val="001F54C7"/>
    <w:rsid w:val="001F5831"/>
    <w:rsid w:val="001F5F77"/>
    <w:rsid w:val="001F6254"/>
    <w:rsid w:val="001F6641"/>
    <w:rsid w:val="001F6E16"/>
    <w:rsid w:val="001F78C3"/>
    <w:rsid w:val="002010F2"/>
    <w:rsid w:val="00201EE3"/>
    <w:rsid w:val="00202221"/>
    <w:rsid w:val="00202A1C"/>
    <w:rsid w:val="00202EFC"/>
    <w:rsid w:val="00203178"/>
    <w:rsid w:val="00203667"/>
    <w:rsid w:val="002041AC"/>
    <w:rsid w:val="00204DBB"/>
    <w:rsid w:val="00205F1D"/>
    <w:rsid w:val="00206029"/>
    <w:rsid w:val="00206C0E"/>
    <w:rsid w:val="0020753C"/>
    <w:rsid w:val="002076F9"/>
    <w:rsid w:val="00207885"/>
    <w:rsid w:val="002103C7"/>
    <w:rsid w:val="00210912"/>
    <w:rsid w:val="00210CA5"/>
    <w:rsid w:val="00210E9D"/>
    <w:rsid w:val="0021140B"/>
    <w:rsid w:val="00211713"/>
    <w:rsid w:val="00211D40"/>
    <w:rsid w:val="0021241A"/>
    <w:rsid w:val="00212D07"/>
    <w:rsid w:val="00213D42"/>
    <w:rsid w:val="002143DD"/>
    <w:rsid w:val="0021523C"/>
    <w:rsid w:val="002157D3"/>
    <w:rsid w:val="00215AF9"/>
    <w:rsid w:val="00216264"/>
    <w:rsid w:val="0021710A"/>
    <w:rsid w:val="00217452"/>
    <w:rsid w:val="002176A8"/>
    <w:rsid w:val="002206F5"/>
    <w:rsid w:val="00220D5D"/>
    <w:rsid w:val="00220FE5"/>
    <w:rsid w:val="00222D49"/>
    <w:rsid w:val="00222E7F"/>
    <w:rsid w:val="00223167"/>
    <w:rsid w:val="0022369C"/>
    <w:rsid w:val="0022409E"/>
    <w:rsid w:val="002242B2"/>
    <w:rsid w:val="002247AD"/>
    <w:rsid w:val="00224AAA"/>
    <w:rsid w:val="00225A3D"/>
    <w:rsid w:val="00225D76"/>
    <w:rsid w:val="0022605E"/>
    <w:rsid w:val="00226A5B"/>
    <w:rsid w:val="00226BE4"/>
    <w:rsid w:val="00226C38"/>
    <w:rsid w:val="00226F22"/>
    <w:rsid w:val="00227316"/>
    <w:rsid w:val="00227DC1"/>
    <w:rsid w:val="0023064A"/>
    <w:rsid w:val="00230A46"/>
    <w:rsid w:val="002318F2"/>
    <w:rsid w:val="00231FCA"/>
    <w:rsid w:val="002322CE"/>
    <w:rsid w:val="00232679"/>
    <w:rsid w:val="00233DB2"/>
    <w:rsid w:val="0023423D"/>
    <w:rsid w:val="002344E9"/>
    <w:rsid w:val="0023644F"/>
    <w:rsid w:val="00236D84"/>
    <w:rsid w:val="00237976"/>
    <w:rsid w:val="00237D0D"/>
    <w:rsid w:val="002402A2"/>
    <w:rsid w:val="00240CC0"/>
    <w:rsid w:val="00241155"/>
    <w:rsid w:val="00241980"/>
    <w:rsid w:val="00241C43"/>
    <w:rsid w:val="002424E9"/>
    <w:rsid w:val="0024367F"/>
    <w:rsid w:val="00243A17"/>
    <w:rsid w:val="00243A43"/>
    <w:rsid w:val="00244C51"/>
    <w:rsid w:val="00246143"/>
    <w:rsid w:val="002462EE"/>
    <w:rsid w:val="00246C6D"/>
    <w:rsid w:val="00247013"/>
    <w:rsid w:val="00247025"/>
    <w:rsid w:val="00247C34"/>
    <w:rsid w:val="002500C3"/>
    <w:rsid w:val="00250AA3"/>
    <w:rsid w:val="0025122F"/>
    <w:rsid w:val="00251BF0"/>
    <w:rsid w:val="0025203F"/>
    <w:rsid w:val="00252413"/>
    <w:rsid w:val="0025262D"/>
    <w:rsid w:val="00252738"/>
    <w:rsid w:val="002527E3"/>
    <w:rsid w:val="00252AB0"/>
    <w:rsid w:val="0025360B"/>
    <w:rsid w:val="00253706"/>
    <w:rsid w:val="00253A21"/>
    <w:rsid w:val="002546D7"/>
    <w:rsid w:val="00254DDB"/>
    <w:rsid w:val="00254DED"/>
    <w:rsid w:val="0025539A"/>
    <w:rsid w:val="00255668"/>
    <w:rsid w:val="00255D43"/>
    <w:rsid w:val="00255EAC"/>
    <w:rsid w:val="00256286"/>
    <w:rsid w:val="002565F7"/>
    <w:rsid w:val="00256917"/>
    <w:rsid w:val="002570A4"/>
    <w:rsid w:val="00257C91"/>
    <w:rsid w:val="0026073F"/>
    <w:rsid w:val="00261A91"/>
    <w:rsid w:val="002624C5"/>
    <w:rsid w:val="00262DB2"/>
    <w:rsid w:val="0026307E"/>
    <w:rsid w:val="00263B8F"/>
    <w:rsid w:val="002653F1"/>
    <w:rsid w:val="00265A61"/>
    <w:rsid w:val="00265CD4"/>
    <w:rsid w:val="00265F65"/>
    <w:rsid w:val="00266014"/>
    <w:rsid w:val="002660B1"/>
    <w:rsid w:val="0026610A"/>
    <w:rsid w:val="002668E7"/>
    <w:rsid w:val="00266EB0"/>
    <w:rsid w:val="00267CB6"/>
    <w:rsid w:val="00272364"/>
    <w:rsid w:val="002727DD"/>
    <w:rsid w:val="00272AF1"/>
    <w:rsid w:val="00272EBC"/>
    <w:rsid w:val="00273BDB"/>
    <w:rsid w:val="00273CFA"/>
    <w:rsid w:val="00274525"/>
    <w:rsid w:val="00274750"/>
    <w:rsid w:val="00275258"/>
    <w:rsid w:val="00276C6D"/>
    <w:rsid w:val="0027735A"/>
    <w:rsid w:val="002774B5"/>
    <w:rsid w:val="00280828"/>
    <w:rsid w:val="002811FC"/>
    <w:rsid w:val="00281282"/>
    <w:rsid w:val="0028278D"/>
    <w:rsid w:val="0028358C"/>
    <w:rsid w:val="00283CE5"/>
    <w:rsid w:val="00283E60"/>
    <w:rsid w:val="00283FDD"/>
    <w:rsid w:val="00286851"/>
    <w:rsid w:val="0028699E"/>
    <w:rsid w:val="002876B8"/>
    <w:rsid w:val="002878C4"/>
    <w:rsid w:val="00287CA8"/>
    <w:rsid w:val="002907F9"/>
    <w:rsid w:val="002908AC"/>
    <w:rsid w:val="00290FC4"/>
    <w:rsid w:val="0029180E"/>
    <w:rsid w:val="00291DA4"/>
    <w:rsid w:val="00291E4C"/>
    <w:rsid w:val="0029201D"/>
    <w:rsid w:val="0029220F"/>
    <w:rsid w:val="002927B1"/>
    <w:rsid w:val="00292E34"/>
    <w:rsid w:val="0029355C"/>
    <w:rsid w:val="00293962"/>
    <w:rsid w:val="002943EB"/>
    <w:rsid w:val="00294B8C"/>
    <w:rsid w:val="00295087"/>
    <w:rsid w:val="00295ADF"/>
    <w:rsid w:val="00296351"/>
    <w:rsid w:val="00296903"/>
    <w:rsid w:val="00296ACA"/>
    <w:rsid w:val="00296C0E"/>
    <w:rsid w:val="002A02D1"/>
    <w:rsid w:val="002A108D"/>
    <w:rsid w:val="002A1748"/>
    <w:rsid w:val="002A1D01"/>
    <w:rsid w:val="002A29A2"/>
    <w:rsid w:val="002A3875"/>
    <w:rsid w:val="002A3C06"/>
    <w:rsid w:val="002A4557"/>
    <w:rsid w:val="002A57D1"/>
    <w:rsid w:val="002A5A09"/>
    <w:rsid w:val="002A6708"/>
    <w:rsid w:val="002A702F"/>
    <w:rsid w:val="002A727A"/>
    <w:rsid w:val="002A74FB"/>
    <w:rsid w:val="002A7787"/>
    <w:rsid w:val="002A7AFB"/>
    <w:rsid w:val="002B0AFF"/>
    <w:rsid w:val="002B0CE0"/>
    <w:rsid w:val="002B12E3"/>
    <w:rsid w:val="002B1825"/>
    <w:rsid w:val="002B1B97"/>
    <w:rsid w:val="002B37FC"/>
    <w:rsid w:val="002B3AE6"/>
    <w:rsid w:val="002B460B"/>
    <w:rsid w:val="002B510F"/>
    <w:rsid w:val="002B66CA"/>
    <w:rsid w:val="002B681F"/>
    <w:rsid w:val="002B6B8F"/>
    <w:rsid w:val="002B7999"/>
    <w:rsid w:val="002C096B"/>
    <w:rsid w:val="002C0A74"/>
    <w:rsid w:val="002C13B2"/>
    <w:rsid w:val="002C1C46"/>
    <w:rsid w:val="002C1D2C"/>
    <w:rsid w:val="002C36A2"/>
    <w:rsid w:val="002C42E2"/>
    <w:rsid w:val="002C4CB1"/>
    <w:rsid w:val="002C51D6"/>
    <w:rsid w:val="002C5CDF"/>
    <w:rsid w:val="002C63C7"/>
    <w:rsid w:val="002C66E2"/>
    <w:rsid w:val="002C67C6"/>
    <w:rsid w:val="002C794C"/>
    <w:rsid w:val="002D0638"/>
    <w:rsid w:val="002D0D28"/>
    <w:rsid w:val="002D2344"/>
    <w:rsid w:val="002D2789"/>
    <w:rsid w:val="002D2CB3"/>
    <w:rsid w:val="002D34CB"/>
    <w:rsid w:val="002D3514"/>
    <w:rsid w:val="002D4469"/>
    <w:rsid w:val="002D4C54"/>
    <w:rsid w:val="002D502D"/>
    <w:rsid w:val="002D5951"/>
    <w:rsid w:val="002D646A"/>
    <w:rsid w:val="002D77CF"/>
    <w:rsid w:val="002D7A53"/>
    <w:rsid w:val="002D7B4C"/>
    <w:rsid w:val="002D7D97"/>
    <w:rsid w:val="002E040B"/>
    <w:rsid w:val="002E19F9"/>
    <w:rsid w:val="002E235B"/>
    <w:rsid w:val="002E2716"/>
    <w:rsid w:val="002E27BD"/>
    <w:rsid w:val="002E27D4"/>
    <w:rsid w:val="002E2813"/>
    <w:rsid w:val="002E32C4"/>
    <w:rsid w:val="002E4B9E"/>
    <w:rsid w:val="002E55A7"/>
    <w:rsid w:val="002E579F"/>
    <w:rsid w:val="002E71EF"/>
    <w:rsid w:val="002E7252"/>
    <w:rsid w:val="002E7302"/>
    <w:rsid w:val="002E7687"/>
    <w:rsid w:val="002E76DF"/>
    <w:rsid w:val="002F0363"/>
    <w:rsid w:val="002F0E36"/>
    <w:rsid w:val="002F1823"/>
    <w:rsid w:val="002F199B"/>
    <w:rsid w:val="002F34D7"/>
    <w:rsid w:val="002F38CD"/>
    <w:rsid w:val="002F6103"/>
    <w:rsid w:val="002F7346"/>
    <w:rsid w:val="002F7F37"/>
    <w:rsid w:val="002F7FC8"/>
    <w:rsid w:val="00300156"/>
    <w:rsid w:val="003013A3"/>
    <w:rsid w:val="003016E9"/>
    <w:rsid w:val="00301A75"/>
    <w:rsid w:val="00303F22"/>
    <w:rsid w:val="00304F26"/>
    <w:rsid w:val="00305980"/>
    <w:rsid w:val="003112AB"/>
    <w:rsid w:val="00311519"/>
    <w:rsid w:val="0031355F"/>
    <w:rsid w:val="00313779"/>
    <w:rsid w:val="003161FB"/>
    <w:rsid w:val="00316904"/>
    <w:rsid w:val="0031746B"/>
    <w:rsid w:val="0031748E"/>
    <w:rsid w:val="00320E92"/>
    <w:rsid w:val="00321278"/>
    <w:rsid w:val="00321DCD"/>
    <w:rsid w:val="0032295D"/>
    <w:rsid w:val="003233D2"/>
    <w:rsid w:val="00323519"/>
    <w:rsid w:val="00324B45"/>
    <w:rsid w:val="00325557"/>
    <w:rsid w:val="00325A7A"/>
    <w:rsid w:val="00325C26"/>
    <w:rsid w:val="003264BD"/>
    <w:rsid w:val="00326E99"/>
    <w:rsid w:val="00327649"/>
    <w:rsid w:val="00327A19"/>
    <w:rsid w:val="00327F01"/>
    <w:rsid w:val="0033062E"/>
    <w:rsid w:val="003308BD"/>
    <w:rsid w:val="003308C6"/>
    <w:rsid w:val="00330A48"/>
    <w:rsid w:val="003316C8"/>
    <w:rsid w:val="00331E0F"/>
    <w:rsid w:val="003325A0"/>
    <w:rsid w:val="00333B6C"/>
    <w:rsid w:val="00333D98"/>
    <w:rsid w:val="00333E0C"/>
    <w:rsid w:val="00334291"/>
    <w:rsid w:val="00334AC5"/>
    <w:rsid w:val="003350BF"/>
    <w:rsid w:val="003360A1"/>
    <w:rsid w:val="0033732A"/>
    <w:rsid w:val="0033755A"/>
    <w:rsid w:val="003378A7"/>
    <w:rsid w:val="00337BDE"/>
    <w:rsid w:val="003403AF"/>
    <w:rsid w:val="003407FD"/>
    <w:rsid w:val="003408A5"/>
    <w:rsid w:val="003409BE"/>
    <w:rsid w:val="003412D1"/>
    <w:rsid w:val="00341F86"/>
    <w:rsid w:val="00342A32"/>
    <w:rsid w:val="00342D61"/>
    <w:rsid w:val="0034321C"/>
    <w:rsid w:val="00343340"/>
    <w:rsid w:val="003443E3"/>
    <w:rsid w:val="00344CD2"/>
    <w:rsid w:val="0034526E"/>
    <w:rsid w:val="00345446"/>
    <w:rsid w:val="0034549A"/>
    <w:rsid w:val="00346166"/>
    <w:rsid w:val="003463DC"/>
    <w:rsid w:val="003471C6"/>
    <w:rsid w:val="00350194"/>
    <w:rsid w:val="00350610"/>
    <w:rsid w:val="00350629"/>
    <w:rsid w:val="0035107D"/>
    <w:rsid w:val="0035146E"/>
    <w:rsid w:val="00351A2B"/>
    <w:rsid w:val="00351CF0"/>
    <w:rsid w:val="003520DB"/>
    <w:rsid w:val="00352272"/>
    <w:rsid w:val="00352B1B"/>
    <w:rsid w:val="003533EE"/>
    <w:rsid w:val="0035409B"/>
    <w:rsid w:val="00354AAB"/>
    <w:rsid w:val="00355B08"/>
    <w:rsid w:val="00356621"/>
    <w:rsid w:val="00356AB8"/>
    <w:rsid w:val="003570D1"/>
    <w:rsid w:val="00360E41"/>
    <w:rsid w:val="00360F46"/>
    <w:rsid w:val="00361A5B"/>
    <w:rsid w:val="00361C74"/>
    <w:rsid w:val="00362112"/>
    <w:rsid w:val="00362321"/>
    <w:rsid w:val="00364AB5"/>
    <w:rsid w:val="003651C2"/>
    <w:rsid w:val="00365C94"/>
    <w:rsid w:val="003661B8"/>
    <w:rsid w:val="0036650A"/>
    <w:rsid w:val="00366E39"/>
    <w:rsid w:val="00367C83"/>
    <w:rsid w:val="00371A80"/>
    <w:rsid w:val="00371C57"/>
    <w:rsid w:val="00372122"/>
    <w:rsid w:val="00372C8F"/>
    <w:rsid w:val="00373058"/>
    <w:rsid w:val="00373474"/>
    <w:rsid w:val="00373B78"/>
    <w:rsid w:val="003749A1"/>
    <w:rsid w:val="00374F9C"/>
    <w:rsid w:val="00375001"/>
    <w:rsid w:val="00375A41"/>
    <w:rsid w:val="00375B5E"/>
    <w:rsid w:val="003761AF"/>
    <w:rsid w:val="003763A7"/>
    <w:rsid w:val="0037654C"/>
    <w:rsid w:val="00376D81"/>
    <w:rsid w:val="00377396"/>
    <w:rsid w:val="003775F9"/>
    <w:rsid w:val="003803D6"/>
    <w:rsid w:val="00380B47"/>
    <w:rsid w:val="00380C83"/>
    <w:rsid w:val="00381827"/>
    <w:rsid w:val="00382292"/>
    <w:rsid w:val="003827A9"/>
    <w:rsid w:val="00382DC7"/>
    <w:rsid w:val="00384674"/>
    <w:rsid w:val="003849EE"/>
    <w:rsid w:val="00384BFB"/>
    <w:rsid w:val="00387528"/>
    <w:rsid w:val="00387839"/>
    <w:rsid w:val="0039001F"/>
    <w:rsid w:val="00390D5F"/>
    <w:rsid w:val="00390F82"/>
    <w:rsid w:val="00391A99"/>
    <w:rsid w:val="00391AA0"/>
    <w:rsid w:val="00391D41"/>
    <w:rsid w:val="003920C7"/>
    <w:rsid w:val="003920F1"/>
    <w:rsid w:val="00392CA4"/>
    <w:rsid w:val="003934A3"/>
    <w:rsid w:val="00393E43"/>
    <w:rsid w:val="003949BF"/>
    <w:rsid w:val="00394E09"/>
    <w:rsid w:val="00394E12"/>
    <w:rsid w:val="00395010"/>
    <w:rsid w:val="00395BA8"/>
    <w:rsid w:val="0039666E"/>
    <w:rsid w:val="003A0906"/>
    <w:rsid w:val="003A0AE9"/>
    <w:rsid w:val="003A0AED"/>
    <w:rsid w:val="003A143C"/>
    <w:rsid w:val="003A2051"/>
    <w:rsid w:val="003A2585"/>
    <w:rsid w:val="003A2B72"/>
    <w:rsid w:val="003A3435"/>
    <w:rsid w:val="003A37BB"/>
    <w:rsid w:val="003A3896"/>
    <w:rsid w:val="003A4328"/>
    <w:rsid w:val="003A45F0"/>
    <w:rsid w:val="003A5525"/>
    <w:rsid w:val="003A6AD7"/>
    <w:rsid w:val="003A727C"/>
    <w:rsid w:val="003A7AE9"/>
    <w:rsid w:val="003B04E9"/>
    <w:rsid w:val="003B240A"/>
    <w:rsid w:val="003B278B"/>
    <w:rsid w:val="003B2988"/>
    <w:rsid w:val="003B29CC"/>
    <w:rsid w:val="003B358C"/>
    <w:rsid w:val="003B4F68"/>
    <w:rsid w:val="003B57E5"/>
    <w:rsid w:val="003B5CAA"/>
    <w:rsid w:val="003B6664"/>
    <w:rsid w:val="003B6A42"/>
    <w:rsid w:val="003B6ED1"/>
    <w:rsid w:val="003B7151"/>
    <w:rsid w:val="003B78CF"/>
    <w:rsid w:val="003B7A7B"/>
    <w:rsid w:val="003B7F09"/>
    <w:rsid w:val="003C0D23"/>
    <w:rsid w:val="003C161E"/>
    <w:rsid w:val="003C17C9"/>
    <w:rsid w:val="003C24D4"/>
    <w:rsid w:val="003C2B2D"/>
    <w:rsid w:val="003C2CB8"/>
    <w:rsid w:val="003C2F2C"/>
    <w:rsid w:val="003C3D3E"/>
    <w:rsid w:val="003C3FBE"/>
    <w:rsid w:val="003C4058"/>
    <w:rsid w:val="003C4107"/>
    <w:rsid w:val="003C4214"/>
    <w:rsid w:val="003C71D3"/>
    <w:rsid w:val="003C79C6"/>
    <w:rsid w:val="003D0917"/>
    <w:rsid w:val="003D0E22"/>
    <w:rsid w:val="003D16CF"/>
    <w:rsid w:val="003D16E0"/>
    <w:rsid w:val="003D1982"/>
    <w:rsid w:val="003D1FA9"/>
    <w:rsid w:val="003D2DBA"/>
    <w:rsid w:val="003D3B5D"/>
    <w:rsid w:val="003D3D6F"/>
    <w:rsid w:val="003D4435"/>
    <w:rsid w:val="003D4D09"/>
    <w:rsid w:val="003D4EC7"/>
    <w:rsid w:val="003D5E11"/>
    <w:rsid w:val="003D6299"/>
    <w:rsid w:val="003D62C7"/>
    <w:rsid w:val="003D64BF"/>
    <w:rsid w:val="003E0344"/>
    <w:rsid w:val="003E0491"/>
    <w:rsid w:val="003E0551"/>
    <w:rsid w:val="003E0FB5"/>
    <w:rsid w:val="003E2932"/>
    <w:rsid w:val="003E3471"/>
    <w:rsid w:val="003E38C4"/>
    <w:rsid w:val="003E3D70"/>
    <w:rsid w:val="003E58BB"/>
    <w:rsid w:val="003E60F3"/>
    <w:rsid w:val="003E648C"/>
    <w:rsid w:val="003E71A6"/>
    <w:rsid w:val="003E7538"/>
    <w:rsid w:val="003E78B6"/>
    <w:rsid w:val="003F00D7"/>
    <w:rsid w:val="003F0828"/>
    <w:rsid w:val="003F0C72"/>
    <w:rsid w:val="003F10FF"/>
    <w:rsid w:val="003F140D"/>
    <w:rsid w:val="003F1973"/>
    <w:rsid w:val="003F2CD8"/>
    <w:rsid w:val="003F2E9D"/>
    <w:rsid w:val="003F31C5"/>
    <w:rsid w:val="003F3460"/>
    <w:rsid w:val="003F3E58"/>
    <w:rsid w:val="003F3F38"/>
    <w:rsid w:val="003F46BC"/>
    <w:rsid w:val="003F4AA3"/>
    <w:rsid w:val="003F5707"/>
    <w:rsid w:val="003F5CE2"/>
    <w:rsid w:val="003F6141"/>
    <w:rsid w:val="003F62CB"/>
    <w:rsid w:val="003F641F"/>
    <w:rsid w:val="003F6BFA"/>
    <w:rsid w:val="003F6EC6"/>
    <w:rsid w:val="003F72EF"/>
    <w:rsid w:val="003F77AB"/>
    <w:rsid w:val="003F7DC6"/>
    <w:rsid w:val="003F7F08"/>
    <w:rsid w:val="004003C5"/>
    <w:rsid w:val="00400588"/>
    <w:rsid w:val="00401860"/>
    <w:rsid w:val="00402155"/>
    <w:rsid w:val="00402228"/>
    <w:rsid w:val="0040368A"/>
    <w:rsid w:val="00403F11"/>
    <w:rsid w:val="0040457B"/>
    <w:rsid w:val="00405A4C"/>
    <w:rsid w:val="00406CFA"/>
    <w:rsid w:val="00410896"/>
    <w:rsid w:val="00410954"/>
    <w:rsid w:val="00410F34"/>
    <w:rsid w:val="00411D35"/>
    <w:rsid w:val="0041207D"/>
    <w:rsid w:val="004138B2"/>
    <w:rsid w:val="00413E80"/>
    <w:rsid w:val="00413F2E"/>
    <w:rsid w:val="00414616"/>
    <w:rsid w:val="0041581E"/>
    <w:rsid w:val="0041608B"/>
    <w:rsid w:val="004162E1"/>
    <w:rsid w:val="00416749"/>
    <w:rsid w:val="00416FBF"/>
    <w:rsid w:val="00416FEE"/>
    <w:rsid w:val="004179E5"/>
    <w:rsid w:val="00417C76"/>
    <w:rsid w:val="00417D9F"/>
    <w:rsid w:val="004200B5"/>
    <w:rsid w:val="00421196"/>
    <w:rsid w:val="00422201"/>
    <w:rsid w:val="00422CBA"/>
    <w:rsid w:val="00422EBA"/>
    <w:rsid w:val="00422F94"/>
    <w:rsid w:val="004236A2"/>
    <w:rsid w:val="00423A37"/>
    <w:rsid w:val="00423D6A"/>
    <w:rsid w:val="00424224"/>
    <w:rsid w:val="00424286"/>
    <w:rsid w:val="004246C2"/>
    <w:rsid w:val="00424E83"/>
    <w:rsid w:val="00425445"/>
    <w:rsid w:val="00425CD3"/>
    <w:rsid w:val="00426B5A"/>
    <w:rsid w:val="0042715F"/>
    <w:rsid w:val="00430635"/>
    <w:rsid w:val="004306FD"/>
    <w:rsid w:val="00430719"/>
    <w:rsid w:val="00431C8A"/>
    <w:rsid w:val="00431F01"/>
    <w:rsid w:val="004321FA"/>
    <w:rsid w:val="00432355"/>
    <w:rsid w:val="00432708"/>
    <w:rsid w:val="0043282C"/>
    <w:rsid w:val="00432D08"/>
    <w:rsid w:val="004331F5"/>
    <w:rsid w:val="004333F1"/>
    <w:rsid w:val="004351A6"/>
    <w:rsid w:val="0043528A"/>
    <w:rsid w:val="0043553D"/>
    <w:rsid w:val="004358CA"/>
    <w:rsid w:val="00435B77"/>
    <w:rsid w:val="00435D94"/>
    <w:rsid w:val="00436A7E"/>
    <w:rsid w:val="00436ABF"/>
    <w:rsid w:val="00436D37"/>
    <w:rsid w:val="004371B4"/>
    <w:rsid w:val="0043770A"/>
    <w:rsid w:val="00440CDA"/>
    <w:rsid w:val="00440D5B"/>
    <w:rsid w:val="00440FD7"/>
    <w:rsid w:val="00442125"/>
    <w:rsid w:val="00442225"/>
    <w:rsid w:val="00442329"/>
    <w:rsid w:val="004427F9"/>
    <w:rsid w:val="00442BAA"/>
    <w:rsid w:val="004436B6"/>
    <w:rsid w:val="00443710"/>
    <w:rsid w:val="00443D05"/>
    <w:rsid w:val="00443F36"/>
    <w:rsid w:val="004443C5"/>
    <w:rsid w:val="0044451D"/>
    <w:rsid w:val="00444E32"/>
    <w:rsid w:val="00444F9A"/>
    <w:rsid w:val="0044563C"/>
    <w:rsid w:val="0044618E"/>
    <w:rsid w:val="0044665D"/>
    <w:rsid w:val="004466D7"/>
    <w:rsid w:val="00446875"/>
    <w:rsid w:val="00446CD7"/>
    <w:rsid w:val="00446FCB"/>
    <w:rsid w:val="00447CCC"/>
    <w:rsid w:val="00447E93"/>
    <w:rsid w:val="00450284"/>
    <w:rsid w:val="00450896"/>
    <w:rsid w:val="00450FA5"/>
    <w:rsid w:val="00451BBD"/>
    <w:rsid w:val="004530AF"/>
    <w:rsid w:val="004532C9"/>
    <w:rsid w:val="004545CB"/>
    <w:rsid w:val="004548C0"/>
    <w:rsid w:val="00454CBD"/>
    <w:rsid w:val="00454D6C"/>
    <w:rsid w:val="00456121"/>
    <w:rsid w:val="00456454"/>
    <w:rsid w:val="0045701A"/>
    <w:rsid w:val="00457A2D"/>
    <w:rsid w:val="00457DAF"/>
    <w:rsid w:val="00460629"/>
    <w:rsid w:val="00460965"/>
    <w:rsid w:val="00461701"/>
    <w:rsid w:val="00461A25"/>
    <w:rsid w:val="00461CEC"/>
    <w:rsid w:val="00461E4D"/>
    <w:rsid w:val="00462140"/>
    <w:rsid w:val="00462D3C"/>
    <w:rsid w:val="00463157"/>
    <w:rsid w:val="00464B12"/>
    <w:rsid w:val="0046522B"/>
    <w:rsid w:val="004654E0"/>
    <w:rsid w:val="00465592"/>
    <w:rsid w:val="00465C7E"/>
    <w:rsid w:val="0046662A"/>
    <w:rsid w:val="00466A3A"/>
    <w:rsid w:val="00467BC3"/>
    <w:rsid w:val="00467ED9"/>
    <w:rsid w:val="00471196"/>
    <w:rsid w:val="004724FA"/>
    <w:rsid w:val="00473280"/>
    <w:rsid w:val="00473406"/>
    <w:rsid w:val="00473D92"/>
    <w:rsid w:val="00474F36"/>
    <w:rsid w:val="00475649"/>
    <w:rsid w:val="00475BF6"/>
    <w:rsid w:val="00475D79"/>
    <w:rsid w:val="004761C9"/>
    <w:rsid w:val="00476F18"/>
    <w:rsid w:val="0047762F"/>
    <w:rsid w:val="00477790"/>
    <w:rsid w:val="00477CCB"/>
    <w:rsid w:val="00480A8F"/>
    <w:rsid w:val="00481B96"/>
    <w:rsid w:val="004821A2"/>
    <w:rsid w:val="004823D5"/>
    <w:rsid w:val="004826E4"/>
    <w:rsid w:val="00483149"/>
    <w:rsid w:val="004833AE"/>
    <w:rsid w:val="004833C7"/>
    <w:rsid w:val="00483529"/>
    <w:rsid w:val="00483844"/>
    <w:rsid w:val="00483ACC"/>
    <w:rsid w:val="004857C2"/>
    <w:rsid w:val="00485B3A"/>
    <w:rsid w:val="00486111"/>
    <w:rsid w:val="004864B8"/>
    <w:rsid w:val="0048684A"/>
    <w:rsid w:val="00487102"/>
    <w:rsid w:val="004872A6"/>
    <w:rsid w:val="004872E0"/>
    <w:rsid w:val="00490436"/>
    <w:rsid w:val="004906B5"/>
    <w:rsid w:val="00491CA6"/>
    <w:rsid w:val="00491DB2"/>
    <w:rsid w:val="00492923"/>
    <w:rsid w:val="004930D9"/>
    <w:rsid w:val="00493D51"/>
    <w:rsid w:val="004949BF"/>
    <w:rsid w:val="00494B9B"/>
    <w:rsid w:val="00496151"/>
    <w:rsid w:val="00496496"/>
    <w:rsid w:val="00497576"/>
    <w:rsid w:val="00497A9E"/>
    <w:rsid w:val="004A000F"/>
    <w:rsid w:val="004A2EA3"/>
    <w:rsid w:val="004A32B2"/>
    <w:rsid w:val="004A3BAA"/>
    <w:rsid w:val="004A49E8"/>
    <w:rsid w:val="004A4CE8"/>
    <w:rsid w:val="004A4D70"/>
    <w:rsid w:val="004A5F96"/>
    <w:rsid w:val="004A6DB8"/>
    <w:rsid w:val="004A7051"/>
    <w:rsid w:val="004B0BAD"/>
    <w:rsid w:val="004B0C49"/>
    <w:rsid w:val="004B1298"/>
    <w:rsid w:val="004B2767"/>
    <w:rsid w:val="004B302A"/>
    <w:rsid w:val="004B54F6"/>
    <w:rsid w:val="004B6B4C"/>
    <w:rsid w:val="004B7BC0"/>
    <w:rsid w:val="004C0F78"/>
    <w:rsid w:val="004C0FC8"/>
    <w:rsid w:val="004C10D1"/>
    <w:rsid w:val="004C14E0"/>
    <w:rsid w:val="004C15DD"/>
    <w:rsid w:val="004C1AA3"/>
    <w:rsid w:val="004C209F"/>
    <w:rsid w:val="004C341D"/>
    <w:rsid w:val="004C3716"/>
    <w:rsid w:val="004C37E1"/>
    <w:rsid w:val="004C475D"/>
    <w:rsid w:val="004C5D11"/>
    <w:rsid w:val="004C5D77"/>
    <w:rsid w:val="004C608E"/>
    <w:rsid w:val="004D0032"/>
    <w:rsid w:val="004D011B"/>
    <w:rsid w:val="004D1EE4"/>
    <w:rsid w:val="004D20B7"/>
    <w:rsid w:val="004D2631"/>
    <w:rsid w:val="004D34CC"/>
    <w:rsid w:val="004D3521"/>
    <w:rsid w:val="004D371C"/>
    <w:rsid w:val="004D3843"/>
    <w:rsid w:val="004D4BD6"/>
    <w:rsid w:val="004D5AC3"/>
    <w:rsid w:val="004D5E53"/>
    <w:rsid w:val="004D649A"/>
    <w:rsid w:val="004D682B"/>
    <w:rsid w:val="004D701E"/>
    <w:rsid w:val="004D7760"/>
    <w:rsid w:val="004D77DB"/>
    <w:rsid w:val="004D789F"/>
    <w:rsid w:val="004D7B5C"/>
    <w:rsid w:val="004D7E1E"/>
    <w:rsid w:val="004D7E57"/>
    <w:rsid w:val="004E01FA"/>
    <w:rsid w:val="004E071E"/>
    <w:rsid w:val="004E11C4"/>
    <w:rsid w:val="004E157E"/>
    <w:rsid w:val="004E190A"/>
    <w:rsid w:val="004E1BEC"/>
    <w:rsid w:val="004E272A"/>
    <w:rsid w:val="004E2CD9"/>
    <w:rsid w:val="004E4054"/>
    <w:rsid w:val="004E4301"/>
    <w:rsid w:val="004E431E"/>
    <w:rsid w:val="004E4BC5"/>
    <w:rsid w:val="004E5FC7"/>
    <w:rsid w:val="004E6F1D"/>
    <w:rsid w:val="004E7209"/>
    <w:rsid w:val="004E77D5"/>
    <w:rsid w:val="004E7CF8"/>
    <w:rsid w:val="004F04B4"/>
    <w:rsid w:val="004F1AF9"/>
    <w:rsid w:val="004F1F5C"/>
    <w:rsid w:val="004F2066"/>
    <w:rsid w:val="004F21AF"/>
    <w:rsid w:val="004F32D6"/>
    <w:rsid w:val="004F4C76"/>
    <w:rsid w:val="004F577C"/>
    <w:rsid w:val="004F58C3"/>
    <w:rsid w:val="004F5BAC"/>
    <w:rsid w:val="004F6289"/>
    <w:rsid w:val="004F62E1"/>
    <w:rsid w:val="00501D21"/>
    <w:rsid w:val="00501F23"/>
    <w:rsid w:val="0050260C"/>
    <w:rsid w:val="00504CAF"/>
    <w:rsid w:val="00505B77"/>
    <w:rsid w:val="00506C26"/>
    <w:rsid w:val="00506CB9"/>
    <w:rsid w:val="00507041"/>
    <w:rsid w:val="005071CE"/>
    <w:rsid w:val="00507952"/>
    <w:rsid w:val="0051077F"/>
    <w:rsid w:val="00511326"/>
    <w:rsid w:val="00511D9B"/>
    <w:rsid w:val="00511F04"/>
    <w:rsid w:val="00512D7F"/>
    <w:rsid w:val="0051351B"/>
    <w:rsid w:val="00513529"/>
    <w:rsid w:val="00513F5F"/>
    <w:rsid w:val="00514464"/>
    <w:rsid w:val="00514A37"/>
    <w:rsid w:val="005156A1"/>
    <w:rsid w:val="00515D74"/>
    <w:rsid w:val="00516D09"/>
    <w:rsid w:val="005171DF"/>
    <w:rsid w:val="00517D5E"/>
    <w:rsid w:val="005213DC"/>
    <w:rsid w:val="00521B75"/>
    <w:rsid w:val="00521C56"/>
    <w:rsid w:val="00522166"/>
    <w:rsid w:val="00522272"/>
    <w:rsid w:val="005222DB"/>
    <w:rsid w:val="00522679"/>
    <w:rsid w:val="00522F1F"/>
    <w:rsid w:val="005256C5"/>
    <w:rsid w:val="00526052"/>
    <w:rsid w:val="005266B5"/>
    <w:rsid w:val="00526800"/>
    <w:rsid w:val="00526C9A"/>
    <w:rsid w:val="00526F65"/>
    <w:rsid w:val="005311B7"/>
    <w:rsid w:val="005322E1"/>
    <w:rsid w:val="005335F0"/>
    <w:rsid w:val="00533CA2"/>
    <w:rsid w:val="00534115"/>
    <w:rsid w:val="0053441C"/>
    <w:rsid w:val="00534A4C"/>
    <w:rsid w:val="00534C17"/>
    <w:rsid w:val="005353A7"/>
    <w:rsid w:val="00535BD5"/>
    <w:rsid w:val="0053631F"/>
    <w:rsid w:val="005374C0"/>
    <w:rsid w:val="005375FF"/>
    <w:rsid w:val="00537996"/>
    <w:rsid w:val="00540985"/>
    <w:rsid w:val="005411D2"/>
    <w:rsid w:val="00541304"/>
    <w:rsid w:val="005413F9"/>
    <w:rsid w:val="00541DF4"/>
    <w:rsid w:val="00542DA5"/>
    <w:rsid w:val="00542E1E"/>
    <w:rsid w:val="0054418E"/>
    <w:rsid w:val="005442E4"/>
    <w:rsid w:val="00544FA4"/>
    <w:rsid w:val="00545E8B"/>
    <w:rsid w:val="005460D9"/>
    <w:rsid w:val="00546E19"/>
    <w:rsid w:val="00547F83"/>
    <w:rsid w:val="00550246"/>
    <w:rsid w:val="00550764"/>
    <w:rsid w:val="00550805"/>
    <w:rsid w:val="00550CA3"/>
    <w:rsid w:val="005514C9"/>
    <w:rsid w:val="005516D6"/>
    <w:rsid w:val="005523DE"/>
    <w:rsid w:val="00553096"/>
    <w:rsid w:val="0055324A"/>
    <w:rsid w:val="005544DB"/>
    <w:rsid w:val="0055504F"/>
    <w:rsid w:val="0055555D"/>
    <w:rsid w:val="005559AE"/>
    <w:rsid w:val="00556507"/>
    <w:rsid w:val="00556E18"/>
    <w:rsid w:val="005575A3"/>
    <w:rsid w:val="00560429"/>
    <w:rsid w:val="0056065A"/>
    <w:rsid w:val="0056171D"/>
    <w:rsid w:val="00561779"/>
    <w:rsid w:val="0056218C"/>
    <w:rsid w:val="005623BF"/>
    <w:rsid w:val="005625EA"/>
    <w:rsid w:val="00562924"/>
    <w:rsid w:val="0056469D"/>
    <w:rsid w:val="00564A7F"/>
    <w:rsid w:val="00564D54"/>
    <w:rsid w:val="0056680D"/>
    <w:rsid w:val="005668AC"/>
    <w:rsid w:val="00566DE3"/>
    <w:rsid w:val="00570064"/>
    <w:rsid w:val="005711CB"/>
    <w:rsid w:val="00571362"/>
    <w:rsid w:val="00572253"/>
    <w:rsid w:val="005724F0"/>
    <w:rsid w:val="005729B3"/>
    <w:rsid w:val="00574253"/>
    <w:rsid w:val="0057482F"/>
    <w:rsid w:val="005749D9"/>
    <w:rsid w:val="0057545E"/>
    <w:rsid w:val="00575C6E"/>
    <w:rsid w:val="00575D57"/>
    <w:rsid w:val="0057639F"/>
    <w:rsid w:val="00576468"/>
    <w:rsid w:val="005775A2"/>
    <w:rsid w:val="00577A92"/>
    <w:rsid w:val="0058072F"/>
    <w:rsid w:val="0058170F"/>
    <w:rsid w:val="00581753"/>
    <w:rsid w:val="00581AFF"/>
    <w:rsid w:val="0058241D"/>
    <w:rsid w:val="00582588"/>
    <w:rsid w:val="00582ED9"/>
    <w:rsid w:val="005834DC"/>
    <w:rsid w:val="00583765"/>
    <w:rsid w:val="005839D5"/>
    <w:rsid w:val="00583B29"/>
    <w:rsid w:val="0058454D"/>
    <w:rsid w:val="00584A38"/>
    <w:rsid w:val="00584C46"/>
    <w:rsid w:val="00585AC7"/>
    <w:rsid w:val="00585DFC"/>
    <w:rsid w:val="0058644C"/>
    <w:rsid w:val="00587AFE"/>
    <w:rsid w:val="0059014E"/>
    <w:rsid w:val="0059059B"/>
    <w:rsid w:val="0059093D"/>
    <w:rsid w:val="00590B16"/>
    <w:rsid w:val="00590F85"/>
    <w:rsid w:val="00591131"/>
    <w:rsid w:val="00592108"/>
    <w:rsid w:val="005930E3"/>
    <w:rsid w:val="005931FA"/>
    <w:rsid w:val="00593493"/>
    <w:rsid w:val="0059370D"/>
    <w:rsid w:val="00593861"/>
    <w:rsid w:val="00593F9C"/>
    <w:rsid w:val="005958A5"/>
    <w:rsid w:val="00595F9A"/>
    <w:rsid w:val="00596B68"/>
    <w:rsid w:val="00597366"/>
    <w:rsid w:val="005973B4"/>
    <w:rsid w:val="00597826"/>
    <w:rsid w:val="00597F91"/>
    <w:rsid w:val="005A0082"/>
    <w:rsid w:val="005A0933"/>
    <w:rsid w:val="005A10A6"/>
    <w:rsid w:val="005A173A"/>
    <w:rsid w:val="005A2A1A"/>
    <w:rsid w:val="005A2E2B"/>
    <w:rsid w:val="005A3626"/>
    <w:rsid w:val="005A378B"/>
    <w:rsid w:val="005A3E1A"/>
    <w:rsid w:val="005A51FF"/>
    <w:rsid w:val="005A5BBA"/>
    <w:rsid w:val="005A5F49"/>
    <w:rsid w:val="005A66E0"/>
    <w:rsid w:val="005A6BC5"/>
    <w:rsid w:val="005A72F7"/>
    <w:rsid w:val="005A7819"/>
    <w:rsid w:val="005A78EB"/>
    <w:rsid w:val="005A7A6A"/>
    <w:rsid w:val="005B07B3"/>
    <w:rsid w:val="005B0876"/>
    <w:rsid w:val="005B1573"/>
    <w:rsid w:val="005B1F5C"/>
    <w:rsid w:val="005B21E0"/>
    <w:rsid w:val="005B2695"/>
    <w:rsid w:val="005B3360"/>
    <w:rsid w:val="005B33B8"/>
    <w:rsid w:val="005B38F4"/>
    <w:rsid w:val="005B3AB8"/>
    <w:rsid w:val="005B3D84"/>
    <w:rsid w:val="005B6303"/>
    <w:rsid w:val="005B6374"/>
    <w:rsid w:val="005B6B20"/>
    <w:rsid w:val="005B6CC7"/>
    <w:rsid w:val="005B7EC6"/>
    <w:rsid w:val="005C03BB"/>
    <w:rsid w:val="005C04D2"/>
    <w:rsid w:val="005C08B7"/>
    <w:rsid w:val="005C0BB0"/>
    <w:rsid w:val="005C11CC"/>
    <w:rsid w:val="005C176A"/>
    <w:rsid w:val="005C245E"/>
    <w:rsid w:val="005C2E0A"/>
    <w:rsid w:val="005C2E7E"/>
    <w:rsid w:val="005C31F1"/>
    <w:rsid w:val="005C498D"/>
    <w:rsid w:val="005C4E16"/>
    <w:rsid w:val="005C77BC"/>
    <w:rsid w:val="005C7BE9"/>
    <w:rsid w:val="005C7C44"/>
    <w:rsid w:val="005C7C8B"/>
    <w:rsid w:val="005D05B0"/>
    <w:rsid w:val="005D0F1D"/>
    <w:rsid w:val="005D10DC"/>
    <w:rsid w:val="005D1790"/>
    <w:rsid w:val="005D22C5"/>
    <w:rsid w:val="005D26A6"/>
    <w:rsid w:val="005D33F5"/>
    <w:rsid w:val="005D3565"/>
    <w:rsid w:val="005D50CD"/>
    <w:rsid w:val="005D50E7"/>
    <w:rsid w:val="005D5CAB"/>
    <w:rsid w:val="005D6279"/>
    <w:rsid w:val="005D6517"/>
    <w:rsid w:val="005D7172"/>
    <w:rsid w:val="005D7244"/>
    <w:rsid w:val="005E0E1F"/>
    <w:rsid w:val="005E1017"/>
    <w:rsid w:val="005E12AE"/>
    <w:rsid w:val="005E195C"/>
    <w:rsid w:val="005E1E0B"/>
    <w:rsid w:val="005E2828"/>
    <w:rsid w:val="005E3151"/>
    <w:rsid w:val="005E327E"/>
    <w:rsid w:val="005E3587"/>
    <w:rsid w:val="005E3C6B"/>
    <w:rsid w:val="005E496D"/>
    <w:rsid w:val="005E4FC9"/>
    <w:rsid w:val="005E618F"/>
    <w:rsid w:val="005E7EDE"/>
    <w:rsid w:val="005F0CA3"/>
    <w:rsid w:val="005F20F6"/>
    <w:rsid w:val="005F22FF"/>
    <w:rsid w:val="005F2995"/>
    <w:rsid w:val="005F2EB1"/>
    <w:rsid w:val="005F389E"/>
    <w:rsid w:val="005F479C"/>
    <w:rsid w:val="005F54B9"/>
    <w:rsid w:val="005F78E7"/>
    <w:rsid w:val="00600988"/>
    <w:rsid w:val="00600F09"/>
    <w:rsid w:val="00601798"/>
    <w:rsid w:val="0060255F"/>
    <w:rsid w:val="00602DD0"/>
    <w:rsid w:val="00602E18"/>
    <w:rsid w:val="00604035"/>
    <w:rsid w:val="0060537D"/>
    <w:rsid w:val="00605A29"/>
    <w:rsid w:val="00605C20"/>
    <w:rsid w:val="006067B2"/>
    <w:rsid w:val="00606815"/>
    <w:rsid w:val="006069EA"/>
    <w:rsid w:val="00606F82"/>
    <w:rsid w:val="006070E2"/>
    <w:rsid w:val="00607284"/>
    <w:rsid w:val="0060744B"/>
    <w:rsid w:val="00607CFE"/>
    <w:rsid w:val="006100CD"/>
    <w:rsid w:val="00610507"/>
    <w:rsid w:val="00610E44"/>
    <w:rsid w:val="00611811"/>
    <w:rsid w:val="00611D99"/>
    <w:rsid w:val="00611DDB"/>
    <w:rsid w:val="00613564"/>
    <w:rsid w:val="00613D42"/>
    <w:rsid w:val="00613E4A"/>
    <w:rsid w:val="00613F4F"/>
    <w:rsid w:val="00614948"/>
    <w:rsid w:val="006165AD"/>
    <w:rsid w:val="00617174"/>
    <w:rsid w:val="00617A46"/>
    <w:rsid w:val="00620C6E"/>
    <w:rsid w:val="0062246E"/>
    <w:rsid w:val="00624F5D"/>
    <w:rsid w:val="00625BC0"/>
    <w:rsid w:val="00625C76"/>
    <w:rsid w:val="0062610A"/>
    <w:rsid w:val="006276F9"/>
    <w:rsid w:val="00627DA1"/>
    <w:rsid w:val="0063016C"/>
    <w:rsid w:val="00630959"/>
    <w:rsid w:val="0063099C"/>
    <w:rsid w:val="00631318"/>
    <w:rsid w:val="00631D97"/>
    <w:rsid w:val="00632481"/>
    <w:rsid w:val="00632664"/>
    <w:rsid w:val="0063271E"/>
    <w:rsid w:val="0063290B"/>
    <w:rsid w:val="00632DBE"/>
    <w:rsid w:val="00632F4C"/>
    <w:rsid w:val="00633581"/>
    <w:rsid w:val="00633C0C"/>
    <w:rsid w:val="00633C76"/>
    <w:rsid w:val="00634A33"/>
    <w:rsid w:val="00634F84"/>
    <w:rsid w:val="0063513C"/>
    <w:rsid w:val="00635915"/>
    <w:rsid w:val="006368BF"/>
    <w:rsid w:val="00636B01"/>
    <w:rsid w:val="00636C4F"/>
    <w:rsid w:val="0064079B"/>
    <w:rsid w:val="00640B41"/>
    <w:rsid w:val="00641864"/>
    <w:rsid w:val="00641F4F"/>
    <w:rsid w:val="00642C75"/>
    <w:rsid w:val="00642FA4"/>
    <w:rsid w:val="00643318"/>
    <w:rsid w:val="006439BC"/>
    <w:rsid w:val="00644D84"/>
    <w:rsid w:val="00644DA1"/>
    <w:rsid w:val="00645F0F"/>
    <w:rsid w:val="006460FA"/>
    <w:rsid w:val="00646919"/>
    <w:rsid w:val="00646CB6"/>
    <w:rsid w:val="00646E55"/>
    <w:rsid w:val="00646EE3"/>
    <w:rsid w:val="00647A54"/>
    <w:rsid w:val="00647F6D"/>
    <w:rsid w:val="00650130"/>
    <w:rsid w:val="006505D1"/>
    <w:rsid w:val="006515DE"/>
    <w:rsid w:val="006519DB"/>
    <w:rsid w:val="00651A0B"/>
    <w:rsid w:val="00652A54"/>
    <w:rsid w:val="00652C6D"/>
    <w:rsid w:val="0065360F"/>
    <w:rsid w:val="006541E0"/>
    <w:rsid w:val="006550B3"/>
    <w:rsid w:val="00655714"/>
    <w:rsid w:val="00656041"/>
    <w:rsid w:val="00656822"/>
    <w:rsid w:val="00656C15"/>
    <w:rsid w:val="006605B3"/>
    <w:rsid w:val="006608AC"/>
    <w:rsid w:val="0066115C"/>
    <w:rsid w:val="006623E1"/>
    <w:rsid w:val="00662D53"/>
    <w:rsid w:val="0066361B"/>
    <w:rsid w:val="00663E6F"/>
    <w:rsid w:val="006648C0"/>
    <w:rsid w:val="00664E9D"/>
    <w:rsid w:val="00665DA2"/>
    <w:rsid w:val="00667E9A"/>
    <w:rsid w:val="00670193"/>
    <w:rsid w:val="00670C82"/>
    <w:rsid w:val="00671185"/>
    <w:rsid w:val="0067160F"/>
    <w:rsid w:val="00672292"/>
    <w:rsid w:val="00672EB8"/>
    <w:rsid w:val="00673532"/>
    <w:rsid w:val="0067355D"/>
    <w:rsid w:val="00673721"/>
    <w:rsid w:val="006744C4"/>
    <w:rsid w:val="00675D60"/>
    <w:rsid w:val="00676868"/>
    <w:rsid w:val="00676925"/>
    <w:rsid w:val="00676DBC"/>
    <w:rsid w:val="00677155"/>
    <w:rsid w:val="006772A6"/>
    <w:rsid w:val="00677A5A"/>
    <w:rsid w:val="00680D51"/>
    <w:rsid w:val="006816EC"/>
    <w:rsid w:val="00681AF1"/>
    <w:rsid w:val="00681EE2"/>
    <w:rsid w:val="006822E4"/>
    <w:rsid w:val="006827AB"/>
    <w:rsid w:val="00682B70"/>
    <w:rsid w:val="00682FAA"/>
    <w:rsid w:val="00683988"/>
    <w:rsid w:val="00683C31"/>
    <w:rsid w:val="00683FA4"/>
    <w:rsid w:val="00683FB0"/>
    <w:rsid w:val="00684D9B"/>
    <w:rsid w:val="00685345"/>
    <w:rsid w:val="00686A2D"/>
    <w:rsid w:val="00686AB0"/>
    <w:rsid w:val="006900EB"/>
    <w:rsid w:val="0069013B"/>
    <w:rsid w:val="0069093D"/>
    <w:rsid w:val="00690F61"/>
    <w:rsid w:val="006931B7"/>
    <w:rsid w:val="00694311"/>
    <w:rsid w:val="00694392"/>
    <w:rsid w:val="00694892"/>
    <w:rsid w:val="00695423"/>
    <w:rsid w:val="00696A9A"/>
    <w:rsid w:val="00696F0C"/>
    <w:rsid w:val="0069713A"/>
    <w:rsid w:val="006A172C"/>
    <w:rsid w:val="006A2CAC"/>
    <w:rsid w:val="006A3A1D"/>
    <w:rsid w:val="006A425A"/>
    <w:rsid w:val="006A460D"/>
    <w:rsid w:val="006A4DD4"/>
    <w:rsid w:val="006A509F"/>
    <w:rsid w:val="006A5175"/>
    <w:rsid w:val="006A5827"/>
    <w:rsid w:val="006A58C7"/>
    <w:rsid w:val="006A5FAC"/>
    <w:rsid w:val="006A60CA"/>
    <w:rsid w:val="006A6BE7"/>
    <w:rsid w:val="006B0C86"/>
    <w:rsid w:val="006B1978"/>
    <w:rsid w:val="006B19C9"/>
    <w:rsid w:val="006B3A25"/>
    <w:rsid w:val="006B3DE9"/>
    <w:rsid w:val="006B4514"/>
    <w:rsid w:val="006B4914"/>
    <w:rsid w:val="006B4CA5"/>
    <w:rsid w:val="006B50D8"/>
    <w:rsid w:val="006B5473"/>
    <w:rsid w:val="006C02E2"/>
    <w:rsid w:val="006C0834"/>
    <w:rsid w:val="006C0D32"/>
    <w:rsid w:val="006C0EF3"/>
    <w:rsid w:val="006C1955"/>
    <w:rsid w:val="006C2B5B"/>
    <w:rsid w:val="006C3291"/>
    <w:rsid w:val="006C34FD"/>
    <w:rsid w:val="006C394D"/>
    <w:rsid w:val="006C4CCD"/>
    <w:rsid w:val="006C514F"/>
    <w:rsid w:val="006C5DBA"/>
    <w:rsid w:val="006C6150"/>
    <w:rsid w:val="006C6244"/>
    <w:rsid w:val="006C7145"/>
    <w:rsid w:val="006D00C0"/>
    <w:rsid w:val="006D1771"/>
    <w:rsid w:val="006D3C6C"/>
    <w:rsid w:val="006D42AE"/>
    <w:rsid w:val="006D42E8"/>
    <w:rsid w:val="006D5634"/>
    <w:rsid w:val="006D595C"/>
    <w:rsid w:val="006D5E08"/>
    <w:rsid w:val="006D7552"/>
    <w:rsid w:val="006D77DA"/>
    <w:rsid w:val="006D7A7A"/>
    <w:rsid w:val="006E0994"/>
    <w:rsid w:val="006E0D49"/>
    <w:rsid w:val="006E11CA"/>
    <w:rsid w:val="006E1D99"/>
    <w:rsid w:val="006E228D"/>
    <w:rsid w:val="006E39D9"/>
    <w:rsid w:val="006E4070"/>
    <w:rsid w:val="006E5E0D"/>
    <w:rsid w:val="006E6873"/>
    <w:rsid w:val="006E68BA"/>
    <w:rsid w:val="006E71BE"/>
    <w:rsid w:val="006E750F"/>
    <w:rsid w:val="006E7965"/>
    <w:rsid w:val="006F01C8"/>
    <w:rsid w:val="006F01F4"/>
    <w:rsid w:val="006F0441"/>
    <w:rsid w:val="006F11B9"/>
    <w:rsid w:val="006F14A8"/>
    <w:rsid w:val="006F24B0"/>
    <w:rsid w:val="006F2EBD"/>
    <w:rsid w:val="006F2F0F"/>
    <w:rsid w:val="006F4009"/>
    <w:rsid w:val="006F404C"/>
    <w:rsid w:val="006F4326"/>
    <w:rsid w:val="006F4D5E"/>
    <w:rsid w:val="006F51C3"/>
    <w:rsid w:val="006F57EA"/>
    <w:rsid w:val="006F5F50"/>
    <w:rsid w:val="006F759C"/>
    <w:rsid w:val="006F79DF"/>
    <w:rsid w:val="00700E54"/>
    <w:rsid w:val="00700F85"/>
    <w:rsid w:val="00701035"/>
    <w:rsid w:val="0070155D"/>
    <w:rsid w:val="0070225D"/>
    <w:rsid w:val="00702624"/>
    <w:rsid w:val="0070276F"/>
    <w:rsid w:val="00702E17"/>
    <w:rsid w:val="00704D76"/>
    <w:rsid w:val="00704D84"/>
    <w:rsid w:val="0070507A"/>
    <w:rsid w:val="0070521F"/>
    <w:rsid w:val="007052BA"/>
    <w:rsid w:val="00706A84"/>
    <w:rsid w:val="00706C1F"/>
    <w:rsid w:val="0070737D"/>
    <w:rsid w:val="00707C1A"/>
    <w:rsid w:val="00710B35"/>
    <w:rsid w:val="00711134"/>
    <w:rsid w:val="007112FF"/>
    <w:rsid w:val="0071241E"/>
    <w:rsid w:val="00712730"/>
    <w:rsid w:val="00712B39"/>
    <w:rsid w:val="00713321"/>
    <w:rsid w:val="00713604"/>
    <w:rsid w:val="007136C8"/>
    <w:rsid w:val="007145E1"/>
    <w:rsid w:val="00715E88"/>
    <w:rsid w:val="007167C5"/>
    <w:rsid w:val="00716FF8"/>
    <w:rsid w:val="00717AB3"/>
    <w:rsid w:val="007203BC"/>
    <w:rsid w:val="007220F9"/>
    <w:rsid w:val="0072220A"/>
    <w:rsid w:val="00722C17"/>
    <w:rsid w:val="00722E71"/>
    <w:rsid w:val="00723A64"/>
    <w:rsid w:val="00723B6C"/>
    <w:rsid w:val="0072409D"/>
    <w:rsid w:val="007250BB"/>
    <w:rsid w:val="0072530E"/>
    <w:rsid w:val="00725567"/>
    <w:rsid w:val="00725714"/>
    <w:rsid w:val="0072675E"/>
    <w:rsid w:val="00726BC1"/>
    <w:rsid w:val="00726FA9"/>
    <w:rsid w:val="00727825"/>
    <w:rsid w:val="00730223"/>
    <w:rsid w:val="007308B0"/>
    <w:rsid w:val="00730ABF"/>
    <w:rsid w:val="00730BE9"/>
    <w:rsid w:val="007317CC"/>
    <w:rsid w:val="00731A5C"/>
    <w:rsid w:val="00733BF7"/>
    <w:rsid w:val="00735270"/>
    <w:rsid w:val="00735428"/>
    <w:rsid w:val="007357FC"/>
    <w:rsid w:val="007361CE"/>
    <w:rsid w:val="007362A2"/>
    <w:rsid w:val="00736650"/>
    <w:rsid w:val="00736C57"/>
    <w:rsid w:val="00737900"/>
    <w:rsid w:val="007403C5"/>
    <w:rsid w:val="00741934"/>
    <w:rsid w:val="00741A1B"/>
    <w:rsid w:val="00741AD6"/>
    <w:rsid w:val="00742D1B"/>
    <w:rsid w:val="007444CF"/>
    <w:rsid w:val="0074474E"/>
    <w:rsid w:val="0074506A"/>
    <w:rsid w:val="00745D84"/>
    <w:rsid w:val="00746095"/>
    <w:rsid w:val="00746315"/>
    <w:rsid w:val="007465FD"/>
    <w:rsid w:val="007468CC"/>
    <w:rsid w:val="00746CB4"/>
    <w:rsid w:val="00746F24"/>
    <w:rsid w:val="0074700C"/>
    <w:rsid w:val="00747026"/>
    <w:rsid w:val="00747AB6"/>
    <w:rsid w:val="00750A66"/>
    <w:rsid w:val="0075176F"/>
    <w:rsid w:val="00752791"/>
    <w:rsid w:val="007529A3"/>
    <w:rsid w:val="00754C0F"/>
    <w:rsid w:val="00756D2A"/>
    <w:rsid w:val="007574E5"/>
    <w:rsid w:val="007577A7"/>
    <w:rsid w:val="00757C68"/>
    <w:rsid w:val="00757D1A"/>
    <w:rsid w:val="00760194"/>
    <w:rsid w:val="00760506"/>
    <w:rsid w:val="0076057A"/>
    <w:rsid w:val="00760C98"/>
    <w:rsid w:val="00761402"/>
    <w:rsid w:val="007621CB"/>
    <w:rsid w:val="00762825"/>
    <w:rsid w:val="007630FE"/>
    <w:rsid w:val="00763534"/>
    <w:rsid w:val="0076465B"/>
    <w:rsid w:val="00764989"/>
    <w:rsid w:val="00765532"/>
    <w:rsid w:val="00765973"/>
    <w:rsid w:val="00765AB7"/>
    <w:rsid w:val="00765EBD"/>
    <w:rsid w:val="00765FBB"/>
    <w:rsid w:val="00766048"/>
    <w:rsid w:val="0077023A"/>
    <w:rsid w:val="00770591"/>
    <w:rsid w:val="00771044"/>
    <w:rsid w:val="00771E76"/>
    <w:rsid w:val="0077257A"/>
    <w:rsid w:val="00772A03"/>
    <w:rsid w:val="00773173"/>
    <w:rsid w:val="00773588"/>
    <w:rsid w:val="00773F38"/>
    <w:rsid w:val="0077416C"/>
    <w:rsid w:val="00774EEA"/>
    <w:rsid w:val="00775C46"/>
    <w:rsid w:val="007766EA"/>
    <w:rsid w:val="00776C4B"/>
    <w:rsid w:val="0077703D"/>
    <w:rsid w:val="007777C0"/>
    <w:rsid w:val="007801BC"/>
    <w:rsid w:val="0078147B"/>
    <w:rsid w:val="00781F1E"/>
    <w:rsid w:val="0078222F"/>
    <w:rsid w:val="00783059"/>
    <w:rsid w:val="007830F6"/>
    <w:rsid w:val="0078413F"/>
    <w:rsid w:val="007847E6"/>
    <w:rsid w:val="0078504C"/>
    <w:rsid w:val="00785353"/>
    <w:rsid w:val="00785A91"/>
    <w:rsid w:val="007868B7"/>
    <w:rsid w:val="00787285"/>
    <w:rsid w:val="007876D8"/>
    <w:rsid w:val="00787B37"/>
    <w:rsid w:val="00790666"/>
    <w:rsid w:val="0079113F"/>
    <w:rsid w:val="007913F6"/>
    <w:rsid w:val="00791972"/>
    <w:rsid w:val="00791BCD"/>
    <w:rsid w:val="00791E98"/>
    <w:rsid w:val="007920E1"/>
    <w:rsid w:val="00793B27"/>
    <w:rsid w:val="00793CB2"/>
    <w:rsid w:val="00793F29"/>
    <w:rsid w:val="00794793"/>
    <w:rsid w:val="007949EE"/>
    <w:rsid w:val="007950FB"/>
    <w:rsid w:val="00795B2B"/>
    <w:rsid w:val="0079620D"/>
    <w:rsid w:val="007974B7"/>
    <w:rsid w:val="00797EB7"/>
    <w:rsid w:val="007A010E"/>
    <w:rsid w:val="007A0267"/>
    <w:rsid w:val="007A176A"/>
    <w:rsid w:val="007A30E8"/>
    <w:rsid w:val="007A3912"/>
    <w:rsid w:val="007A4396"/>
    <w:rsid w:val="007A6088"/>
    <w:rsid w:val="007A60E0"/>
    <w:rsid w:val="007A6D86"/>
    <w:rsid w:val="007A707C"/>
    <w:rsid w:val="007A7509"/>
    <w:rsid w:val="007B051E"/>
    <w:rsid w:val="007B0550"/>
    <w:rsid w:val="007B0782"/>
    <w:rsid w:val="007B14B5"/>
    <w:rsid w:val="007B248B"/>
    <w:rsid w:val="007B3A9C"/>
    <w:rsid w:val="007B5446"/>
    <w:rsid w:val="007B5E65"/>
    <w:rsid w:val="007B703E"/>
    <w:rsid w:val="007B7AB1"/>
    <w:rsid w:val="007B7CC3"/>
    <w:rsid w:val="007C0936"/>
    <w:rsid w:val="007C0CEE"/>
    <w:rsid w:val="007C0EC2"/>
    <w:rsid w:val="007C15DB"/>
    <w:rsid w:val="007C18A7"/>
    <w:rsid w:val="007C18E9"/>
    <w:rsid w:val="007C1B20"/>
    <w:rsid w:val="007C1DBA"/>
    <w:rsid w:val="007C2E09"/>
    <w:rsid w:val="007C2F97"/>
    <w:rsid w:val="007C4767"/>
    <w:rsid w:val="007C477B"/>
    <w:rsid w:val="007C47D1"/>
    <w:rsid w:val="007C501B"/>
    <w:rsid w:val="007C5045"/>
    <w:rsid w:val="007C5FD4"/>
    <w:rsid w:val="007C62BB"/>
    <w:rsid w:val="007C65D0"/>
    <w:rsid w:val="007C67D8"/>
    <w:rsid w:val="007C729E"/>
    <w:rsid w:val="007C7309"/>
    <w:rsid w:val="007C739B"/>
    <w:rsid w:val="007D11DF"/>
    <w:rsid w:val="007D1AA6"/>
    <w:rsid w:val="007D2221"/>
    <w:rsid w:val="007D24D9"/>
    <w:rsid w:val="007D2FD2"/>
    <w:rsid w:val="007D36B6"/>
    <w:rsid w:val="007D383A"/>
    <w:rsid w:val="007D41A2"/>
    <w:rsid w:val="007D50C6"/>
    <w:rsid w:val="007D5A00"/>
    <w:rsid w:val="007D667B"/>
    <w:rsid w:val="007D7405"/>
    <w:rsid w:val="007D7CD6"/>
    <w:rsid w:val="007D7EAA"/>
    <w:rsid w:val="007E092E"/>
    <w:rsid w:val="007E16B0"/>
    <w:rsid w:val="007E1D02"/>
    <w:rsid w:val="007E1D27"/>
    <w:rsid w:val="007E218C"/>
    <w:rsid w:val="007E2AED"/>
    <w:rsid w:val="007E2EEC"/>
    <w:rsid w:val="007E30A8"/>
    <w:rsid w:val="007E33BF"/>
    <w:rsid w:val="007E4F51"/>
    <w:rsid w:val="007E5020"/>
    <w:rsid w:val="007E5B4E"/>
    <w:rsid w:val="007E5DE0"/>
    <w:rsid w:val="007E5E28"/>
    <w:rsid w:val="007E6669"/>
    <w:rsid w:val="007E7155"/>
    <w:rsid w:val="007E7229"/>
    <w:rsid w:val="007E74C9"/>
    <w:rsid w:val="007E7A9B"/>
    <w:rsid w:val="007E7CA6"/>
    <w:rsid w:val="007F057A"/>
    <w:rsid w:val="007F0627"/>
    <w:rsid w:val="007F114F"/>
    <w:rsid w:val="007F1603"/>
    <w:rsid w:val="007F254C"/>
    <w:rsid w:val="007F3302"/>
    <w:rsid w:val="007F3DB9"/>
    <w:rsid w:val="007F3DE4"/>
    <w:rsid w:val="007F4915"/>
    <w:rsid w:val="007F4B7A"/>
    <w:rsid w:val="007F54B5"/>
    <w:rsid w:val="007F6498"/>
    <w:rsid w:val="007F6652"/>
    <w:rsid w:val="007F7592"/>
    <w:rsid w:val="007F7D32"/>
    <w:rsid w:val="00800ECC"/>
    <w:rsid w:val="00801132"/>
    <w:rsid w:val="00801B00"/>
    <w:rsid w:val="00802C5B"/>
    <w:rsid w:val="00803603"/>
    <w:rsid w:val="00803677"/>
    <w:rsid w:val="0080460D"/>
    <w:rsid w:val="0080525D"/>
    <w:rsid w:val="008052A6"/>
    <w:rsid w:val="00805465"/>
    <w:rsid w:val="00806170"/>
    <w:rsid w:val="00806875"/>
    <w:rsid w:val="008070CA"/>
    <w:rsid w:val="008102C4"/>
    <w:rsid w:val="0081088C"/>
    <w:rsid w:val="00810D62"/>
    <w:rsid w:val="0081120F"/>
    <w:rsid w:val="00811E8E"/>
    <w:rsid w:val="008127E4"/>
    <w:rsid w:val="008135A3"/>
    <w:rsid w:val="00813B58"/>
    <w:rsid w:val="00814243"/>
    <w:rsid w:val="008142DF"/>
    <w:rsid w:val="00814AFE"/>
    <w:rsid w:val="00814F66"/>
    <w:rsid w:val="00815537"/>
    <w:rsid w:val="0081622B"/>
    <w:rsid w:val="00817CB9"/>
    <w:rsid w:val="00820187"/>
    <w:rsid w:val="00820215"/>
    <w:rsid w:val="0082086C"/>
    <w:rsid w:val="00820FC7"/>
    <w:rsid w:val="0082237E"/>
    <w:rsid w:val="00822504"/>
    <w:rsid w:val="0082405D"/>
    <w:rsid w:val="008240F2"/>
    <w:rsid w:val="00824FA6"/>
    <w:rsid w:val="0082513E"/>
    <w:rsid w:val="0082571B"/>
    <w:rsid w:val="00825759"/>
    <w:rsid w:val="00826932"/>
    <w:rsid w:val="00826B00"/>
    <w:rsid w:val="00826BA6"/>
    <w:rsid w:val="00826F97"/>
    <w:rsid w:val="0082742E"/>
    <w:rsid w:val="008274F2"/>
    <w:rsid w:val="008275DC"/>
    <w:rsid w:val="00831716"/>
    <w:rsid w:val="0083171D"/>
    <w:rsid w:val="00831E20"/>
    <w:rsid w:val="00832E26"/>
    <w:rsid w:val="008332E5"/>
    <w:rsid w:val="008340C4"/>
    <w:rsid w:val="0083471A"/>
    <w:rsid w:val="008349CC"/>
    <w:rsid w:val="00834E35"/>
    <w:rsid w:val="0083554C"/>
    <w:rsid w:val="00835CA6"/>
    <w:rsid w:val="008365FB"/>
    <w:rsid w:val="00837129"/>
    <w:rsid w:val="008377B7"/>
    <w:rsid w:val="00840413"/>
    <w:rsid w:val="00840E62"/>
    <w:rsid w:val="00841D47"/>
    <w:rsid w:val="008420C1"/>
    <w:rsid w:val="00842235"/>
    <w:rsid w:val="00842773"/>
    <w:rsid w:val="00842A44"/>
    <w:rsid w:val="00842B32"/>
    <w:rsid w:val="0084314D"/>
    <w:rsid w:val="00843A1D"/>
    <w:rsid w:val="008442F3"/>
    <w:rsid w:val="008449D3"/>
    <w:rsid w:val="00845539"/>
    <w:rsid w:val="00845F80"/>
    <w:rsid w:val="00846B81"/>
    <w:rsid w:val="00846F93"/>
    <w:rsid w:val="008479EC"/>
    <w:rsid w:val="008511CA"/>
    <w:rsid w:val="008516F2"/>
    <w:rsid w:val="008518B8"/>
    <w:rsid w:val="00851FAF"/>
    <w:rsid w:val="0085228B"/>
    <w:rsid w:val="00852B97"/>
    <w:rsid w:val="00852E4E"/>
    <w:rsid w:val="00852F62"/>
    <w:rsid w:val="0085314D"/>
    <w:rsid w:val="008535D7"/>
    <w:rsid w:val="0085523A"/>
    <w:rsid w:val="00856C21"/>
    <w:rsid w:val="008575DA"/>
    <w:rsid w:val="00860456"/>
    <w:rsid w:val="0086082F"/>
    <w:rsid w:val="00861065"/>
    <w:rsid w:val="00862572"/>
    <w:rsid w:val="008625C3"/>
    <w:rsid w:val="0086288E"/>
    <w:rsid w:val="00863607"/>
    <w:rsid w:val="0086525A"/>
    <w:rsid w:val="008658F9"/>
    <w:rsid w:val="0086617C"/>
    <w:rsid w:val="00866F56"/>
    <w:rsid w:val="008703AC"/>
    <w:rsid w:val="0087079B"/>
    <w:rsid w:val="008711A7"/>
    <w:rsid w:val="0087276B"/>
    <w:rsid w:val="00872E19"/>
    <w:rsid w:val="00872EDE"/>
    <w:rsid w:val="00873BD8"/>
    <w:rsid w:val="00874BCE"/>
    <w:rsid w:val="00875152"/>
    <w:rsid w:val="00876A13"/>
    <w:rsid w:val="00877C28"/>
    <w:rsid w:val="00880A85"/>
    <w:rsid w:val="00881609"/>
    <w:rsid w:val="00881721"/>
    <w:rsid w:val="008839A0"/>
    <w:rsid w:val="00884089"/>
    <w:rsid w:val="00884096"/>
    <w:rsid w:val="00884229"/>
    <w:rsid w:val="00884334"/>
    <w:rsid w:val="00884AB6"/>
    <w:rsid w:val="00885D5E"/>
    <w:rsid w:val="00886294"/>
    <w:rsid w:val="00886497"/>
    <w:rsid w:val="0088732F"/>
    <w:rsid w:val="00887CA9"/>
    <w:rsid w:val="00890126"/>
    <w:rsid w:val="008904AE"/>
    <w:rsid w:val="008930E9"/>
    <w:rsid w:val="008939D8"/>
    <w:rsid w:val="008948BD"/>
    <w:rsid w:val="00894A29"/>
    <w:rsid w:val="00895A20"/>
    <w:rsid w:val="008962B6"/>
    <w:rsid w:val="00896CB5"/>
    <w:rsid w:val="00896E76"/>
    <w:rsid w:val="008971DC"/>
    <w:rsid w:val="008A0336"/>
    <w:rsid w:val="008A0D7A"/>
    <w:rsid w:val="008A11D4"/>
    <w:rsid w:val="008A12A6"/>
    <w:rsid w:val="008A22C2"/>
    <w:rsid w:val="008A22C6"/>
    <w:rsid w:val="008A240E"/>
    <w:rsid w:val="008A2645"/>
    <w:rsid w:val="008A29A1"/>
    <w:rsid w:val="008A302A"/>
    <w:rsid w:val="008A37F1"/>
    <w:rsid w:val="008A3F67"/>
    <w:rsid w:val="008A3F71"/>
    <w:rsid w:val="008A46D0"/>
    <w:rsid w:val="008A4BDD"/>
    <w:rsid w:val="008A4C01"/>
    <w:rsid w:val="008A52BC"/>
    <w:rsid w:val="008A5395"/>
    <w:rsid w:val="008A62FD"/>
    <w:rsid w:val="008A7327"/>
    <w:rsid w:val="008A760C"/>
    <w:rsid w:val="008A7EF7"/>
    <w:rsid w:val="008B126E"/>
    <w:rsid w:val="008B18A4"/>
    <w:rsid w:val="008B24B1"/>
    <w:rsid w:val="008B2624"/>
    <w:rsid w:val="008B2664"/>
    <w:rsid w:val="008B3C02"/>
    <w:rsid w:val="008B4052"/>
    <w:rsid w:val="008B562C"/>
    <w:rsid w:val="008B627E"/>
    <w:rsid w:val="008B6427"/>
    <w:rsid w:val="008B68D1"/>
    <w:rsid w:val="008B69AE"/>
    <w:rsid w:val="008B6C0C"/>
    <w:rsid w:val="008B6CAC"/>
    <w:rsid w:val="008B6E90"/>
    <w:rsid w:val="008B76C1"/>
    <w:rsid w:val="008C0944"/>
    <w:rsid w:val="008C0C6B"/>
    <w:rsid w:val="008C1744"/>
    <w:rsid w:val="008C1DB1"/>
    <w:rsid w:val="008C1DF8"/>
    <w:rsid w:val="008C22C8"/>
    <w:rsid w:val="008C2842"/>
    <w:rsid w:val="008C2DFC"/>
    <w:rsid w:val="008C3C94"/>
    <w:rsid w:val="008C3CB7"/>
    <w:rsid w:val="008C5540"/>
    <w:rsid w:val="008C55E7"/>
    <w:rsid w:val="008C569D"/>
    <w:rsid w:val="008C638A"/>
    <w:rsid w:val="008C66E9"/>
    <w:rsid w:val="008C7F81"/>
    <w:rsid w:val="008D026C"/>
    <w:rsid w:val="008D0D28"/>
    <w:rsid w:val="008D176D"/>
    <w:rsid w:val="008D2D9E"/>
    <w:rsid w:val="008D489C"/>
    <w:rsid w:val="008D4ABA"/>
    <w:rsid w:val="008D4D17"/>
    <w:rsid w:val="008D549F"/>
    <w:rsid w:val="008D5522"/>
    <w:rsid w:val="008D579D"/>
    <w:rsid w:val="008D5A3A"/>
    <w:rsid w:val="008D6B78"/>
    <w:rsid w:val="008D6EB0"/>
    <w:rsid w:val="008D7246"/>
    <w:rsid w:val="008D7EF8"/>
    <w:rsid w:val="008E07D7"/>
    <w:rsid w:val="008E13F9"/>
    <w:rsid w:val="008E14A2"/>
    <w:rsid w:val="008E1637"/>
    <w:rsid w:val="008E2964"/>
    <w:rsid w:val="008E435D"/>
    <w:rsid w:val="008E4A28"/>
    <w:rsid w:val="008E5266"/>
    <w:rsid w:val="008E5678"/>
    <w:rsid w:val="008E64EE"/>
    <w:rsid w:val="008E6D59"/>
    <w:rsid w:val="008E716A"/>
    <w:rsid w:val="008E71AA"/>
    <w:rsid w:val="008F0776"/>
    <w:rsid w:val="008F07AE"/>
    <w:rsid w:val="008F0F87"/>
    <w:rsid w:val="008F13DB"/>
    <w:rsid w:val="008F2259"/>
    <w:rsid w:val="008F29AA"/>
    <w:rsid w:val="008F3297"/>
    <w:rsid w:val="008F3BA5"/>
    <w:rsid w:val="008F4795"/>
    <w:rsid w:val="008F4B64"/>
    <w:rsid w:val="008F5964"/>
    <w:rsid w:val="008F5F8B"/>
    <w:rsid w:val="008F5FC7"/>
    <w:rsid w:val="008F61EF"/>
    <w:rsid w:val="008F76A4"/>
    <w:rsid w:val="008F7926"/>
    <w:rsid w:val="009018CE"/>
    <w:rsid w:val="00902951"/>
    <w:rsid w:val="00902B90"/>
    <w:rsid w:val="00903C97"/>
    <w:rsid w:val="00903F6D"/>
    <w:rsid w:val="00904A62"/>
    <w:rsid w:val="00904F32"/>
    <w:rsid w:val="0090524C"/>
    <w:rsid w:val="009063A9"/>
    <w:rsid w:val="0090645D"/>
    <w:rsid w:val="00906618"/>
    <w:rsid w:val="00906977"/>
    <w:rsid w:val="009075B4"/>
    <w:rsid w:val="009103F8"/>
    <w:rsid w:val="00910BD1"/>
    <w:rsid w:val="00911ABB"/>
    <w:rsid w:val="009124EB"/>
    <w:rsid w:val="009127B1"/>
    <w:rsid w:val="00912DFC"/>
    <w:rsid w:val="0091305A"/>
    <w:rsid w:val="009132B3"/>
    <w:rsid w:val="00913E7C"/>
    <w:rsid w:val="00914BC9"/>
    <w:rsid w:val="0091540A"/>
    <w:rsid w:val="009162E0"/>
    <w:rsid w:val="00916A71"/>
    <w:rsid w:val="00916C47"/>
    <w:rsid w:val="00916E2B"/>
    <w:rsid w:val="00916FE8"/>
    <w:rsid w:val="009177B3"/>
    <w:rsid w:val="00920DBA"/>
    <w:rsid w:val="00921815"/>
    <w:rsid w:val="00921EE2"/>
    <w:rsid w:val="00922991"/>
    <w:rsid w:val="00923EF4"/>
    <w:rsid w:val="0092408B"/>
    <w:rsid w:val="0092423E"/>
    <w:rsid w:val="00924F32"/>
    <w:rsid w:val="009254E3"/>
    <w:rsid w:val="00926357"/>
    <w:rsid w:val="00926C6E"/>
    <w:rsid w:val="00926E40"/>
    <w:rsid w:val="0092798D"/>
    <w:rsid w:val="009309E8"/>
    <w:rsid w:val="0093104A"/>
    <w:rsid w:val="00931395"/>
    <w:rsid w:val="00931D2B"/>
    <w:rsid w:val="009324BF"/>
    <w:rsid w:val="00932884"/>
    <w:rsid w:val="009328AC"/>
    <w:rsid w:val="00932C0B"/>
    <w:rsid w:val="009345C0"/>
    <w:rsid w:val="00934884"/>
    <w:rsid w:val="00935349"/>
    <w:rsid w:val="00935B55"/>
    <w:rsid w:val="009363C4"/>
    <w:rsid w:val="00937C93"/>
    <w:rsid w:val="0094008D"/>
    <w:rsid w:val="00940193"/>
    <w:rsid w:val="00940F1E"/>
    <w:rsid w:val="00941230"/>
    <w:rsid w:val="00941309"/>
    <w:rsid w:val="00942080"/>
    <w:rsid w:val="00942CBC"/>
    <w:rsid w:val="00943609"/>
    <w:rsid w:val="0094387C"/>
    <w:rsid w:val="00943B73"/>
    <w:rsid w:val="009443BC"/>
    <w:rsid w:val="0094453D"/>
    <w:rsid w:val="009448DE"/>
    <w:rsid w:val="009465EA"/>
    <w:rsid w:val="00946A47"/>
    <w:rsid w:val="00946B8A"/>
    <w:rsid w:val="00946E9D"/>
    <w:rsid w:val="00947AA5"/>
    <w:rsid w:val="0095007F"/>
    <w:rsid w:val="00950D19"/>
    <w:rsid w:val="00950F24"/>
    <w:rsid w:val="009510BE"/>
    <w:rsid w:val="00952377"/>
    <w:rsid w:val="00952F2F"/>
    <w:rsid w:val="00953C2F"/>
    <w:rsid w:val="0095406B"/>
    <w:rsid w:val="00954435"/>
    <w:rsid w:val="00954976"/>
    <w:rsid w:val="00954AC1"/>
    <w:rsid w:val="00955349"/>
    <w:rsid w:val="00955882"/>
    <w:rsid w:val="00956131"/>
    <w:rsid w:val="0095785B"/>
    <w:rsid w:val="0096052F"/>
    <w:rsid w:val="00960627"/>
    <w:rsid w:val="00960DDA"/>
    <w:rsid w:val="009612AB"/>
    <w:rsid w:val="009613AD"/>
    <w:rsid w:val="00961FC3"/>
    <w:rsid w:val="0096334A"/>
    <w:rsid w:val="00964AA8"/>
    <w:rsid w:val="00964E9F"/>
    <w:rsid w:val="009660A3"/>
    <w:rsid w:val="00966627"/>
    <w:rsid w:val="00966734"/>
    <w:rsid w:val="00966A47"/>
    <w:rsid w:val="00967449"/>
    <w:rsid w:val="00970203"/>
    <w:rsid w:val="00970244"/>
    <w:rsid w:val="00970258"/>
    <w:rsid w:val="00970A7C"/>
    <w:rsid w:val="0097101D"/>
    <w:rsid w:val="009714AC"/>
    <w:rsid w:val="009716F6"/>
    <w:rsid w:val="00972126"/>
    <w:rsid w:val="009727D7"/>
    <w:rsid w:val="00972F53"/>
    <w:rsid w:val="00973F95"/>
    <w:rsid w:val="00973F98"/>
    <w:rsid w:val="00974184"/>
    <w:rsid w:val="00975881"/>
    <w:rsid w:val="00975B16"/>
    <w:rsid w:val="00975E3A"/>
    <w:rsid w:val="009771A7"/>
    <w:rsid w:val="0097722F"/>
    <w:rsid w:val="00977F03"/>
    <w:rsid w:val="0098042E"/>
    <w:rsid w:val="00980575"/>
    <w:rsid w:val="009809A4"/>
    <w:rsid w:val="00981454"/>
    <w:rsid w:val="00982F3A"/>
    <w:rsid w:val="00983823"/>
    <w:rsid w:val="00983CAB"/>
    <w:rsid w:val="009840AF"/>
    <w:rsid w:val="00984B40"/>
    <w:rsid w:val="00985F59"/>
    <w:rsid w:val="00987EB6"/>
    <w:rsid w:val="0099016F"/>
    <w:rsid w:val="0099056B"/>
    <w:rsid w:val="009910B3"/>
    <w:rsid w:val="00991C26"/>
    <w:rsid w:val="00992BEA"/>
    <w:rsid w:val="00993B41"/>
    <w:rsid w:val="009940FB"/>
    <w:rsid w:val="00994F59"/>
    <w:rsid w:val="0099552D"/>
    <w:rsid w:val="00996F6F"/>
    <w:rsid w:val="009A02F3"/>
    <w:rsid w:val="009A0E87"/>
    <w:rsid w:val="009A175E"/>
    <w:rsid w:val="009A2320"/>
    <w:rsid w:val="009A2732"/>
    <w:rsid w:val="009A3B2E"/>
    <w:rsid w:val="009A4B61"/>
    <w:rsid w:val="009A4F27"/>
    <w:rsid w:val="009A519C"/>
    <w:rsid w:val="009A5B4A"/>
    <w:rsid w:val="009A5D19"/>
    <w:rsid w:val="009A663D"/>
    <w:rsid w:val="009A745F"/>
    <w:rsid w:val="009B08A6"/>
    <w:rsid w:val="009B0DC5"/>
    <w:rsid w:val="009B1625"/>
    <w:rsid w:val="009B3B38"/>
    <w:rsid w:val="009B3D97"/>
    <w:rsid w:val="009B3FE1"/>
    <w:rsid w:val="009B4026"/>
    <w:rsid w:val="009B5BA2"/>
    <w:rsid w:val="009B5C58"/>
    <w:rsid w:val="009B5F0E"/>
    <w:rsid w:val="009B6D13"/>
    <w:rsid w:val="009B705B"/>
    <w:rsid w:val="009C01FE"/>
    <w:rsid w:val="009C0641"/>
    <w:rsid w:val="009C06AB"/>
    <w:rsid w:val="009C09EE"/>
    <w:rsid w:val="009C1198"/>
    <w:rsid w:val="009C1B35"/>
    <w:rsid w:val="009C32D5"/>
    <w:rsid w:val="009C3731"/>
    <w:rsid w:val="009C482F"/>
    <w:rsid w:val="009C5AA3"/>
    <w:rsid w:val="009C5D56"/>
    <w:rsid w:val="009C5F30"/>
    <w:rsid w:val="009C68FE"/>
    <w:rsid w:val="009C713E"/>
    <w:rsid w:val="009C7D1F"/>
    <w:rsid w:val="009D0DCC"/>
    <w:rsid w:val="009D159D"/>
    <w:rsid w:val="009D2958"/>
    <w:rsid w:val="009D29F0"/>
    <w:rsid w:val="009D2ADA"/>
    <w:rsid w:val="009D2D2B"/>
    <w:rsid w:val="009D53C3"/>
    <w:rsid w:val="009D59A6"/>
    <w:rsid w:val="009D5AF5"/>
    <w:rsid w:val="009D6951"/>
    <w:rsid w:val="009D713C"/>
    <w:rsid w:val="009E0220"/>
    <w:rsid w:val="009E1E42"/>
    <w:rsid w:val="009E209D"/>
    <w:rsid w:val="009E2DD7"/>
    <w:rsid w:val="009E4293"/>
    <w:rsid w:val="009E47A7"/>
    <w:rsid w:val="009E4B82"/>
    <w:rsid w:val="009E4C12"/>
    <w:rsid w:val="009E50DB"/>
    <w:rsid w:val="009E5128"/>
    <w:rsid w:val="009E5D34"/>
    <w:rsid w:val="009E5F5D"/>
    <w:rsid w:val="009E6ABB"/>
    <w:rsid w:val="009E6D97"/>
    <w:rsid w:val="009E7809"/>
    <w:rsid w:val="009F245B"/>
    <w:rsid w:val="009F2733"/>
    <w:rsid w:val="009F2A68"/>
    <w:rsid w:val="009F37F9"/>
    <w:rsid w:val="009F5A4A"/>
    <w:rsid w:val="009F64DE"/>
    <w:rsid w:val="009F6FED"/>
    <w:rsid w:val="009F7FB7"/>
    <w:rsid w:val="00A000FE"/>
    <w:rsid w:val="00A006DD"/>
    <w:rsid w:val="00A01DB7"/>
    <w:rsid w:val="00A022B7"/>
    <w:rsid w:val="00A0252B"/>
    <w:rsid w:val="00A02A18"/>
    <w:rsid w:val="00A034CF"/>
    <w:rsid w:val="00A038E4"/>
    <w:rsid w:val="00A0475F"/>
    <w:rsid w:val="00A04C6E"/>
    <w:rsid w:val="00A04F17"/>
    <w:rsid w:val="00A05494"/>
    <w:rsid w:val="00A0558C"/>
    <w:rsid w:val="00A06186"/>
    <w:rsid w:val="00A0628E"/>
    <w:rsid w:val="00A062BC"/>
    <w:rsid w:val="00A06787"/>
    <w:rsid w:val="00A06E4A"/>
    <w:rsid w:val="00A06F83"/>
    <w:rsid w:val="00A0712B"/>
    <w:rsid w:val="00A07647"/>
    <w:rsid w:val="00A101A5"/>
    <w:rsid w:val="00A10F54"/>
    <w:rsid w:val="00A11672"/>
    <w:rsid w:val="00A11C4C"/>
    <w:rsid w:val="00A11F59"/>
    <w:rsid w:val="00A12D72"/>
    <w:rsid w:val="00A131AD"/>
    <w:rsid w:val="00A134BB"/>
    <w:rsid w:val="00A1371A"/>
    <w:rsid w:val="00A1376A"/>
    <w:rsid w:val="00A13C38"/>
    <w:rsid w:val="00A13F99"/>
    <w:rsid w:val="00A14A5D"/>
    <w:rsid w:val="00A14B0B"/>
    <w:rsid w:val="00A16CD3"/>
    <w:rsid w:val="00A17761"/>
    <w:rsid w:val="00A2037C"/>
    <w:rsid w:val="00A205E6"/>
    <w:rsid w:val="00A21384"/>
    <w:rsid w:val="00A2248A"/>
    <w:rsid w:val="00A23982"/>
    <w:rsid w:val="00A239A8"/>
    <w:rsid w:val="00A24662"/>
    <w:rsid w:val="00A24E0A"/>
    <w:rsid w:val="00A25022"/>
    <w:rsid w:val="00A25E1A"/>
    <w:rsid w:val="00A2639E"/>
    <w:rsid w:val="00A26A36"/>
    <w:rsid w:val="00A26FAE"/>
    <w:rsid w:val="00A27565"/>
    <w:rsid w:val="00A2759F"/>
    <w:rsid w:val="00A306BB"/>
    <w:rsid w:val="00A31967"/>
    <w:rsid w:val="00A31BB8"/>
    <w:rsid w:val="00A31C41"/>
    <w:rsid w:val="00A3419D"/>
    <w:rsid w:val="00A34A4F"/>
    <w:rsid w:val="00A34B39"/>
    <w:rsid w:val="00A34DA4"/>
    <w:rsid w:val="00A34EA8"/>
    <w:rsid w:val="00A3537F"/>
    <w:rsid w:val="00A3542D"/>
    <w:rsid w:val="00A365AD"/>
    <w:rsid w:val="00A369A9"/>
    <w:rsid w:val="00A36A8B"/>
    <w:rsid w:val="00A36FB3"/>
    <w:rsid w:val="00A376E3"/>
    <w:rsid w:val="00A379AC"/>
    <w:rsid w:val="00A37EB9"/>
    <w:rsid w:val="00A37FE3"/>
    <w:rsid w:val="00A40A84"/>
    <w:rsid w:val="00A42EB1"/>
    <w:rsid w:val="00A44206"/>
    <w:rsid w:val="00A44649"/>
    <w:rsid w:val="00A44ACB"/>
    <w:rsid w:val="00A44F68"/>
    <w:rsid w:val="00A461C8"/>
    <w:rsid w:val="00A5054E"/>
    <w:rsid w:val="00A5082E"/>
    <w:rsid w:val="00A50B26"/>
    <w:rsid w:val="00A514CB"/>
    <w:rsid w:val="00A516F0"/>
    <w:rsid w:val="00A519AE"/>
    <w:rsid w:val="00A51E12"/>
    <w:rsid w:val="00A52410"/>
    <w:rsid w:val="00A52D01"/>
    <w:rsid w:val="00A533AC"/>
    <w:rsid w:val="00A53990"/>
    <w:rsid w:val="00A563CD"/>
    <w:rsid w:val="00A578A2"/>
    <w:rsid w:val="00A5797A"/>
    <w:rsid w:val="00A57A8A"/>
    <w:rsid w:val="00A57DF8"/>
    <w:rsid w:val="00A604E0"/>
    <w:rsid w:val="00A60E6A"/>
    <w:rsid w:val="00A6164E"/>
    <w:rsid w:val="00A62149"/>
    <w:rsid w:val="00A62974"/>
    <w:rsid w:val="00A62B16"/>
    <w:rsid w:val="00A62E6F"/>
    <w:rsid w:val="00A64BC7"/>
    <w:rsid w:val="00A64DC5"/>
    <w:rsid w:val="00A64FFF"/>
    <w:rsid w:val="00A662F1"/>
    <w:rsid w:val="00A66607"/>
    <w:rsid w:val="00A667E3"/>
    <w:rsid w:val="00A6700B"/>
    <w:rsid w:val="00A70DAB"/>
    <w:rsid w:val="00A71015"/>
    <w:rsid w:val="00A71917"/>
    <w:rsid w:val="00A71B84"/>
    <w:rsid w:val="00A71D40"/>
    <w:rsid w:val="00A72EE6"/>
    <w:rsid w:val="00A73F25"/>
    <w:rsid w:val="00A73F4B"/>
    <w:rsid w:val="00A7635C"/>
    <w:rsid w:val="00A7637D"/>
    <w:rsid w:val="00A76534"/>
    <w:rsid w:val="00A76BC8"/>
    <w:rsid w:val="00A770D9"/>
    <w:rsid w:val="00A771C3"/>
    <w:rsid w:val="00A77C32"/>
    <w:rsid w:val="00A811CB"/>
    <w:rsid w:val="00A81F0D"/>
    <w:rsid w:val="00A826FC"/>
    <w:rsid w:val="00A83942"/>
    <w:rsid w:val="00A83DC2"/>
    <w:rsid w:val="00A84290"/>
    <w:rsid w:val="00A855BD"/>
    <w:rsid w:val="00A85617"/>
    <w:rsid w:val="00A85D3D"/>
    <w:rsid w:val="00A85F4F"/>
    <w:rsid w:val="00A8612D"/>
    <w:rsid w:val="00A8627B"/>
    <w:rsid w:val="00A8684B"/>
    <w:rsid w:val="00A86A26"/>
    <w:rsid w:val="00A87C0B"/>
    <w:rsid w:val="00A87E96"/>
    <w:rsid w:val="00A90553"/>
    <w:rsid w:val="00A90A55"/>
    <w:rsid w:val="00A90BD8"/>
    <w:rsid w:val="00A91D69"/>
    <w:rsid w:val="00A91E57"/>
    <w:rsid w:val="00A92013"/>
    <w:rsid w:val="00A92DDC"/>
    <w:rsid w:val="00A93383"/>
    <w:rsid w:val="00A93B45"/>
    <w:rsid w:val="00A9437E"/>
    <w:rsid w:val="00A943F9"/>
    <w:rsid w:val="00A952AB"/>
    <w:rsid w:val="00A95381"/>
    <w:rsid w:val="00A956DE"/>
    <w:rsid w:val="00A960FD"/>
    <w:rsid w:val="00A96436"/>
    <w:rsid w:val="00A966B5"/>
    <w:rsid w:val="00A966EF"/>
    <w:rsid w:val="00A96B47"/>
    <w:rsid w:val="00A97044"/>
    <w:rsid w:val="00AA064B"/>
    <w:rsid w:val="00AA0C9D"/>
    <w:rsid w:val="00AA1EB4"/>
    <w:rsid w:val="00AA1FDE"/>
    <w:rsid w:val="00AA224E"/>
    <w:rsid w:val="00AA2D36"/>
    <w:rsid w:val="00AA343B"/>
    <w:rsid w:val="00AA45EE"/>
    <w:rsid w:val="00AA4779"/>
    <w:rsid w:val="00AA4AB8"/>
    <w:rsid w:val="00AA4BB4"/>
    <w:rsid w:val="00AA55A0"/>
    <w:rsid w:val="00AA5877"/>
    <w:rsid w:val="00AA6EEC"/>
    <w:rsid w:val="00AB3A07"/>
    <w:rsid w:val="00AB406A"/>
    <w:rsid w:val="00AB4234"/>
    <w:rsid w:val="00AB4FB4"/>
    <w:rsid w:val="00AB58B7"/>
    <w:rsid w:val="00AB5C8F"/>
    <w:rsid w:val="00AB6EA9"/>
    <w:rsid w:val="00AB7FB3"/>
    <w:rsid w:val="00AC02C8"/>
    <w:rsid w:val="00AC076A"/>
    <w:rsid w:val="00AC1013"/>
    <w:rsid w:val="00AC19A7"/>
    <w:rsid w:val="00AC1D0E"/>
    <w:rsid w:val="00AC1F8B"/>
    <w:rsid w:val="00AC350C"/>
    <w:rsid w:val="00AC3DDE"/>
    <w:rsid w:val="00AC5528"/>
    <w:rsid w:val="00AC5E99"/>
    <w:rsid w:val="00AC61AD"/>
    <w:rsid w:val="00AC639E"/>
    <w:rsid w:val="00AC6654"/>
    <w:rsid w:val="00AC7B50"/>
    <w:rsid w:val="00AD029E"/>
    <w:rsid w:val="00AD05B5"/>
    <w:rsid w:val="00AD088B"/>
    <w:rsid w:val="00AD0D63"/>
    <w:rsid w:val="00AD126D"/>
    <w:rsid w:val="00AD1D90"/>
    <w:rsid w:val="00AD2BBB"/>
    <w:rsid w:val="00AD2FEB"/>
    <w:rsid w:val="00AD3302"/>
    <w:rsid w:val="00AD39E9"/>
    <w:rsid w:val="00AD55E9"/>
    <w:rsid w:val="00AD5B0F"/>
    <w:rsid w:val="00AD69FB"/>
    <w:rsid w:val="00AD6CC9"/>
    <w:rsid w:val="00AE0C4F"/>
    <w:rsid w:val="00AE1F3F"/>
    <w:rsid w:val="00AE2213"/>
    <w:rsid w:val="00AE25FF"/>
    <w:rsid w:val="00AE2B14"/>
    <w:rsid w:val="00AE2F8A"/>
    <w:rsid w:val="00AE34FB"/>
    <w:rsid w:val="00AE3F32"/>
    <w:rsid w:val="00AE4627"/>
    <w:rsid w:val="00AE4660"/>
    <w:rsid w:val="00AE49EE"/>
    <w:rsid w:val="00AE5E88"/>
    <w:rsid w:val="00AE6589"/>
    <w:rsid w:val="00AE6F57"/>
    <w:rsid w:val="00AF06DD"/>
    <w:rsid w:val="00AF0FFC"/>
    <w:rsid w:val="00AF1A41"/>
    <w:rsid w:val="00AF1A90"/>
    <w:rsid w:val="00AF1F9E"/>
    <w:rsid w:val="00AF3388"/>
    <w:rsid w:val="00AF33E3"/>
    <w:rsid w:val="00AF3EE6"/>
    <w:rsid w:val="00AF48C5"/>
    <w:rsid w:val="00AF4FDF"/>
    <w:rsid w:val="00AF55CD"/>
    <w:rsid w:val="00AF5AAF"/>
    <w:rsid w:val="00AF5D59"/>
    <w:rsid w:val="00AF611D"/>
    <w:rsid w:val="00AF635C"/>
    <w:rsid w:val="00AF7292"/>
    <w:rsid w:val="00B00023"/>
    <w:rsid w:val="00B01D56"/>
    <w:rsid w:val="00B02FE7"/>
    <w:rsid w:val="00B0310A"/>
    <w:rsid w:val="00B0343C"/>
    <w:rsid w:val="00B03542"/>
    <w:rsid w:val="00B03E9E"/>
    <w:rsid w:val="00B061E7"/>
    <w:rsid w:val="00B07DFE"/>
    <w:rsid w:val="00B103CC"/>
    <w:rsid w:val="00B10EF6"/>
    <w:rsid w:val="00B11239"/>
    <w:rsid w:val="00B112BE"/>
    <w:rsid w:val="00B1202B"/>
    <w:rsid w:val="00B14432"/>
    <w:rsid w:val="00B15C5D"/>
    <w:rsid w:val="00B15D72"/>
    <w:rsid w:val="00B163CE"/>
    <w:rsid w:val="00B17703"/>
    <w:rsid w:val="00B17F1E"/>
    <w:rsid w:val="00B2099E"/>
    <w:rsid w:val="00B20C08"/>
    <w:rsid w:val="00B20CB3"/>
    <w:rsid w:val="00B20E92"/>
    <w:rsid w:val="00B21072"/>
    <w:rsid w:val="00B210E1"/>
    <w:rsid w:val="00B21114"/>
    <w:rsid w:val="00B21838"/>
    <w:rsid w:val="00B21BF3"/>
    <w:rsid w:val="00B22FF7"/>
    <w:rsid w:val="00B23821"/>
    <w:rsid w:val="00B24FEA"/>
    <w:rsid w:val="00B25F07"/>
    <w:rsid w:val="00B261BE"/>
    <w:rsid w:val="00B26C62"/>
    <w:rsid w:val="00B2736B"/>
    <w:rsid w:val="00B27520"/>
    <w:rsid w:val="00B27599"/>
    <w:rsid w:val="00B275EA"/>
    <w:rsid w:val="00B27C11"/>
    <w:rsid w:val="00B301B9"/>
    <w:rsid w:val="00B30CA5"/>
    <w:rsid w:val="00B318D4"/>
    <w:rsid w:val="00B320CB"/>
    <w:rsid w:val="00B328D7"/>
    <w:rsid w:val="00B33A0A"/>
    <w:rsid w:val="00B33A15"/>
    <w:rsid w:val="00B34A0C"/>
    <w:rsid w:val="00B35D38"/>
    <w:rsid w:val="00B37A8B"/>
    <w:rsid w:val="00B40AEF"/>
    <w:rsid w:val="00B41BF3"/>
    <w:rsid w:val="00B422D9"/>
    <w:rsid w:val="00B425EE"/>
    <w:rsid w:val="00B428AF"/>
    <w:rsid w:val="00B42BA1"/>
    <w:rsid w:val="00B430C7"/>
    <w:rsid w:val="00B4392F"/>
    <w:rsid w:val="00B43A5A"/>
    <w:rsid w:val="00B4475B"/>
    <w:rsid w:val="00B45908"/>
    <w:rsid w:val="00B45C7B"/>
    <w:rsid w:val="00B46161"/>
    <w:rsid w:val="00B47648"/>
    <w:rsid w:val="00B501DD"/>
    <w:rsid w:val="00B502E1"/>
    <w:rsid w:val="00B5048A"/>
    <w:rsid w:val="00B50933"/>
    <w:rsid w:val="00B50967"/>
    <w:rsid w:val="00B5109A"/>
    <w:rsid w:val="00B5211A"/>
    <w:rsid w:val="00B52A84"/>
    <w:rsid w:val="00B5308A"/>
    <w:rsid w:val="00B54D12"/>
    <w:rsid w:val="00B552D5"/>
    <w:rsid w:val="00B5683F"/>
    <w:rsid w:val="00B56AE2"/>
    <w:rsid w:val="00B57150"/>
    <w:rsid w:val="00B576A1"/>
    <w:rsid w:val="00B60011"/>
    <w:rsid w:val="00B608AE"/>
    <w:rsid w:val="00B622BB"/>
    <w:rsid w:val="00B62CFE"/>
    <w:rsid w:val="00B6311D"/>
    <w:rsid w:val="00B6423A"/>
    <w:rsid w:val="00B6525A"/>
    <w:rsid w:val="00B655AF"/>
    <w:rsid w:val="00B659DF"/>
    <w:rsid w:val="00B66337"/>
    <w:rsid w:val="00B67B26"/>
    <w:rsid w:val="00B67E34"/>
    <w:rsid w:val="00B67F99"/>
    <w:rsid w:val="00B70893"/>
    <w:rsid w:val="00B71699"/>
    <w:rsid w:val="00B719C8"/>
    <w:rsid w:val="00B72AFB"/>
    <w:rsid w:val="00B73C04"/>
    <w:rsid w:val="00B747D2"/>
    <w:rsid w:val="00B75B50"/>
    <w:rsid w:val="00B77625"/>
    <w:rsid w:val="00B77ADF"/>
    <w:rsid w:val="00B77DF0"/>
    <w:rsid w:val="00B804B2"/>
    <w:rsid w:val="00B80FDC"/>
    <w:rsid w:val="00B81E30"/>
    <w:rsid w:val="00B81E95"/>
    <w:rsid w:val="00B820A5"/>
    <w:rsid w:val="00B8236D"/>
    <w:rsid w:val="00B82943"/>
    <w:rsid w:val="00B83BB1"/>
    <w:rsid w:val="00B841DE"/>
    <w:rsid w:val="00B84C30"/>
    <w:rsid w:val="00B84C5F"/>
    <w:rsid w:val="00B84E12"/>
    <w:rsid w:val="00B84FFF"/>
    <w:rsid w:val="00B854F9"/>
    <w:rsid w:val="00B8566A"/>
    <w:rsid w:val="00B86989"/>
    <w:rsid w:val="00B86D61"/>
    <w:rsid w:val="00B87957"/>
    <w:rsid w:val="00B87C83"/>
    <w:rsid w:val="00B9016A"/>
    <w:rsid w:val="00B90265"/>
    <w:rsid w:val="00B90699"/>
    <w:rsid w:val="00B911BC"/>
    <w:rsid w:val="00B9163B"/>
    <w:rsid w:val="00B91695"/>
    <w:rsid w:val="00B91756"/>
    <w:rsid w:val="00B92AFA"/>
    <w:rsid w:val="00B93260"/>
    <w:rsid w:val="00B935E7"/>
    <w:rsid w:val="00B93C8D"/>
    <w:rsid w:val="00B941E5"/>
    <w:rsid w:val="00B96516"/>
    <w:rsid w:val="00B96895"/>
    <w:rsid w:val="00B97CE2"/>
    <w:rsid w:val="00BA1237"/>
    <w:rsid w:val="00BA307B"/>
    <w:rsid w:val="00BA3348"/>
    <w:rsid w:val="00BA41DE"/>
    <w:rsid w:val="00BA4E5D"/>
    <w:rsid w:val="00BA5168"/>
    <w:rsid w:val="00BA58B1"/>
    <w:rsid w:val="00BA6137"/>
    <w:rsid w:val="00BA6751"/>
    <w:rsid w:val="00BA73ED"/>
    <w:rsid w:val="00BB0806"/>
    <w:rsid w:val="00BB1B65"/>
    <w:rsid w:val="00BB28CF"/>
    <w:rsid w:val="00BB2B8B"/>
    <w:rsid w:val="00BB3019"/>
    <w:rsid w:val="00BB3427"/>
    <w:rsid w:val="00BB3F24"/>
    <w:rsid w:val="00BB450A"/>
    <w:rsid w:val="00BB5A72"/>
    <w:rsid w:val="00BB5B10"/>
    <w:rsid w:val="00BB5C6B"/>
    <w:rsid w:val="00BB63CE"/>
    <w:rsid w:val="00BB7336"/>
    <w:rsid w:val="00BB7F54"/>
    <w:rsid w:val="00BC0CFB"/>
    <w:rsid w:val="00BC2A41"/>
    <w:rsid w:val="00BC3033"/>
    <w:rsid w:val="00BC33EA"/>
    <w:rsid w:val="00BC3A9B"/>
    <w:rsid w:val="00BC4659"/>
    <w:rsid w:val="00BC4CC4"/>
    <w:rsid w:val="00BC5E25"/>
    <w:rsid w:val="00BC76F8"/>
    <w:rsid w:val="00BD03E4"/>
    <w:rsid w:val="00BD06F0"/>
    <w:rsid w:val="00BD0A92"/>
    <w:rsid w:val="00BD0BCC"/>
    <w:rsid w:val="00BD1321"/>
    <w:rsid w:val="00BD23A3"/>
    <w:rsid w:val="00BD2814"/>
    <w:rsid w:val="00BD2928"/>
    <w:rsid w:val="00BD2D9A"/>
    <w:rsid w:val="00BD4066"/>
    <w:rsid w:val="00BD4112"/>
    <w:rsid w:val="00BD4AD1"/>
    <w:rsid w:val="00BD5446"/>
    <w:rsid w:val="00BD557F"/>
    <w:rsid w:val="00BD5D9C"/>
    <w:rsid w:val="00BD5F76"/>
    <w:rsid w:val="00BD7621"/>
    <w:rsid w:val="00BD7FFE"/>
    <w:rsid w:val="00BE06F0"/>
    <w:rsid w:val="00BE1401"/>
    <w:rsid w:val="00BE15BE"/>
    <w:rsid w:val="00BE2992"/>
    <w:rsid w:val="00BE2B0A"/>
    <w:rsid w:val="00BE2EE6"/>
    <w:rsid w:val="00BE3095"/>
    <w:rsid w:val="00BE367C"/>
    <w:rsid w:val="00BE3762"/>
    <w:rsid w:val="00BE386D"/>
    <w:rsid w:val="00BE3D23"/>
    <w:rsid w:val="00BE3D50"/>
    <w:rsid w:val="00BE4198"/>
    <w:rsid w:val="00BE440A"/>
    <w:rsid w:val="00BE4C99"/>
    <w:rsid w:val="00BE547B"/>
    <w:rsid w:val="00BE59A4"/>
    <w:rsid w:val="00BE5C3A"/>
    <w:rsid w:val="00BE6222"/>
    <w:rsid w:val="00BE661D"/>
    <w:rsid w:val="00BE691A"/>
    <w:rsid w:val="00BE6C1B"/>
    <w:rsid w:val="00BE730F"/>
    <w:rsid w:val="00BE7F9F"/>
    <w:rsid w:val="00BF04A8"/>
    <w:rsid w:val="00BF0CEC"/>
    <w:rsid w:val="00BF2425"/>
    <w:rsid w:val="00BF25BC"/>
    <w:rsid w:val="00BF30DD"/>
    <w:rsid w:val="00BF42EE"/>
    <w:rsid w:val="00BF4644"/>
    <w:rsid w:val="00BF509D"/>
    <w:rsid w:val="00BF7884"/>
    <w:rsid w:val="00C001AA"/>
    <w:rsid w:val="00C002A2"/>
    <w:rsid w:val="00C00BE4"/>
    <w:rsid w:val="00C011C2"/>
    <w:rsid w:val="00C011FD"/>
    <w:rsid w:val="00C01738"/>
    <w:rsid w:val="00C01827"/>
    <w:rsid w:val="00C01F54"/>
    <w:rsid w:val="00C02826"/>
    <w:rsid w:val="00C03CD8"/>
    <w:rsid w:val="00C04424"/>
    <w:rsid w:val="00C04C07"/>
    <w:rsid w:val="00C04E6C"/>
    <w:rsid w:val="00C05807"/>
    <w:rsid w:val="00C06044"/>
    <w:rsid w:val="00C06253"/>
    <w:rsid w:val="00C068D8"/>
    <w:rsid w:val="00C07677"/>
    <w:rsid w:val="00C079B6"/>
    <w:rsid w:val="00C12290"/>
    <w:rsid w:val="00C128D7"/>
    <w:rsid w:val="00C12B75"/>
    <w:rsid w:val="00C1339E"/>
    <w:rsid w:val="00C135F1"/>
    <w:rsid w:val="00C13AE6"/>
    <w:rsid w:val="00C141D1"/>
    <w:rsid w:val="00C14AB1"/>
    <w:rsid w:val="00C16E03"/>
    <w:rsid w:val="00C1744E"/>
    <w:rsid w:val="00C20A8C"/>
    <w:rsid w:val="00C21AB4"/>
    <w:rsid w:val="00C21B91"/>
    <w:rsid w:val="00C21BDE"/>
    <w:rsid w:val="00C21F25"/>
    <w:rsid w:val="00C223CE"/>
    <w:rsid w:val="00C22476"/>
    <w:rsid w:val="00C229EE"/>
    <w:rsid w:val="00C244BE"/>
    <w:rsid w:val="00C2457B"/>
    <w:rsid w:val="00C24593"/>
    <w:rsid w:val="00C25143"/>
    <w:rsid w:val="00C252C7"/>
    <w:rsid w:val="00C25425"/>
    <w:rsid w:val="00C2616A"/>
    <w:rsid w:val="00C264C9"/>
    <w:rsid w:val="00C2682B"/>
    <w:rsid w:val="00C2754E"/>
    <w:rsid w:val="00C275AD"/>
    <w:rsid w:val="00C30355"/>
    <w:rsid w:val="00C31DB6"/>
    <w:rsid w:val="00C326A5"/>
    <w:rsid w:val="00C32789"/>
    <w:rsid w:val="00C35AA5"/>
    <w:rsid w:val="00C35F95"/>
    <w:rsid w:val="00C3644E"/>
    <w:rsid w:val="00C37C60"/>
    <w:rsid w:val="00C4049F"/>
    <w:rsid w:val="00C4106C"/>
    <w:rsid w:val="00C41C77"/>
    <w:rsid w:val="00C42449"/>
    <w:rsid w:val="00C42AC0"/>
    <w:rsid w:val="00C42CE3"/>
    <w:rsid w:val="00C43C6B"/>
    <w:rsid w:val="00C43F07"/>
    <w:rsid w:val="00C44544"/>
    <w:rsid w:val="00C44921"/>
    <w:rsid w:val="00C44926"/>
    <w:rsid w:val="00C44DF8"/>
    <w:rsid w:val="00C44F7F"/>
    <w:rsid w:val="00C453B6"/>
    <w:rsid w:val="00C4594E"/>
    <w:rsid w:val="00C45C1A"/>
    <w:rsid w:val="00C45CF5"/>
    <w:rsid w:val="00C46908"/>
    <w:rsid w:val="00C472CA"/>
    <w:rsid w:val="00C475DD"/>
    <w:rsid w:val="00C4774F"/>
    <w:rsid w:val="00C477AA"/>
    <w:rsid w:val="00C47D40"/>
    <w:rsid w:val="00C50F4D"/>
    <w:rsid w:val="00C52135"/>
    <w:rsid w:val="00C5250D"/>
    <w:rsid w:val="00C534DE"/>
    <w:rsid w:val="00C535B3"/>
    <w:rsid w:val="00C53749"/>
    <w:rsid w:val="00C53A6A"/>
    <w:rsid w:val="00C54617"/>
    <w:rsid w:val="00C5652B"/>
    <w:rsid w:val="00C565B7"/>
    <w:rsid w:val="00C577F2"/>
    <w:rsid w:val="00C57A46"/>
    <w:rsid w:val="00C6071B"/>
    <w:rsid w:val="00C60ABC"/>
    <w:rsid w:val="00C61571"/>
    <w:rsid w:val="00C61D11"/>
    <w:rsid w:val="00C62610"/>
    <w:rsid w:val="00C6272A"/>
    <w:rsid w:val="00C629A5"/>
    <w:rsid w:val="00C62B1B"/>
    <w:rsid w:val="00C62E53"/>
    <w:rsid w:val="00C62E72"/>
    <w:rsid w:val="00C63DBA"/>
    <w:rsid w:val="00C64365"/>
    <w:rsid w:val="00C65580"/>
    <w:rsid w:val="00C65611"/>
    <w:rsid w:val="00C657BA"/>
    <w:rsid w:val="00C65F97"/>
    <w:rsid w:val="00C6641F"/>
    <w:rsid w:val="00C66E20"/>
    <w:rsid w:val="00C6703D"/>
    <w:rsid w:val="00C6754A"/>
    <w:rsid w:val="00C71CAE"/>
    <w:rsid w:val="00C71DDD"/>
    <w:rsid w:val="00C72509"/>
    <w:rsid w:val="00C72BB2"/>
    <w:rsid w:val="00C73DA9"/>
    <w:rsid w:val="00C73DB0"/>
    <w:rsid w:val="00C73F84"/>
    <w:rsid w:val="00C74286"/>
    <w:rsid w:val="00C7593B"/>
    <w:rsid w:val="00C77B3A"/>
    <w:rsid w:val="00C80E20"/>
    <w:rsid w:val="00C81355"/>
    <w:rsid w:val="00C818D2"/>
    <w:rsid w:val="00C821B2"/>
    <w:rsid w:val="00C832CE"/>
    <w:rsid w:val="00C8340C"/>
    <w:rsid w:val="00C8368A"/>
    <w:rsid w:val="00C8370C"/>
    <w:rsid w:val="00C83C6A"/>
    <w:rsid w:val="00C84F8A"/>
    <w:rsid w:val="00C8570B"/>
    <w:rsid w:val="00C85CCA"/>
    <w:rsid w:val="00C87B1D"/>
    <w:rsid w:val="00C87F3C"/>
    <w:rsid w:val="00C909F1"/>
    <w:rsid w:val="00C91C60"/>
    <w:rsid w:val="00C925E5"/>
    <w:rsid w:val="00C9283D"/>
    <w:rsid w:val="00C931AA"/>
    <w:rsid w:val="00C931D0"/>
    <w:rsid w:val="00C93ED1"/>
    <w:rsid w:val="00C94D3E"/>
    <w:rsid w:val="00C96D40"/>
    <w:rsid w:val="00C96F4E"/>
    <w:rsid w:val="00C979B4"/>
    <w:rsid w:val="00CA02FC"/>
    <w:rsid w:val="00CA0C03"/>
    <w:rsid w:val="00CA10C9"/>
    <w:rsid w:val="00CA165E"/>
    <w:rsid w:val="00CA18C5"/>
    <w:rsid w:val="00CA1BBB"/>
    <w:rsid w:val="00CA1E9B"/>
    <w:rsid w:val="00CA203B"/>
    <w:rsid w:val="00CA2707"/>
    <w:rsid w:val="00CA2F27"/>
    <w:rsid w:val="00CA35F6"/>
    <w:rsid w:val="00CA3717"/>
    <w:rsid w:val="00CA38CE"/>
    <w:rsid w:val="00CA3F8D"/>
    <w:rsid w:val="00CA45CF"/>
    <w:rsid w:val="00CA596A"/>
    <w:rsid w:val="00CA6582"/>
    <w:rsid w:val="00CA6CD4"/>
    <w:rsid w:val="00CA7056"/>
    <w:rsid w:val="00CA707B"/>
    <w:rsid w:val="00CA7D15"/>
    <w:rsid w:val="00CA7DBD"/>
    <w:rsid w:val="00CA7FF9"/>
    <w:rsid w:val="00CB08F8"/>
    <w:rsid w:val="00CB0C7D"/>
    <w:rsid w:val="00CB1A6A"/>
    <w:rsid w:val="00CB1CB9"/>
    <w:rsid w:val="00CB1EE6"/>
    <w:rsid w:val="00CB4B86"/>
    <w:rsid w:val="00CB4E25"/>
    <w:rsid w:val="00CB5719"/>
    <w:rsid w:val="00CB5975"/>
    <w:rsid w:val="00CB5A3E"/>
    <w:rsid w:val="00CB66A5"/>
    <w:rsid w:val="00CB7842"/>
    <w:rsid w:val="00CB7908"/>
    <w:rsid w:val="00CB7B4C"/>
    <w:rsid w:val="00CC0082"/>
    <w:rsid w:val="00CC01AF"/>
    <w:rsid w:val="00CC02E5"/>
    <w:rsid w:val="00CC1166"/>
    <w:rsid w:val="00CC1427"/>
    <w:rsid w:val="00CC1E09"/>
    <w:rsid w:val="00CC1EDA"/>
    <w:rsid w:val="00CC2A35"/>
    <w:rsid w:val="00CC2AC5"/>
    <w:rsid w:val="00CC30A3"/>
    <w:rsid w:val="00CC395A"/>
    <w:rsid w:val="00CC4162"/>
    <w:rsid w:val="00CC444C"/>
    <w:rsid w:val="00CC445B"/>
    <w:rsid w:val="00CC4671"/>
    <w:rsid w:val="00CC470B"/>
    <w:rsid w:val="00CC6831"/>
    <w:rsid w:val="00CC6CAB"/>
    <w:rsid w:val="00CD0338"/>
    <w:rsid w:val="00CD15E3"/>
    <w:rsid w:val="00CD19D0"/>
    <w:rsid w:val="00CD2791"/>
    <w:rsid w:val="00CD2A70"/>
    <w:rsid w:val="00CD3956"/>
    <w:rsid w:val="00CD4374"/>
    <w:rsid w:val="00CD49EE"/>
    <w:rsid w:val="00CD4B9B"/>
    <w:rsid w:val="00CD5541"/>
    <w:rsid w:val="00CD6F2D"/>
    <w:rsid w:val="00CD6F8F"/>
    <w:rsid w:val="00CD7492"/>
    <w:rsid w:val="00CD76FA"/>
    <w:rsid w:val="00CD7B17"/>
    <w:rsid w:val="00CE08A8"/>
    <w:rsid w:val="00CE2066"/>
    <w:rsid w:val="00CE3EEA"/>
    <w:rsid w:val="00CE4905"/>
    <w:rsid w:val="00CE4D4F"/>
    <w:rsid w:val="00CE53FB"/>
    <w:rsid w:val="00CE5452"/>
    <w:rsid w:val="00CE6241"/>
    <w:rsid w:val="00CE7FCD"/>
    <w:rsid w:val="00CF0432"/>
    <w:rsid w:val="00CF06E9"/>
    <w:rsid w:val="00CF072F"/>
    <w:rsid w:val="00CF0977"/>
    <w:rsid w:val="00CF0A70"/>
    <w:rsid w:val="00CF1B7F"/>
    <w:rsid w:val="00CF222F"/>
    <w:rsid w:val="00CF248C"/>
    <w:rsid w:val="00CF2F5F"/>
    <w:rsid w:val="00CF332C"/>
    <w:rsid w:val="00CF45F4"/>
    <w:rsid w:val="00CF4662"/>
    <w:rsid w:val="00CF49DA"/>
    <w:rsid w:val="00CF4D42"/>
    <w:rsid w:val="00CF4F55"/>
    <w:rsid w:val="00CF61CD"/>
    <w:rsid w:val="00CF71EA"/>
    <w:rsid w:val="00D00810"/>
    <w:rsid w:val="00D0084C"/>
    <w:rsid w:val="00D00EAF"/>
    <w:rsid w:val="00D0126A"/>
    <w:rsid w:val="00D01421"/>
    <w:rsid w:val="00D01D62"/>
    <w:rsid w:val="00D03514"/>
    <w:rsid w:val="00D04980"/>
    <w:rsid w:val="00D04C22"/>
    <w:rsid w:val="00D05114"/>
    <w:rsid w:val="00D05434"/>
    <w:rsid w:val="00D05BE3"/>
    <w:rsid w:val="00D061FC"/>
    <w:rsid w:val="00D073E7"/>
    <w:rsid w:val="00D07B12"/>
    <w:rsid w:val="00D10868"/>
    <w:rsid w:val="00D121EC"/>
    <w:rsid w:val="00D122BB"/>
    <w:rsid w:val="00D13B81"/>
    <w:rsid w:val="00D14121"/>
    <w:rsid w:val="00D143E4"/>
    <w:rsid w:val="00D15115"/>
    <w:rsid w:val="00D151E6"/>
    <w:rsid w:val="00D154C3"/>
    <w:rsid w:val="00D15756"/>
    <w:rsid w:val="00D158FF"/>
    <w:rsid w:val="00D16092"/>
    <w:rsid w:val="00D1661D"/>
    <w:rsid w:val="00D1671D"/>
    <w:rsid w:val="00D167D7"/>
    <w:rsid w:val="00D17F8C"/>
    <w:rsid w:val="00D20371"/>
    <w:rsid w:val="00D21226"/>
    <w:rsid w:val="00D212D5"/>
    <w:rsid w:val="00D21FB6"/>
    <w:rsid w:val="00D246DC"/>
    <w:rsid w:val="00D24BA3"/>
    <w:rsid w:val="00D25774"/>
    <w:rsid w:val="00D257E0"/>
    <w:rsid w:val="00D26B49"/>
    <w:rsid w:val="00D27242"/>
    <w:rsid w:val="00D30D32"/>
    <w:rsid w:val="00D30D7F"/>
    <w:rsid w:val="00D31183"/>
    <w:rsid w:val="00D3146E"/>
    <w:rsid w:val="00D3185F"/>
    <w:rsid w:val="00D32042"/>
    <w:rsid w:val="00D33A0D"/>
    <w:rsid w:val="00D33F48"/>
    <w:rsid w:val="00D345F8"/>
    <w:rsid w:val="00D34828"/>
    <w:rsid w:val="00D34895"/>
    <w:rsid w:val="00D37E42"/>
    <w:rsid w:val="00D37FBF"/>
    <w:rsid w:val="00D40694"/>
    <w:rsid w:val="00D40B4A"/>
    <w:rsid w:val="00D41157"/>
    <w:rsid w:val="00D414BF"/>
    <w:rsid w:val="00D416BC"/>
    <w:rsid w:val="00D42B9F"/>
    <w:rsid w:val="00D42CB3"/>
    <w:rsid w:val="00D42D97"/>
    <w:rsid w:val="00D43842"/>
    <w:rsid w:val="00D44850"/>
    <w:rsid w:val="00D45146"/>
    <w:rsid w:val="00D45473"/>
    <w:rsid w:val="00D45793"/>
    <w:rsid w:val="00D46ED2"/>
    <w:rsid w:val="00D4754A"/>
    <w:rsid w:val="00D47AC5"/>
    <w:rsid w:val="00D47C95"/>
    <w:rsid w:val="00D503FF"/>
    <w:rsid w:val="00D50912"/>
    <w:rsid w:val="00D5128B"/>
    <w:rsid w:val="00D512E2"/>
    <w:rsid w:val="00D51E13"/>
    <w:rsid w:val="00D52E68"/>
    <w:rsid w:val="00D52E88"/>
    <w:rsid w:val="00D539DA"/>
    <w:rsid w:val="00D53FCE"/>
    <w:rsid w:val="00D543C0"/>
    <w:rsid w:val="00D543D1"/>
    <w:rsid w:val="00D54731"/>
    <w:rsid w:val="00D551CE"/>
    <w:rsid w:val="00D55486"/>
    <w:rsid w:val="00D55809"/>
    <w:rsid w:val="00D55D4B"/>
    <w:rsid w:val="00D55D9E"/>
    <w:rsid w:val="00D56031"/>
    <w:rsid w:val="00D563EF"/>
    <w:rsid w:val="00D56661"/>
    <w:rsid w:val="00D5762A"/>
    <w:rsid w:val="00D60D51"/>
    <w:rsid w:val="00D6176A"/>
    <w:rsid w:val="00D617FC"/>
    <w:rsid w:val="00D624F6"/>
    <w:rsid w:val="00D63040"/>
    <w:rsid w:val="00D633CE"/>
    <w:rsid w:val="00D63A87"/>
    <w:rsid w:val="00D6426C"/>
    <w:rsid w:val="00D64292"/>
    <w:rsid w:val="00D64EFB"/>
    <w:rsid w:val="00D67301"/>
    <w:rsid w:val="00D67E3F"/>
    <w:rsid w:val="00D70014"/>
    <w:rsid w:val="00D71515"/>
    <w:rsid w:val="00D7294E"/>
    <w:rsid w:val="00D73669"/>
    <w:rsid w:val="00D75853"/>
    <w:rsid w:val="00D75C6E"/>
    <w:rsid w:val="00D763F0"/>
    <w:rsid w:val="00D766D4"/>
    <w:rsid w:val="00D76CCE"/>
    <w:rsid w:val="00D774EE"/>
    <w:rsid w:val="00D776A4"/>
    <w:rsid w:val="00D77F24"/>
    <w:rsid w:val="00D80786"/>
    <w:rsid w:val="00D811B6"/>
    <w:rsid w:val="00D81322"/>
    <w:rsid w:val="00D81562"/>
    <w:rsid w:val="00D81812"/>
    <w:rsid w:val="00D82C38"/>
    <w:rsid w:val="00D82C57"/>
    <w:rsid w:val="00D831E9"/>
    <w:rsid w:val="00D836BF"/>
    <w:rsid w:val="00D84C66"/>
    <w:rsid w:val="00D84F6D"/>
    <w:rsid w:val="00D8504D"/>
    <w:rsid w:val="00D85348"/>
    <w:rsid w:val="00D85B41"/>
    <w:rsid w:val="00D86720"/>
    <w:rsid w:val="00D87D8A"/>
    <w:rsid w:val="00D90A83"/>
    <w:rsid w:val="00D92443"/>
    <w:rsid w:val="00D92D11"/>
    <w:rsid w:val="00D93B8B"/>
    <w:rsid w:val="00D9410A"/>
    <w:rsid w:val="00D94CA4"/>
    <w:rsid w:val="00D9574C"/>
    <w:rsid w:val="00D95BD0"/>
    <w:rsid w:val="00D961CE"/>
    <w:rsid w:val="00D966EB"/>
    <w:rsid w:val="00D96B0F"/>
    <w:rsid w:val="00D96CC9"/>
    <w:rsid w:val="00D9703D"/>
    <w:rsid w:val="00DA071C"/>
    <w:rsid w:val="00DA199F"/>
    <w:rsid w:val="00DA4B60"/>
    <w:rsid w:val="00DA5B4F"/>
    <w:rsid w:val="00DA636A"/>
    <w:rsid w:val="00DA6EEB"/>
    <w:rsid w:val="00DB081A"/>
    <w:rsid w:val="00DB178A"/>
    <w:rsid w:val="00DB2467"/>
    <w:rsid w:val="00DB3E5A"/>
    <w:rsid w:val="00DB678C"/>
    <w:rsid w:val="00DB75E5"/>
    <w:rsid w:val="00DC08CF"/>
    <w:rsid w:val="00DC12D3"/>
    <w:rsid w:val="00DC2B89"/>
    <w:rsid w:val="00DC39B5"/>
    <w:rsid w:val="00DC3C39"/>
    <w:rsid w:val="00DC3C59"/>
    <w:rsid w:val="00DC3E22"/>
    <w:rsid w:val="00DC4C58"/>
    <w:rsid w:val="00DC4EE6"/>
    <w:rsid w:val="00DC5B17"/>
    <w:rsid w:val="00DC61B4"/>
    <w:rsid w:val="00DC6650"/>
    <w:rsid w:val="00DC73D1"/>
    <w:rsid w:val="00DC74BC"/>
    <w:rsid w:val="00DC7E9E"/>
    <w:rsid w:val="00DD045B"/>
    <w:rsid w:val="00DD116C"/>
    <w:rsid w:val="00DD18D5"/>
    <w:rsid w:val="00DD21B4"/>
    <w:rsid w:val="00DD2A08"/>
    <w:rsid w:val="00DD3B20"/>
    <w:rsid w:val="00DD3D0B"/>
    <w:rsid w:val="00DD3D6E"/>
    <w:rsid w:val="00DD470A"/>
    <w:rsid w:val="00DD4957"/>
    <w:rsid w:val="00DD52E9"/>
    <w:rsid w:val="00DD57A6"/>
    <w:rsid w:val="00DD6713"/>
    <w:rsid w:val="00DD78EB"/>
    <w:rsid w:val="00DD7D84"/>
    <w:rsid w:val="00DE03B8"/>
    <w:rsid w:val="00DE0412"/>
    <w:rsid w:val="00DE08DE"/>
    <w:rsid w:val="00DE2FF4"/>
    <w:rsid w:val="00DE306A"/>
    <w:rsid w:val="00DE34FE"/>
    <w:rsid w:val="00DE3E65"/>
    <w:rsid w:val="00DE4C83"/>
    <w:rsid w:val="00DE4D46"/>
    <w:rsid w:val="00DE4FC0"/>
    <w:rsid w:val="00DE520E"/>
    <w:rsid w:val="00DE5B20"/>
    <w:rsid w:val="00DE5CCF"/>
    <w:rsid w:val="00DE5D72"/>
    <w:rsid w:val="00DE5EA7"/>
    <w:rsid w:val="00DF01CD"/>
    <w:rsid w:val="00DF0CA9"/>
    <w:rsid w:val="00DF1BFD"/>
    <w:rsid w:val="00DF2028"/>
    <w:rsid w:val="00DF2405"/>
    <w:rsid w:val="00DF27A6"/>
    <w:rsid w:val="00DF34EF"/>
    <w:rsid w:val="00DF45AB"/>
    <w:rsid w:val="00DF4D45"/>
    <w:rsid w:val="00DF506E"/>
    <w:rsid w:val="00DF58D4"/>
    <w:rsid w:val="00DF5C8E"/>
    <w:rsid w:val="00DF6416"/>
    <w:rsid w:val="00DF65D4"/>
    <w:rsid w:val="00DF6914"/>
    <w:rsid w:val="00DF6A82"/>
    <w:rsid w:val="00DF7A80"/>
    <w:rsid w:val="00E008B3"/>
    <w:rsid w:val="00E009AD"/>
    <w:rsid w:val="00E00CD5"/>
    <w:rsid w:val="00E00FD6"/>
    <w:rsid w:val="00E01718"/>
    <w:rsid w:val="00E0221F"/>
    <w:rsid w:val="00E03277"/>
    <w:rsid w:val="00E035E0"/>
    <w:rsid w:val="00E04569"/>
    <w:rsid w:val="00E048F9"/>
    <w:rsid w:val="00E04ACC"/>
    <w:rsid w:val="00E05148"/>
    <w:rsid w:val="00E06894"/>
    <w:rsid w:val="00E06898"/>
    <w:rsid w:val="00E06C7A"/>
    <w:rsid w:val="00E07F55"/>
    <w:rsid w:val="00E1042D"/>
    <w:rsid w:val="00E10535"/>
    <w:rsid w:val="00E110E2"/>
    <w:rsid w:val="00E1146A"/>
    <w:rsid w:val="00E11EC7"/>
    <w:rsid w:val="00E1251F"/>
    <w:rsid w:val="00E12D36"/>
    <w:rsid w:val="00E12E67"/>
    <w:rsid w:val="00E14569"/>
    <w:rsid w:val="00E14E69"/>
    <w:rsid w:val="00E14F48"/>
    <w:rsid w:val="00E14F81"/>
    <w:rsid w:val="00E15212"/>
    <w:rsid w:val="00E159B0"/>
    <w:rsid w:val="00E1602C"/>
    <w:rsid w:val="00E161B9"/>
    <w:rsid w:val="00E162C4"/>
    <w:rsid w:val="00E1661E"/>
    <w:rsid w:val="00E1673C"/>
    <w:rsid w:val="00E16C86"/>
    <w:rsid w:val="00E16F1B"/>
    <w:rsid w:val="00E17587"/>
    <w:rsid w:val="00E1775E"/>
    <w:rsid w:val="00E204F9"/>
    <w:rsid w:val="00E20A36"/>
    <w:rsid w:val="00E20B70"/>
    <w:rsid w:val="00E20D6F"/>
    <w:rsid w:val="00E21267"/>
    <w:rsid w:val="00E224BD"/>
    <w:rsid w:val="00E229B0"/>
    <w:rsid w:val="00E22C4A"/>
    <w:rsid w:val="00E23761"/>
    <w:rsid w:val="00E23AEC"/>
    <w:rsid w:val="00E24C37"/>
    <w:rsid w:val="00E2587D"/>
    <w:rsid w:val="00E25C05"/>
    <w:rsid w:val="00E260B5"/>
    <w:rsid w:val="00E2643F"/>
    <w:rsid w:val="00E27A6D"/>
    <w:rsid w:val="00E27D03"/>
    <w:rsid w:val="00E27FC6"/>
    <w:rsid w:val="00E317A7"/>
    <w:rsid w:val="00E334B9"/>
    <w:rsid w:val="00E34516"/>
    <w:rsid w:val="00E350E4"/>
    <w:rsid w:val="00E3544A"/>
    <w:rsid w:val="00E3593A"/>
    <w:rsid w:val="00E3604C"/>
    <w:rsid w:val="00E3606D"/>
    <w:rsid w:val="00E36C41"/>
    <w:rsid w:val="00E36EB5"/>
    <w:rsid w:val="00E4055F"/>
    <w:rsid w:val="00E41A9B"/>
    <w:rsid w:val="00E42380"/>
    <w:rsid w:val="00E42CB6"/>
    <w:rsid w:val="00E436C9"/>
    <w:rsid w:val="00E44548"/>
    <w:rsid w:val="00E45762"/>
    <w:rsid w:val="00E457AD"/>
    <w:rsid w:val="00E45961"/>
    <w:rsid w:val="00E45D24"/>
    <w:rsid w:val="00E45E8C"/>
    <w:rsid w:val="00E46232"/>
    <w:rsid w:val="00E46350"/>
    <w:rsid w:val="00E4637D"/>
    <w:rsid w:val="00E4787B"/>
    <w:rsid w:val="00E500B0"/>
    <w:rsid w:val="00E50231"/>
    <w:rsid w:val="00E505F9"/>
    <w:rsid w:val="00E51558"/>
    <w:rsid w:val="00E516A2"/>
    <w:rsid w:val="00E51AE2"/>
    <w:rsid w:val="00E51CAA"/>
    <w:rsid w:val="00E52E54"/>
    <w:rsid w:val="00E52E99"/>
    <w:rsid w:val="00E5370C"/>
    <w:rsid w:val="00E53BCD"/>
    <w:rsid w:val="00E53C38"/>
    <w:rsid w:val="00E53FD4"/>
    <w:rsid w:val="00E54531"/>
    <w:rsid w:val="00E54FA2"/>
    <w:rsid w:val="00E552BA"/>
    <w:rsid w:val="00E553DC"/>
    <w:rsid w:val="00E55726"/>
    <w:rsid w:val="00E55787"/>
    <w:rsid w:val="00E55C97"/>
    <w:rsid w:val="00E5678C"/>
    <w:rsid w:val="00E577E6"/>
    <w:rsid w:val="00E61621"/>
    <w:rsid w:val="00E622CA"/>
    <w:rsid w:val="00E626DF"/>
    <w:rsid w:val="00E63AC7"/>
    <w:rsid w:val="00E64592"/>
    <w:rsid w:val="00E64878"/>
    <w:rsid w:val="00E6499A"/>
    <w:rsid w:val="00E64CDC"/>
    <w:rsid w:val="00E66262"/>
    <w:rsid w:val="00E6712F"/>
    <w:rsid w:val="00E67443"/>
    <w:rsid w:val="00E70426"/>
    <w:rsid w:val="00E704FE"/>
    <w:rsid w:val="00E71B73"/>
    <w:rsid w:val="00E729D2"/>
    <w:rsid w:val="00E72B23"/>
    <w:rsid w:val="00E7320A"/>
    <w:rsid w:val="00E73A9D"/>
    <w:rsid w:val="00E74047"/>
    <w:rsid w:val="00E7447C"/>
    <w:rsid w:val="00E74560"/>
    <w:rsid w:val="00E745C6"/>
    <w:rsid w:val="00E74F8F"/>
    <w:rsid w:val="00E75809"/>
    <w:rsid w:val="00E75BF8"/>
    <w:rsid w:val="00E75C40"/>
    <w:rsid w:val="00E75FB0"/>
    <w:rsid w:val="00E75FC4"/>
    <w:rsid w:val="00E76132"/>
    <w:rsid w:val="00E76492"/>
    <w:rsid w:val="00E7687F"/>
    <w:rsid w:val="00E76937"/>
    <w:rsid w:val="00E76956"/>
    <w:rsid w:val="00E769A9"/>
    <w:rsid w:val="00E7702F"/>
    <w:rsid w:val="00E807FE"/>
    <w:rsid w:val="00E8188F"/>
    <w:rsid w:val="00E8230A"/>
    <w:rsid w:val="00E82B2A"/>
    <w:rsid w:val="00E82EE5"/>
    <w:rsid w:val="00E832AB"/>
    <w:rsid w:val="00E8454C"/>
    <w:rsid w:val="00E8482E"/>
    <w:rsid w:val="00E85927"/>
    <w:rsid w:val="00E86CFA"/>
    <w:rsid w:val="00E87CC4"/>
    <w:rsid w:val="00E90898"/>
    <w:rsid w:val="00E91408"/>
    <w:rsid w:val="00E919CB"/>
    <w:rsid w:val="00E9216A"/>
    <w:rsid w:val="00E92A26"/>
    <w:rsid w:val="00E93029"/>
    <w:rsid w:val="00E933DA"/>
    <w:rsid w:val="00E9375B"/>
    <w:rsid w:val="00E951AE"/>
    <w:rsid w:val="00E9521F"/>
    <w:rsid w:val="00E955F8"/>
    <w:rsid w:val="00E95B40"/>
    <w:rsid w:val="00E95C11"/>
    <w:rsid w:val="00E95CF4"/>
    <w:rsid w:val="00E96A84"/>
    <w:rsid w:val="00EA0387"/>
    <w:rsid w:val="00EA08D7"/>
    <w:rsid w:val="00EA0D83"/>
    <w:rsid w:val="00EA1525"/>
    <w:rsid w:val="00EA17DA"/>
    <w:rsid w:val="00EA18F5"/>
    <w:rsid w:val="00EA23A9"/>
    <w:rsid w:val="00EA2996"/>
    <w:rsid w:val="00EA2DB3"/>
    <w:rsid w:val="00EA3440"/>
    <w:rsid w:val="00EA36D8"/>
    <w:rsid w:val="00EA3FBD"/>
    <w:rsid w:val="00EA4149"/>
    <w:rsid w:val="00EA45A7"/>
    <w:rsid w:val="00EA48DF"/>
    <w:rsid w:val="00EA52DC"/>
    <w:rsid w:val="00EA5B35"/>
    <w:rsid w:val="00EA6135"/>
    <w:rsid w:val="00EA68C3"/>
    <w:rsid w:val="00EA6A96"/>
    <w:rsid w:val="00EA79B7"/>
    <w:rsid w:val="00EB008A"/>
    <w:rsid w:val="00EB143C"/>
    <w:rsid w:val="00EB173A"/>
    <w:rsid w:val="00EB278E"/>
    <w:rsid w:val="00EB2D50"/>
    <w:rsid w:val="00EB4BC6"/>
    <w:rsid w:val="00EB50EB"/>
    <w:rsid w:val="00EB52E7"/>
    <w:rsid w:val="00EB5729"/>
    <w:rsid w:val="00EB594E"/>
    <w:rsid w:val="00EB5B8D"/>
    <w:rsid w:val="00EB5FAE"/>
    <w:rsid w:val="00EB656F"/>
    <w:rsid w:val="00EB72B9"/>
    <w:rsid w:val="00EB78DC"/>
    <w:rsid w:val="00EB7A95"/>
    <w:rsid w:val="00EC0B34"/>
    <w:rsid w:val="00EC135C"/>
    <w:rsid w:val="00EC1653"/>
    <w:rsid w:val="00EC33AD"/>
    <w:rsid w:val="00EC4831"/>
    <w:rsid w:val="00EC4B8C"/>
    <w:rsid w:val="00EC4D23"/>
    <w:rsid w:val="00EC52B1"/>
    <w:rsid w:val="00EC5CF1"/>
    <w:rsid w:val="00EC7F1D"/>
    <w:rsid w:val="00ED04C5"/>
    <w:rsid w:val="00ED0710"/>
    <w:rsid w:val="00ED13A1"/>
    <w:rsid w:val="00ED1533"/>
    <w:rsid w:val="00ED17E7"/>
    <w:rsid w:val="00ED1865"/>
    <w:rsid w:val="00ED1880"/>
    <w:rsid w:val="00ED2772"/>
    <w:rsid w:val="00ED2792"/>
    <w:rsid w:val="00ED2DEE"/>
    <w:rsid w:val="00ED30CE"/>
    <w:rsid w:val="00ED36B4"/>
    <w:rsid w:val="00ED36EF"/>
    <w:rsid w:val="00ED4058"/>
    <w:rsid w:val="00ED61B4"/>
    <w:rsid w:val="00ED61DA"/>
    <w:rsid w:val="00ED759D"/>
    <w:rsid w:val="00EE0EBC"/>
    <w:rsid w:val="00EE0F09"/>
    <w:rsid w:val="00EE1782"/>
    <w:rsid w:val="00EE1F9B"/>
    <w:rsid w:val="00EE2415"/>
    <w:rsid w:val="00EE24BA"/>
    <w:rsid w:val="00EE296A"/>
    <w:rsid w:val="00EE2CA8"/>
    <w:rsid w:val="00EE3022"/>
    <w:rsid w:val="00EE30C6"/>
    <w:rsid w:val="00EE3AD2"/>
    <w:rsid w:val="00EE3D9E"/>
    <w:rsid w:val="00EE4A62"/>
    <w:rsid w:val="00EE5124"/>
    <w:rsid w:val="00EE5872"/>
    <w:rsid w:val="00EE690F"/>
    <w:rsid w:val="00EE6BCA"/>
    <w:rsid w:val="00EE6C5F"/>
    <w:rsid w:val="00EE6DD1"/>
    <w:rsid w:val="00EE7825"/>
    <w:rsid w:val="00EE786A"/>
    <w:rsid w:val="00EE7E9E"/>
    <w:rsid w:val="00EF0009"/>
    <w:rsid w:val="00EF1B88"/>
    <w:rsid w:val="00EF1C11"/>
    <w:rsid w:val="00EF3E25"/>
    <w:rsid w:val="00EF481C"/>
    <w:rsid w:val="00EF4984"/>
    <w:rsid w:val="00EF4C18"/>
    <w:rsid w:val="00EF55F3"/>
    <w:rsid w:val="00EF5F1F"/>
    <w:rsid w:val="00EF61DA"/>
    <w:rsid w:val="00EF694E"/>
    <w:rsid w:val="00EF7429"/>
    <w:rsid w:val="00F006B8"/>
    <w:rsid w:val="00F006FD"/>
    <w:rsid w:val="00F00E98"/>
    <w:rsid w:val="00F02548"/>
    <w:rsid w:val="00F03933"/>
    <w:rsid w:val="00F040F7"/>
    <w:rsid w:val="00F055B3"/>
    <w:rsid w:val="00F057A7"/>
    <w:rsid w:val="00F068D8"/>
    <w:rsid w:val="00F06DEC"/>
    <w:rsid w:val="00F10076"/>
    <w:rsid w:val="00F10379"/>
    <w:rsid w:val="00F1038D"/>
    <w:rsid w:val="00F10C6E"/>
    <w:rsid w:val="00F10E4C"/>
    <w:rsid w:val="00F11E07"/>
    <w:rsid w:val="00F12D8E"/>
    <w:rsid w:val="00F15B38"/>
    <w:rsid w:val="00F15BA7"/>
    <w:rsid w:val="00F15E19"/>
    <w:rsid w:val="00F16529"/>
    <w:rsid w:val="00F16BAD"/>
    <w:rsid w:val="00F176E0"/>
    <w:rsid w:val="00F20204"/>
    <w:rsid w:val="00F21615"/>
    <w:rsid w:val="00F2174C"/>
    <w:rsid w:val="00F228FD"/>
    <w:rsid w:val="00F2336F"/>
    <w:rsid w:val="00F236A2"/>
    <w:rsid w:val="00F23BDD"/>
    <w:rsid w:val="00F23ECC"/>
    <w:rsid w:val="00F24564"/>
    <w:rsid w:val="00F24664"/>
    <w:rsid w:val="00F26B3C"/>
    <w:rsid w:val="00F27648"/>
    <w:rsid w:val="00F27AEF"/>
    <w:rsid w:val="00F30F55"/>
    <w:rsid w:val="00F31886"/>
    <w:rsid w:val="00F322CB"/>
    <w:rsid w:val="00F3266F"/>
    <w:rsid w:val="00F328BF"/>
    <w:rsid w:val="00F329B6"/>
    <w:rsid w:val="00F32A00"/>
    <w:rsid w:val="00F33054"/>
    <w:rsid w:val="00F337F8"/>
    <w:rsid w:val="00F3428C"/>
    <w:rsid w:val="00F34365"/>
    <w:rsid w:val="00F34A1C"/>
    <w:rsid w:val="00F34A21"/>
    <w:rsid w:val="00F34F46"/>
    <w:rsid w:val="00F34FD4"/>
    <w:rsid w:val="00F3524A"/>
    <w:rsid w:val="00F35995"/>
    <w:rsid w:val="00F36452"/>
    <w:rsid w:val="00F37AE0"/>
    <w:rsid w:val="00F37DA4"/>
    <w:rsid w:val="00F411BF"/>
    <w:rsid w:val="00F4291D"/>
    <w:rsid w:val="00F43127"/>
    <w:rsid w:val="00F433E5"/>
    <w:rsid w:val="00F46039"/>
    <w:rsid w:val="00F47D4D"/>
    <w:rsid w:val="00F50389"/>
    <w:rsid w:val="00F509A5"/>
    <w:rsid w:val="00F509EB"/>
    <w:rsid w:val="00F51AA0"/>
    <w:rsid w:val="00F51C6F"/>
    <w:rsid w:val="00F520A3"/>
    <w:rsid w:val="00F52EA6"/>
    <w:rsid w:val="00F536E8"/>
    <w:rsid w:val="00F53EE7"/>
    <w:rsid w:val="00F5422E"/>
    <w:rsid w:val="00F54358"/>
    <w:rsid w:val="00F5585E"/>
    <w:rsid w:val="00F55CE8"/>
    <w:rsid w:val="00F56980"/>
    <w:rsid w:val="00F57033"/>
    <w:rsid w:val="00F572A4"/>
    <w:rsid w:val="00F5733A"/>
    <w:rsid w:val="00F57A96"/>
    <w:rsid w:val="00F606D9"/>
    <w:rsid w:val="00F607D3"/>
    <w:rsid w:val="00F6127C"/>
    <w:rsid w:val="00F61F84"/>
    <w:rsid w:val="00F62662"/>
    <w:rsid w:val="00F632EB"/>
    <w:rsid w:val="00F6374D"/>
    <w:rsid w:val="00F63EF6"/>
    <w:rsid w:val="00F641B8"/>
    <w:rsid w:val="00F64A1D"/>
    <w:rsid w:val="00F65E07"/>
    <w:rsid w:val="00F66FDF"/>
    <w:rsid w:val="00F67BC0"/>
    <w:rsid w:val="00F67C5A"/>
    <w:rsid w:val="00F70007"/>
    <w:rsid w:val="00F71F88"/>
    <w:rsid w:val="00F72ADE"/>
    <w:rsid w:val="00F73A5C"/>
    <w:rsid w:val="00F73DE3"/>
    <w:rsid w:val="00F74EB8"/>
    <w:rsid w:val="00F7516F"/>
    <w:rsid w:val="00F75D27"/>
    <w:rsid w:val="00F75F23"/>
    <w:rsid w:val="00F76EF8"/>
    <w:rsid w:val="00F77054"/>
    <w:rsid w:val="00F772DE"/>
    <w:rsid w:val="00F776A3"/>
    <w:rsid w:val="00F80AAE"/>
    <w:rsid w:val="00F80B78"/>
    <w:rsid w:val="00F80ECE"/>
    <w:rsid w:val="00F810A2"/>
    <w:rsid w:val="00F816B2"/>
    <w:rsid w:val="00F817DF"/>
    <w:rsid w:val="00F82349"/>
    <w:rsid w:val="00F82780"/>
    <w:rsid w:val="00F82F50"/>
    <w:rsid w:val="00F839F4"/>
    <w:rsid w:val="00F83BFA"/>
    <w:rsid w:val="00F83F40"/>
    <w:rsid w:val="00F83FFB"/>
    <w:rsid w:val="00F843FE"/>
    <w:rsid w:val="00F84EB8"/>
    <w:rsid w:val="00F85AD2"/>
    <w:rsid w:val="00F85BA2"/>
    <w:rsid w:val="00F85E95"/>
    <w:rsid w:val="00F8723B"/>
    <w:rsid w:val="00F876E6"/>
    <w:rsid w:val="00F87FEC"/>
    <w:rsid w:val="00F90502"/>
    <w:rsid w:val="00F90553"/>
    <w:rsid w:val="00F906A5"/>
    <w:rsid w:val="00F907E9"/>
    <w:rsid w:val="00F91895"/>
    <w:rsid w:val="00F91CC3"/>
    <w:rsid w:val="00F91E34"/>
    <w:rsid w:val="00F9216D"/>
    <w:rsid w:val="00F93324"/>
    <w:rsid w:val="00F94545"/>
    <w:rsid w:val="00F94F5D"/>
    <w:rsid w:val="00F95CBA"/>
    <w:rsid w:val="00F95F1C"/>
    <w:rsid w:val="00F9715B"/>
    <w:rsid w:val="00F9721C"/>
    <w:rsid w:val="00F974D2"/>
    <w:rsid w:val="00F97732"/>
    <w:rsid w:val="00FA07EE"/>
    <w:rsid w:val="00FA14FA"/>
    <w:rsid w:val="00FA1EA7"/>
    <w:rsid w:val="00FA2544"/>
    <w:rsid w:val="00FA3B67"/>
    <w:rsid w:val="00FA3E1C"/>
    <w:rsid w:val="00FA4153"/>
    <w:rsid w:val="00FA455B"/>
    <w:rsid w:val="00FA4D26"/>
    <w:rsid w:val="00FA4F69"/>
    <w:rsid w:val="00FA53AA"/>
    <w:rsid w:val="00FB022E"/>
    <w:rsid w:val="00FB0440"/>
    <w:rsid w:val="00FB09B0"/>
    <w:rsid w:val="00FB12E7"/>
    <w:rsid w:val="00FB167B"/>
    <w:rsid w:val="00FB1A8A"/>
    <w:rsid w:val="00FB1E0E"/>
    <w:rsid w:val="00FB237A"/>
    <w:rsid w:val="00FB262A"/>
    <w:rsid w:val="00FB283D"/>
    <w:rsid w:val="00FB39CE"/>
    <w:rsid w:val="00FB3B05"/>
    <w:rsid w:val="00FB428A"/>
    <w:rsid w:val="00FB43DB"/>
    <w:rsid w:val="00FB53AC"/>
    <w:rsid w:val="00FB5638"/>
    <w:rsid w:val="00FB6580"/>
    <w:rsid w:val="00FB658F"/>
    <w:rsid w:val="00FB7109"/>
    <w:rsid w:val="00FC0444"/>
    <w:rsid w:val="00FC28CF"/>
    <w:rsid w:val="00FC3524"/>
    <w:rsid w:val="00FC36F4"/>
    <w:rsid w:val="00FC3716"/>
    <w:rsid w:val="00FC3843"/>
    <w:rsid w:val="00FC4132"/>
    <w:rsid w:val="00FC4233"/>
    <w:rsid w:val="00FC4DD3"/>
    <w:rsid w:val="00FC504B"/>
    <w:rsid w:val="00FC5300"/>
    <w:rsid w:val="00FC586D"/>
    <w:rsid w:val="00FC594E"/>
    <w:rsid w:val="00FC63D6"/>
    <w:rsid w:val="00FC6A9D"/>
    <w:rsid w:val="00FC6B4A"/>
    <w:rsid w:val="00FC76E2"/>
    <w:rsid w:val="00FD0E5B"/>
    <w:rsid w:val="00FD1678"/>
    <w:rsid w:val="00FD1717"/>
    <w:rsid w:val="00FD1BC5"/>
    <w:rsid w:val="00FD23E9"/>
    <w:rsid w:val="00FD2B79"/>
    <w:rsid w:val="00FD349F"/>
    <w:rsid w:val="00FD34B4"/>
    <w:rsid w:val="00FD365F"/>
    <w:rsid w:val="00FD40EA"/>
    <w:rsid w:val="00FD431B"/>
    <w:rsid w:val="00FD440C"/>
    <w:rsid w:val="00FD6950"/>
    <w:rsid w:val="00FD78D6"/>
    <w:rsid w:val="00FE13C7"/>
    <w:rsid w:val="00FE2218"/>
    <w:rsid w:val="00FE3F6D"/>
    <w:rsid w:val="00FE47A5"/>
    <w:rsid w:val="00FE4D99"/>
    <w:rsid w:val="00FE51CA"/>
    <w:rsid w:val="00FE5E51"/>
    <w:rsid w:val="00FE6739"/>
    <w:rsid w:val="00FE6782"/>
    <w:rsid w:val="00FE7107"/>
    <w:rsid w:val="00FE7A09"/>
    <w:rsid w:val="00FE7CDF"/>
    <w:rsid w:val="00FF16BE"/>
    <w:rsid w:val="00FF1B5E"/>
    <w:rsid w:val="00FF1EDD"/>
    <w:rsid w:val="00FF3334"/>
    <w:rsid w:val="00FF45E4"/>
    <w:rsid w:val="00FF5ACF"/>
    <w:rsid w:val="00FF5B31"/>
    <w:rsid w:val="00FF6515"/>
    <w:rsid w:val="00FF676C"/>
    <w:rsid w:val="00FF6845"/>
    <w:rsid w:val="00FF6874"/>
    <w:rsid w:val="00FF6BC1"/>
    <w:rsid w:val="00FF7113"/>
    <w:rsid w:val="00FF7572"/>
    <w:rsid w:val="00FF7B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7112"/>
  <w15:chartTrackingRefBased/>
  <w15:docId w15:val="{0471B282-7066-4492-918B-D1648B21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Bidi" w:eastAsiaTheme="minorHAnsi" w:hAnsiTheme="majorBidi" w:cstheme="maj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454"/>
    <w:pPr>
      <w:ind w:left="720"/>
      <w:contextualSpacing/>
    </w:pPr>
  </w:style>
  <w:style w:type="paragraph" w:styleId="Header">
    <w:name w:val="header"/>
    <w:basedOn w:val="Normal"/>
    <w:link w:val="HeaderChar"/>
    <w:uiPriority w:val="99"/>
    <w:unhideWhenUsed/>
    <w:rsid w:val="00981454"/>
    <w:pPr>
      <w:tabs>
        <w:tab w:val="center" w:pos="4680"/>
        <w:tab w:val="right" w:pos="9360"/>
      </w:tabs>
      <w:spacing w:line="240" w:lineRule="auto"/>
    </w:pPr>
  </w:style>
  <w:style w:type="character" w:customStyle="1" w:styleId="HeaderChar">
    <w:name w:val="Header Char"/>
    <w:basedOn w:val="DefaultParagraphFont"/>
    <w:link w:val="Header"/>
    <w:uiPriority w:val="99"/>
    <w:rsid w:val="00981454"/>
  </w:style>
  <w:style w:type="paragraph" w:styleId="Footer">
    <w:name w:val="footer"/>
    <w:basedOn w:val="Normal"/>
    <w:link w:val="FooterChar"/>
    <w:uiPriority w:val="99"/>
    <w:unhideWhenUsed/>
    <w:rsid w:val="00981454"/>
    <w:pPr>
      <w:tabs>
        <w:tab w:val="center" w:pos="4680"/>
        <w:tab w:val="right" w:pos="9360"/>
      </w:tabs>
      <w:spacing w:line="240" w:lineRule="auto"/>
    </w:pPr>
  </w:style>
  <w:style w:type="character" w:customStyle="1" w:styleId="FooterChar">
    <w:name w:val="Footer Char"/>
    <w:basedOn w:val="DefaultParagraphFont"/>
    <w:link w:val="Footer"/>
    <w:uiPriority w:val="99"/>
    <w:rsid w:val="00981454"/>
  </w:style>
  <w:style w:type="paragraph" w:styleId="FootnoteText">
    <w:name w:val="footnote text"/>
    <w:basedOn w:val="Normal"/>
    <w:link w:val="FootnoteTextChar"/>
    <w:uiPriority w:val="99"/>
    <w:semiHidden/>
    <w:unhideWhenUsed/>
    <w:rsid w:val="00CD2A70"/>
    <w:pPr>
      <w:spacing w:line="240" w:lineRule="auto"/>
    </w:pPr>
    <w:rPr>
      <w:sz w:val="20"/>
      <w:szCs w:val="20"/>
    </w:rPr>
  </w:style>
  <w:style w:type="character" w:customStyle="1" w:styleId="FootnoteTextChar">
    <w:name w:val="Footnote Text Char"/>
    <w:basedOn w:val="DefaultParagraphFont"/>
    <w:link w:val="FootnoteText"/>
    <w:uiPriority w:val="99"/>
    <w:semiHidden/>
    <w:rsid w:val="00CD2A70"/>
    <w:rPr>
      <w:sz w:val="20"/>
      <w:szCs w:val="20"/>
    </w:rPr>
  </w:style>
  <w:style w:type="character" w:styleId="FootnoteReference">
    <w:name w:val="footnote reference"/>
    <w:basedOn w:val="DefaultParagraphFont"/>
    <w:uiPriority w:val="99"/>
    <w:semiHidden/>
    <w:unhideWhenUsed/>
    <w:rsid w:val="00CD2A70"/>
    <w:rPr>
      <w:vertAlign w:val="superscript"/>
    </w:rPr>
  </w:style>
  <w:style w:type="paragraph" w:styleId="NormalWeb">
    <w:name w:val="Normal (Web)"/>
    <w:basedOn w:val="Normal"/>
    <w:uiPriority w:val="99"/>
    <w:semiHidden/>
    <w:unhideWhenUsed/>
    <w:rsid w:val="008377B7"/>
    <w:rPr>
      <w:rFonts w:ascii="Times New Roman" w:hAnsi="Times New Roman" w:cs="Times New Roman"/>
    </w:rPr>
  </w:style>
  <w:style w:type="character" w:styleId="Hyperlink">
    <w:name w:val="Hyperlink"/>
    <w:basedOn w:val="DefaultParagraphFont"/>
    <w:uiPriority w:val="99"/>
    <w:unhideWhenUsed/>
    <w:rsid w:val="0043282C"/>
    <w:rPr>
      <w:color w:val="0563C1" w:themeColor="hyperlink"/>
      <w:u w:val="single"/>
    </w:rPr>
  </w:style>
  <w:style w:type="character" w:styleId="UnresolvedMention">
    <w:name w:val="Unresolved Mention"/>
    <w:basedOn w:val="DefaultParagraphFont"/>
    <w:uiPriority w:val="99"/>
    <w:semiHidden/>
    <w:unhideWhenUsed/>
    <w:rsid w:val="0043282C"/>
    <w:rPr>
      <w:color w:val="605E5C"/>
      <w:shd w:val="clear" w:color="auto" w:fill="E1DFDD"/>
    </w:rPr>
  </w:style>
  <w:style w:type="character" w:styleId="FollowedHyperlink">
    <w:name w:val="FollowedHyperlink"/>
    <w:basedOn w:val="DefaultParagraphFont"/>
    <w:uiPriority w:val="99"/>
    <w:semiHidden/>
    <w:unhideWhenUsed/>
    <w:rsid w:val="00D42D97"/>
    <w:rPr>
      <w:color w:val="954F72" w:themeColor="followedHyperlink"/>
      <w:u w:val="single"/>
    </w:rPr>
  </w:style>
  <w:style w:type="table" w:styleId="TableGrid">
    <w:name w:val="Table Grid"/>
    <w:basedOn w:val="TableNormal"/>
    <w:uiPriority w:val="39"/>
    <w:rsid w:val="007F06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06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7936">
      <w:bodyDiv w:val="1"/>
      <w:marLeft w:val="0"/>
      <w:marRight w:val="0"/>
      <w:marTop w:val="0"/>
      <w:marBottom w:val="0"/>
      <w:divBdr>
        <w:top w:val="none" w:sz="0" w:space="0" w:color="auto"/>
        <w:left w:val="none" w:sz="0" w:space="0" w:color="auto"/>
        <w:bottom w:val="none" w:sz="0" w:space="0" w:color="auto"/>
        <w:right w:val="none" w:sz="0" w:space="0" w:color="auto"/>
      </w:divBdr>
    </w:div>
    <w:div w:id="42752264">
      <w:bodyDiv w:val="1"/>
      <w:marLeft w:val="0"/>
      <w:marRight w:val="0"/>
      <w:marTop w:val="0"/>
      <w:marBottom w:val="0"/>
      <w:divBdr>
        <w:top w:val="none" w:sz="0" w:space="0" w:color="auto"/>
        <w:left w:val="none" w:sz="0" w:space="0" w:color="auto"/>
        <w:bottom w:val="none" w:sz="0" w:space="0" w:color="auto"/>
        <w:right w:val="none" w:sz="0" w:space="0" w:color="auto"/>
      </w:divBdr>
    </w:div>
    <w:div w:id="183056180">
      <w:bodyDiv w:val="1"/>
      <w:marLeft w:val="0"/>
      <w:marRight w:val="0"/>
      <w:marTop w:val="0"/>
      <w:marBottom w:val="0"/>
      <w:divBdr>
        <w:top w:val="none" w:sz="0" w:space="0" w:color="auto"/>
        <w:left w:val="none" w:sz="0" w:space="0" w:color="auto"/>
        <w:bottom w:val="none" w:sz="0" w:space="0" w:color="auto"/>
        <w:right w:val="none" w:sz="0" w:space="0" w:color="auto"/>
      </w:divBdr>
    </w:div>
    <w:div w:id="278996823">
      <w:bodyDiv w:val="1"/>
      <w:marLeft w:val="0"/>
      <w:marRight w:val="0"/>
      <w:marTop w:val="0"/>
      <w:marBottom w:val="0"/>
      <w:divBdr>
        <w:top w:val="none" w:sz="0" w:space="0" w:color="auto"/>
        <w:left w:val="none" w:sz="0" w:space="0" w:color="auto"/>
        <w:bottom w:val="none" w:sz="0" w:space="0" w:color="auto"/>
        <w:right w:val="none" w:sz="0" w:space="0" w:color="auto"/>
      </w:divBdr>
    </w:div>
    <w:div w:id="360252047">
      <w:bodyDiv w:val="1"/>
      <w:marLeft w:val="0"/>
      <w:marRight w:val="0"/>
      <w:marTop w:val="0"/>
      <w:marBottom w:val="0"/>
      <w:divBdr>
        <w:top w:val="none" w:sz="0" w:space="0" w:color="auto"/>
        <w:left w:val="none" w:sz="0" w:space="0" w:color="auto"/>
        <w:bottom w:val="none" w:sz="0" w:space="0" w:color="auto"/>
        <w:right w:val="none" w:sz="0" w:space="0" w:color="auto"/>
      </w:divBdr>
    </w:div>
    <w:div w:id="400757122">
      <w:bodyDiv w:val="1"/>
      <w:marLeft w:val="0"/>
      <w:marRight w:val="0"/>
      <w:marTop w:val="0"/>
      <w:marBottom w:val="0"/>
      <w:divBdr>
        <w:top w:val="none" w:sz="0" w:space="0" w:color="auto"/>
        <w:left w:val="none" w:sz="0" w:space="0" w:color="auto"/>
        <w:bottom w:val="none" w:sz="0" w:space="0" w:color="auto"/>
        <w:right w:val="none" w:sz="0" w:space="0" w:color="auto"/>
      </w:divBdr>
    </w:div>
    <w:div w:id="449708643">
      <w:bodyDiv w:val="1"/>
      <w:marLeft w:val="0"/>
      <w:marRight w:val="0"/>
      <w:marTop w:val="0"/>
      <w:marBottom w:val="0"/>
      <w:divBdr>
        <w:top w:val="none" w:sz="0" w:space="0" w:color="auto"/>
        <w:left w:val="none" w:sz="0" w:space="0" w:color="auto"/>
        <w:bottom w:val="none" w:sz="0" w:space="0" w:color="auto"/>
        <w:right w:val="none" w:sz="0" w:space="0" w:color="auto"/>
      </w:divBdr>
    </w:div>
    <w:div w:id="483425199">
      <w:bodyDiv w:val="1"/>
      <w:marLeft w:val="0"/>
      <w:marRight w:val="0"/>
      <w:marTop w:val="0"/>
      <w:marBottom w:val="0"/>
      <w:divBdr>
        <w:top w:val="none" w:sz="0" w:space="0" w:color="auto"/>
        <w:left w:val="none" w:sz="0" w:space="0" w:color="auto"/>
        <w:bottom w:val="none" w:sz="0" w:space="0" w:color="auto"/>
        <w:right w:val="none" w:sz="0" w:space="0" w:color="auto"/>
      </w:divBdr>
    </w:div>
    <w:div w:id="519053758">
      <w:bodyDiv w:val="1"/>
      <w:marLeft w:val="0"/>
      <w:marRight w:val="0"/>
      <w:marTop w:val="0"/>
      <w:marBottom w:val="0"/>
      <w:divBdr>
        <w:top w:val="none" w:sz="0" w:space="0" w:color="auto"/>
        <w:left w:val="none" w:sz="0" w:space="0" w:color="auto"/>
        <w:bottom w:val="none" w:sz="0" w:space="0" w:color="auto"/>
        <w:right w:val="none" w:sz="0" w:space="0" w:color="auto"/>
      </w:divBdr>
    </w:div>
    <w:div w:id="670646669">
      <w:bodyDiv w:val="1"/>
      <w:marLeft w:val="0"/>
      <w:marRight w:val="0"/>
      <w:marTop w:val="0"/>
      <w:marBottom w:val="0"/>
      <w:divBdr>
        <w:top w:val="none" w:sz="0" w:space="0" w:color="auto"/>
        <w:left w:val="none" w:sz="0" w:space="0" w:color="auto"/>
        <w:bottom w:val="none" w:sz="0" w:space="0" w:color="auto"/>
        <w:right w:val="none" w:sz="0" w:space="0" w:color="auto"/>
      </w:divBdr>
    </w:div>
    <w:div w:id="746461172">
      <w:bodyDiv w:val="1"/>
      <w:marLeft w:val="0"/>
      <w:marRight w:val="0"/>
      <w:marTop w:val="0"/>
      <w:marBottom w:val="0"/>
      <w:divBdr>
        <w:top w:val="none" w:sz="0" w:space="0" w:color="auto"/>
        <w:left w:val="none" w:sz="0" w:space="0" w:color="auto"/>
        <w:bottom w:val="none" w:sz="0" w:space="0" w:color="auto"/>
        <w:right w:val="none" w:sz="0" w:space="0" w:color="auto"/>
      </w:divBdr>
    </w:div>
    <w:div w:id="759175818">
      <w:bodyDiv w:val="1"/>
      <w:marLeft w:val="0"/>
      <w:marRight w:val="0"/>
      <w:marTop w:val="0"/>
      <w:marBottom w:val="0"/>
      <w:divBdr>
        <w:top w:val="none" w:sz="0" w:space="0" w:color="auto"/>
        <w:left w:val="none" w:sz="0" w:space="0" w:color="auto"/>
        <w:bottom w:val="none" w:sz="0" w:space="0" w:color="auto"/>
        <w:right w:val="none" w:sz="0" w:space="0" w:color="auto"/>
      </w:divBdr>
    </w:div>
    <w:div w:id="804852047">
      <w:bodyDiv w:val="1"/>
      <w:marLeft w:val="0"/>
      <w:marRight w:val="0"/>
      <w:marTop w:val="0"/>
      <w:marBottom w:val="0"/>
      <w:divBdr>
        <w:top w:val="none" w:sz="0" w:space="0" w:color="auto"/>
        <w:left w:val="none" w:sz="0" w:space="0" w:color="auto"/>
        <w:bottom w:val="none" w:sz="0" w:space="0" w:color="auto"/>
        <w:right w:val="none" w:sz="0" w:space="0" w:color="auto"/>
      </w:divBdr>
    </w:div>
    <w:div w:id="866452007">
      <w:bodyDiv w:val="1"/>
      <w:marLeft w:val="0"/>
      <w:marRight w:val="0"/>
      <w:marTop w:val="0"/>
      <w:marBottom w:val="0"/>
      <w:divBdr>
        <w:top w:val="none" w:sz="0" w:space="0" w:color="auto"/>
        <w:left w:val="none" w:sz="0" w:space="0" w:color="auto"/>
        <w:bottom w:val="none" w:sz="0" w:space="0" w:color="auto"/>
        <w:right w:val="none" w:sz="0" w:space="0" w:color="auto"/>
      </w:divBdr>
    </w:div>
    <w:div w:id="1081409741">
      <w:bodyDiv w:val="1"/>
      <w:marLeft w:val="0"/>
      <w:marRight w:val="0"/>
      <w:marTop w:val="0"/>
      <w:marBottom w:val="0"/>
      <w:divBdr>
        <w:top w:val="none" w:sz="0" w:space="0" w:color="auto"/>
        <w:left w:val="none" w:sz="0" w:space="0" w:color="auto"/>
        <w:bottom w:val="none" w:sz="0" w:space="0" w:color="auto"/>
        <w:right w:val="none" w:sz="0" w:space="0" w:color="auto"/>
      </w:divBdr>
    </w:div>
    <w:div w:id="1085686417">
      <w:bodyDiv w:val="1"/>
      <w:marLeft w:val="0"/>
      <w:marRight w:val="0"/>
      <w:marTop w:val="0"/>
      <w:marBottom w:val="0"/>
      <w:divBdr>
        <w:top w:val="none" w:sz="0" w:space="0" w:color="auto"/>
        <w:left w:val="none" w:sz="0" w:space="0" w:color="auto"/>
        <w:bottom w:val="none" w:sz="0" w:space="0" w:color="auto"/>
        <w:right w:val="none" w:sz="0" w:space="0" w:color="auto"/>
      </w:divBdr>
    </w:div>
    <w:div w:id="1163593116">
      <w:bodyDiv w:val="1"/>
      <w:marLeft w:val="0"/>
      <w:marRight w:val="0"/>
      <w:marTop w:val="0"/>
      <w:marBottom w:val="0"/>
      <w:divBdr>
        <w:top w:val="none" w:sz="0" w:space="0" w:color="auto"/>
        <w:left w:val="none" w:sz="0" w:space="0" w:color="auto"/>
        <w:bottom w:val="none" w:sz="0" w:space="0" w:color="auto"/>
        <w:right w:val="none" w:sz="0" w:space="0" w:color="auto"/>
      </w:divBdr>
    </w:div>
    <w:div w:id="1504396466">
      <w:bodyDiv w:val="1"/>
      <w:marLeft w:val="0"/>
      <w:marRight w:val="0"/>
      <w:marTop w:val="0"/>
      <w:marBottom w:val="0"/>
      <w:divBdr>
        <w:top w:val="none" w:sz="0" w:space="0" w:color="auto"/>
        <w:left w:val="none" w:sz="0" w:space="0" w:color="auto"/>
        <w:bottom w:val="none" w:sz="0" w:space="0" w:color="auto"/>
        <w:right w:val="none" w:sz="0" w:space="0" w:color="auto"/>
      </w:divBdr>
    </w:div>
    <w:div w:id="1725372408">
      <w:bodyDiv w:val="1"/>
      <w:marLeft w:val="0"/>
      <w:marRight w:val="0"/>
      <w:marTop w:val="0"/>
      <w:marBottom w:val="0"/>
      <w:divBdr>
        <w:top w:val="none" w:sz="0" w:space="0" w:color="auto"/>
        <w:left w:val="none" w:sz="0" w:space="0" w:color="auto"/>
        <w:bottom w:val="none" w:sz="0" w:space="0" w:color="auto"/>
        <w:right w:val="none" w:sz="0" w:space="0" w:color="auto"/>
      </w:divBdr>
    </w:div>
    <w:div w:id="1991131244">
      <w:bodyDiv w:val="1"/>
      <w:marLeft w:val="0"/>
      <w:marRight w:val="0"/>
      <w:marTop w:val="0"/>
      <w:marBottom w:val="0"/>
      <w:divBdr>
        <w:top w:val="none" w:sz="0" w:space="0" w:color="auto"/>
        <w:left w:val="none" w:sz="0" w:space="0" w:color="auto"/>
        <w:bottom w:val="none" w:sz="0" w:space="0" w:color="auto"/>
        <w:right w:val="none" w:sz="0" w:space="0" w:color="auto"/>
      </w:divBdr>
    </w:div>
    <w:div w:id="1994482762">
      <w:bodyDiv w:val="1"/>
      <w:marLeft w:val="0"/>
      <w:marRight w:val="0"/>
      <w:marTop w:val="0"/>
      <w:marBottom w:val="0"/>
      <w:divBdr>
        <w:top w:val="none" w:sz="0" w:space="0" w:color="auto"/>
        <w:left w:val="none" w:sz="0" w:space="0" w:color="auto"/>
        <w:bottom w:val="none" w:sz="0" w:space="0" w:color="auto"/>
        <w:right w:val="none" w:sz="0" w:space="0" w:color="auto"/>
      </w:divBdr>
    </w:div>
    <w:div w:id="2062170371">
      <w:bodyDiv w:val="1"/>
      <w:marLeft w:val="0"/>
      <w:marRight w:val="0"/>
      <w:marTop w:val="0"/>
      <w:marBottom w:val="0"/>
      <w:divBdr>
        <w:top w:val="none" w:sz="0" w:space="0" w:color="auto"/>
        <w:left w:val="none" w:sz="0" w:space="0" w:color="auto"/>
        <w:bottom w:val="none" w:sz="0" w:space="0" w:color="auto"/>
        <w:right w:val="none" w:sz="0" w:space="0" w:color="auto"/>
      </w:divBdr>
    </w:div>
    <w:div w:id="2112700004">
      <w:bodyDiv w:val="1"/>
      <w:marLeft w:val="0"/>
      <w:marRight w:val="0"/>
      <w:marTop w:val="0"/>
      <w:marBottom w:val="0"/>
      <w:divBdr>
        <w:top w:val="none" w:sz="0" w:space="0" w:color="auto"/>
        <w:left w:val="none" w:sz="0" w:space="0" w:color="auto"/>
        <w:bottom w:val="none" w:sz="0" w:space="0" w:color="auto"/>
        <w:right w:val="none" w:sz="0" w:space="0" w:color="auto"/>
      </w:divBdr>
    </w:div>
    <w:div w:id="211505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dchristensen7452.github.io/GospelData/synopses/43Paralytic.html" TargetMode="External"/><Relationship Id="rId3" Type="http://schemas.openxmlformats.org/officeDocument/2006/relationships/hyperlink" Target="https://dchristensen7452.github.io/GospelData/synopses/188Beelzebub.html" TargetMode="External"/><Relationship Id="rId7" Type="http://schemas.openxmlformats.org/officeDocument/2006/relationships/hyperlink" Target="https://dchristensen7452.github.io/GospelData/synopses/43Paralytic.html" TargetMode="External"/><Relationship Id="rId2" Type="http://schemas.openxmlformats.org/officeDocument/2006/relationships/hyperlink" Target="https://www.bibleworks.com/" TargetMode="External"/><Relationship Id="rId1" Type="http://schemas.openxmlformats.org/officeDocument/2006/relationships/hyperlink" Target="https://dchristensen7452.github.io/GospelData/" TargetMode="External"/><Relationship Id="rId6" Type="http://schemas.openxmlformats.org/officeDocument/2006/relationships/hyperlink" Target="https://dchristensen7452.github.io/GospelData/synopses/38.html" TargetMode="External"/><Relationship Id="rId11" Type="http://schemas.openxmlformats.org/officeDocument/2006/relationships/hyperlink" Target="https://dchristensen7452.github.io/GospelData/" TargetMode="External"/><Relationship Id="rId5" Type="http://schemas.openxmlformats.org/officeDocument/2006/relationships/hyperlink" Target="https://dchristensen7452.github.io/GospelData/synopses/255.html" TargetMode="External"/><Relationship Id="rId10" Type="http://schemas.openxmlformats.org/officeDocument/2006/relationships/hyperlink" Target="https://dchristensen7452.github.io/GospelData/" TargetMode="External"/><Relationship Id="rId4" Type="http://schemas.openxmlformats.org/officeDocument/2006/relationships/hyperlink" Target="https://dchristensen7452.github.io/GospelData/synopses/254.html" TargetMode="External"/><Relationship Id="rId9" Type="http://schemas.openxmlformats.org/officeDocument/2006/relationships/hyperlink" Target="https://dchristensen7452.github.io/GospelData/synopses/43Paralyt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9A092A20-B3AB-417C-A3DE-A62D64E4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51</Pages>
  <Words>13397</Words>
  <Characters>76364</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Christensen</dc:creator>
  <cp:keywords/>
  <dc:description/>
  <cp:lastModifiedBy>Daniel Christensen</cp:lastModifiedBy>
  <cp:revision>688</cp:revision>
  <cp:lastPrinted>2019-08-27T23:42:00Z</cp:lastPrinted>
  <dcterms:created xsi:type="dcterms:W3CDTF">2019-05-18T15:18:00Z</dcterms:created>
  <dcterms:modified xsi:type="dcterms:W3CDTF">2019-08-27T23:43:00Z</dcterms:modified>
</cp:coreProperties>
</file>