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tksy4ifj159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Plan de Projet HDDL : ViT vs CNN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i w:val="1"/>
          <w:iCs w:val="1"/>
          <w:color w:val="980000"/>
        </w:rPr>
      </w:pPr>
      <w:bookmarkStart w:colFirst="0" w:colLast="0" w:name="_nk8gcfhya1oq" w:id="1"/>
      <w:bookmarkEnd w:id="1"/>
      <w:r w:rsidDel="00000000" w:rsidR="00000000" w:rsidRPr="00000000">
        <w:rPr>
          <w:b w:val="1"/>
          <w:bCs w:val="1"/>
          <w:color w:val="980000"/>
          <w:sz w:val="26"/>
          <w:szCs w:val="26"/>
          <w:rtl w:val="0"/>
        </w:rPr>
        <w:t xml:space="preserve">Partie 1 : Implémentation "From Scratch"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  <w:u w:val="single"/>
        </w:rPr>
      </w:pPr>
      <w:bookmarkStart w:colFirst="0" w:colLast="0" w:name="_p9bid3mtlgkm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u w:val="single"/>
          <w:rtl w:val="0"/>
        </w:rPr>
        <w:t xml:space="preserve">1.1 Choix des Datasets &amp; Contraintes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Datasets 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CIFAR-10 :</w:t>
      </w:r>
      <w:r w:rsidDel="00000000" w:rsidR="00000000" w:rsidRPr="00000000">
        <w:rPr>
          <w:rtl w:val="0"/>
        </w:rPr>
        <w:t xml:space="preserve"> Dataset de référence pour valider nos implémentations.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TinyImageNet (ou CIFAR-100) :</w:t>
      </w:r>
      <w:r w:rsidDel="00000000" w:rsidR="00000000" w:rsidRPr="00000000">
        <w:rPr>
          <w:rtl w:val="0"/>
        </w:rPr>
        <w:t xml:space="preserve"> Pour observer le comportement des modèles sur une tâche plus complexe avec plus de classes.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ij44lvpwya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u w:val="single"/>
          <w:rtl w:val="0"/>
        </w:rPr>
        <w:t xml:space="preserve">1.2 Architectures (Implémentation PyTorch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 CNN (Baseline) :</w:t>
      </w:r>
      <w:r w:rsidDel="00000000" w:rsidR="00000000" w:rsidRPr="00000000">
        <w:rPr>
          <w:rtl w:val="0"/>
        </w:rPr>
        <w:t xml:space="preserve"> * Implémentation d'un </w:t>
      </w:r>
      <w:r w:rsidDel="00000000" w:rsidR="00000000" w:rsidRPr="00000000">
        <w:rPr>
          <w:b w:val="1"/>
          <w:bCs w:val="1"/>
          <w:rtl w:val="0"/>
        </w:rPr>
        <w:t xml:space="preserve">ResNet-Like</w:t>
      </w:r>
      <w:r w:rsidDel="00000000" w:rsidR="00000000" w:rsidRPr="00000000">
        <w:rPr>
          <w:rtl w:val="0"/>
        </w:rPr>
        <w:t xml:space="preserve"> (ou VGG simplifié).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Focus : Utilisation de couches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Conv2d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BatchNorm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MaxPool</w:t>
      </w:r>
      <w:r w:rsidDel="00000000" w:rsidR="00000000" w:rsidRPr="00000000">
        <w:rPr>
          <w:rtl w:val="0"/>
        </w:rPr>
        <w:t xml:space="preserve"> pour extraire des features hiérarchiques.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(SAMBA)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source: </w:t>
      </w:r>
      <w:hyperlink r:id="rId6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https://medium.com/@peres/resnet-vs-vgg16-which-cnn-architecture-performs-better-on-cifar-10-b6d6bb6e43c4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video youtube VGG: </w:t>
      </w:r>
      <w:hyperlink r:id="rId7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https://www.youtube.com/watch?v=EgzIZIQFJuM</w:t>
        </w:r>
      </w:hyperlink>
      <w:r w:rsidDel="00000000" w:rsidR="00000000" w:rsidRPr="00000000">
        <w:rPr>
          <w:sz w:val="18"/>
          <w:szCs w:val="18"/>
          <w:rtl w:val="0"/>
        </w:rPr>
        <w:t xml:space="preserve"> (+article : </w:t>
      </w:r>
      <w:hyperlink r:id="rId8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https://arxiv.org/pdf/1409.1556</w:t>
        </w:r>
      </w:hyperlink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 ViT (Challenger) :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Implémentation d'un </w:t>
      </w:r>
      <w:r w:rsidDel="00000000" w:rsidR="00000000" w:rsidRPr="00000000">
        <w:rPr>
          <w:b w:val="1"/>
          <w:bCs w:val="1"/>
          <w:rtl w:val="0"/>
        </w:rPr>
        <w:t xml:space="preserve">ViT simplifié</w:t>
      </w:r>
      <w:r w:rsidDel="00000000" w:rsidR="00000000" w:rsidRPr="00000000">
        <w:rPr>
          <w:rtl w:val="0"/>
        </w:rPr>
        <w:t xml:space="preserve"> (inspiré de </w:t>
      </w:r>
      <w:r w:rsidDel="00000000" w:rsidR="00000000" w:rsidRPr="00000000">
        <w:rPr>
          <w:i w:val="1"/>
          <w:iCs w:val="1"/>
          <w:rtl w:val="0"/>
        </w:rPr>
        <w:t xml:space="preserve">ViT-Lite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Focus : Implémentation du </w:t>
      </w:r>
      <w:r w:rsidDel="00000000" w:rsidR="00000000" w:rsidRPr="00000000">
        <w:rPr>
          <w:i w:val="1"/>
          <w:iCs w:val="1"/>
          <w:rtl w:val="0"/>
        </w:rPr>
        <w:t xml:space="preserve">Patch Embedding</w:t>
      </w:r>
      <w:r w:rsidDel="00000000" w:rsidR="00000000" w:rsidRPr="00000000">
        <w:rPr>
          <w:rtl w:val="0"/>
        </w:rPr>
        <w:t xml:space="preserve">, du </w:t>
      </w:r>
      <w:r w:rsidDel="00000000" w:rsidR="00000000" w:rsidRPr="00000000">
        <w:rPr>
          <w:i w:val="1"/>
          <w:iCs w:val="1"/>
          <w:rtl w:val="0"/>
        </w:rPr>
        <w:t xml:space="preserve">Positional Encoding</w:t>
      </w:r>
      <w:r w:rsidDel="00000000" w:rsidR="00000000" w:rsidRPr="00000000">
        <w:rPr>
          <w:rtl w:val="0"/>
        </w:rPr>
        <w:t xml:space="preserve"> et utilisation des blocs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MultiheadAttention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sz w:val="26"/>
          <w:szCs w:val="26"/>
          <w:highlight w:val="yellow"/>
          <w:rtl w:val="0"/>
        </w:rPr>
        <w:t xml:space="preserve">(Ezz)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  <w:u w:val="single"/>
        </w:rPr>
      </w:pPr>
      <w:bookmarkStart w:colFirst="0" w:colLast="0" w:name="_whe3onhxvb7m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u w:val="single"/>
          <w:rtl w:val="0"/>
        </w:rPr>
        <w:t xml:space="preserve">1.3 Métriques de Comparaison Classiques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Précision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Temps d'entraînement et d'inférence.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 de paramètres vs Performance.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i w:val="1"/>
          <w:iCs w:val="1"/>
        </w:rPr>
      </w:pPr>
      <w:bookmarkStart w:colFirst="0" w:colLast="0" w:name="_zihcu9vkqb43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color w:val="000000"/>
          <w:sz w:val="34"/>
          <w:szCs w:val="34"/>
          <w:highlight w:val="yellow"/>
          <w:u w:val="single"/>
        </w:rPr>
      </w:pPr>
      <w:bookmarkStart w:colFirst="0" w:colLast="0" w:name="_2pm380aspdxh" w:id="6"/>
      <w:bookmarkEnd w:id="6"/>
      <w:r w:rsidDel="00000000" w:rsidR="00000000" w:rsidRPr="00000000">
        <w:rPr>
          <w:b w:val="1"/>
          <w:bCs w:val="1"/>
          <w:color w:val="980000"/>
          <w:sz w:val="26"/>
          <w:szCs w:val="26"/>
          <w:rtl w:val="0"/>
        </w:rPr>
        <w:t xml:space="preserve">Partie 2 : Evaluation de la robustesse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0"/>
        </w:rPr>
        <w:t xml:space="preserve">(Driss)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Coder une classe pour bruiter le dataset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Evaluer la robustesse de deux modèles (pré-entraîné ou ceux de Ez/S) qui sont “comparables” / Entraîner sur un dataset similaire et suffisant pour les transformer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  <w:tab/>
        <w:tab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edium.com/@peres/resnet-vs-vgg16-which-cnn-architecture-performs-better-on-cifar-10-b6d6bb6e43c4" TargetMode="External"/><Relationship Id="rId7" Type="http://schemas.openxmlformats.org/officeDocument/2006/relationships/hyperlink" Target="https://www.youtube.com/watch?v=EgzIZIQFJuM" TargetMode="External"/><Relationship Id="rId8" Type="http://schemas.openxmlformats.org/officeDocument/2006/relationships/hyperlink" Target="https://arxiv.org/pdf/1409.1556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