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 – aufbauend auf einem SOL-Modell</w:t>
      </w:r>
    </w:p>
    <w:p>
      <w:pPr>
        <w:spacing w:after="600"/>
        <w:jc w:val="center"/>
      </w:pPr>
      <w:r>
        <w:rPr>
          <w:rFonts w:ascii="Arial" w:cs="Arial" w:eastAsia="Arial" w:hAnsi="Arial"/>
          <w:color w:val="566573"/>
          <w:sz w:val="22"/>
          <w:szCs w:val="22"/>
        </w:rPr>
        <w:t xml:space="preserve">Modellschule „Lernen mit digitalen Medien“ · Zukunftsschule · BNE-Schwerpunkt SDG 4</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pPr>
        <w:pStyle w:val="Heading2"/>
      </w:pPr>
      <w:r>
        <w:t xml:space="preserve">1.4 Interner Anknüpfungspunkt: SOL bei den Industriekaufleuten am BBZ RD-ECK</w:t>
      </w:r>
    </w:p>
    <w:p>
      <w:pPr>
        <w:spacing w:after="120"/>
      </w:pPr>
      <w:r>
        <w:rPr>
          <w:rFonts w:ascii="Arial" w:cs="Arial" w:eastAsia="Arial" w:hAnsi="Arial"/>
          <w:sz w:val="22"/>
          <w:szCs w:val="22"/>
        </w:rPr>
        <w:t xml:space="preserve">Ein entscheidender strategischer Vorteil für das BBZ RD-ECK: Die Prinzipien des selbstorganisierten Lernens sind am eigenen Haus bereits gelebte Praxis. Im Bildungsgang der Industriekaufleute (duale Ausbildung) wird bereits ein reines SOL-Modell umgesetzt. Damit verfügt das BBZ über interne Expertise, Erfahrungswerte und – je nach Evaluationslage – über einen handfesten Proof of Concept.</w:t>
      </w:r>
    </w:p>
    <w:p>
      <w:pPr>
        <w:spacing w:after="120"/>
      </w:pPr>
      <w:r>
        <w:rPr>
          <w:rFonts w:ascii="Arial" w:cs="Arial" w:eastAsia="Arial" w:hAnsi="Arial"/>
          <w:sz w:val="22"/>
          <w:szCs w:val="22"/>
        </w:rPr>
        <w:t xml:space="preserve">Die Bedeutung dieses internen Referenzpunkts kann kaum überschätzt werden:</w:t>
      </w:r>
    </w:p>
    <w:p>
      <w:pPr>
        <w:spacing w:after="120"/>
      </w:pPr>
      <w:r>
        <w:rPr>
          <w:rFonts w:ascii="Arial" w:cs="Arial" w:eastAsia="Arial" w:hAnsi="Arial"/>
          <w:b/>
          <w:bCs/>
          <w:sz w:val="22"/>
          <w:szCs w:val="22"/>
        </w:rPr>
        <w:t xml:space="preserve">Glaubwürdigkeit: </w:t>
      </w:r>
      <w:r>
        <w:rPr>
          <w:rFonts w:ascii="Arial" w:cs="Arial" w:eastAsia="Arial" w:hAnsi="Arial"/>
          <w:sz w:val="22"/>
          <w:szCs w:val="22"/>
        </w:rPr>
        <w:t xml:space="preserve">Es handelt sich nicht um eine theoretische Vision von außen, sondern um eine Praxis, die Kolleg:innen im selben Haus bereits erfolgreich umsetzen. Das ist für die Schulleitung und für skeptische Kolleg:innen das stärkste Argument.</w:t>
      </w:r>
    </w:p>
    <w:p>
      <w:pPr>
        <w:spacing w:after="120"/>
      </w:pPr>
      <w:r>
        <w:rPr>
          <w:rFonts w:ascii="Arial" w:cs="Arial" w:eastAsia="Arial" w:hAnsi="Arial"/>
          <w:b/>
          <w:bCs/>
          <w:sz w:val="22"/>
          <w:szCs w:val="22"/>
        </w:rPr>
        <w:t xml:space="preserve">Wissenstransfer: </w:t>
      </w:r>
      <w:r>
        <w:rPr>
          <w:rFonts w:ascii="Arial" w:cs="Arial" w:eastAsia="Arial" w:hAnsi="Arial"/>
          <w:sz w:val="22"/>
          <w:szCs w:val="22"/>
        </w:rPr>
        <w:t xml:space="preserve">Die Lehrkräfte der IN-Abteilung haben Erfahrungen gesammelt, die direkt übertragbar sind: Wie wurden Kompetenzraster entwickelt? Wie funktioniert die Lernbegleitung? Welche Hürden gab es? Was hat sich bewährt?</w:t>
      </w:r>
    </w:p>
    <w:p>
      <w:pPr>
        <w:spacing w:after="120"/>
      </w:pPr>
      <w:r>
        <w:rPr>
          <w:rFonts w:ascii="Arial" w:cs="Arial" w:eastAsia="Arial" w:hAnsi="Arial"/>
          <w:b/>
          <w:bCs/>
          <w:sz w:val="22"/>
          <w:szCs w:val="22"/>
        </w:rPr>
        <w:t xml:space="preserve">Realitätscheck: </w:t>
      </w:r>
      <w:r>
        <w:rPr>
          <w:rFonts w:ascii="Arial" w:cs="Arial" w:eastAsia="Arial" w:hAnsi="Arial"/>
          <w:sz w:val="22"/>
          <w:szCs w:val="22"/>
        </w:rPr>
        <w:t xml:space="preserve">Anders als die ASW in Wutöschingen operiert das IN-SOL-Modell unter den realen Bedingungen des BBZ: mit denselben Räumen, derselben Verwaltung, denselben Rahmenbedingungen. Was dort funktioniert, ist ein realistischer Maßstab für andere Bildungsgänge.</w:t>
      </w:r>
    </w:p>
    <w:p>
      <w:pPr>
        <w:spacing w:after="120"/>
      </w:pPr>
      <w:r>
        <w:rPr>
          <w:rFonts w:ascii="Arial" w:cs="Arial" w:eastAsia="Arial" w:hAnsi="Arial"/>
          <w:b/>
          <w:bCs/>
          <w:sz w:val="22"/>
          <w:szCs w:val="22"/>
        </w:rPr>
        <w:t xml:space="preserve">Hospitationsmöglichkeit: </w:t>
      </w:r>
      <w:r>
        <w:rPr>
          <w:rFonts w:ascii="Arial" w:cs="Arial" w:eastAsia="Arial" w:hAnsi="Arial"/>
          <w:sz w:val="22"/>
          <w:szCs w:val="22"/>
        </w:rPr>
        <w:t xml:space="preserve">Kolleg:innen können im eigenen Haus hospitieren – ohne Reisekosten und mit minimaler Hemmschwelle. Das ist Gold wert für die frühe Phase der Veränderung.</w:t>
      </w:r>
    </w:p>
    <w:p>
      <w:pPr>
        <w:spacing w:after="120"/>
      </w:pPr>
      <w:r>
        <w:rPr>
          <w:rFonts w:ascii="Arial" w:cs="Arial" w:eastAsia="Arial" w:hAnsi="Arial"/>
          <w:sz w:val="22"/>
          <w:szCs w:val="22"/>
        </w:rPr>
        <w:t xml:space="preserve">Wichtig: Die genauen Details des IN-SOL-Modells – Aufbau, Erfahrungen, Evaluationsergebnisse – müssen im Rahmen von Phase 0 systematisch erkundet werden (siehe Kapitel 5). Dieser Erkundungsprozess ist zugleich ein erster Schritt der abteilungsübergreifenden Zusammenarbeit, die für die Gesamttransformation entscheidend sein wird.</w:t>
      </w:r>
    </w:p>
    <w:p>
      <w:pPr>
        <w:pStyle w:val="Heading2"/>
      </w:pPr>
      <w:r>
        <w:t xml:space="preserve">1.5 Bestehende Profile: Digitalisierung, BNE und Zukunftsschule</w:t>
      </w:r>
    </w:p>
    <w:p>
      <w:pPr>
        <w:spacing w:after="120"/>
      </w:pPr>
      <w:r>
        <w:rPr>
          <w:rFonts w:ascii="Arial" w:cs="Arial" w:eastAsia="Arial" w:hAnsi="Arial"/>
          <w:sz w:val="22"/>
          <w:szCs w:val="22"/>
        </w:rPr>
        <w:t xml:space="preserve">Das BBZ RD-ECK verfügt neben dem IN-SOL-Modell über drei weitere strategische Anker, die das Transfervorhaben stützen und ihm zusätzliche Legitimation verleihen:</w:t>
      </w:r>
    </w:p>
    <w:p>
      <w:pPr>
        <w:spacing w:after="120"/>
      </w:pPr>
      <w:r>
        <w:rPr>
          <w:rFonts w:ascii="Arial" w:cs="Arial" w:eastAsia="Arial" w:hAnsi="Arial"/>
          <w:b/>
          <w:bCs/>
          <w:sz w:val="22"/>
          <w:szCs w:val="22"/>
        </w:rPr>
        <w:t xml:space="preserve">Modellschule „Lernen mit digitalen Medien“: </w:t>
      </w:r>
      <w:r>
        <w:rPr>
          <w:rFonts w:ascii="Arial" w:cs="Arial" w:eastAsia="Arial" w:hAnsi="Arial"/>
          <w:sz w:val="22"/>
          <w:szCs w:val="22"/>
        </w:rPr>
        <w:t xml:space="preserve">Das BBZ ist als Modellschule des Landes SH für digitales Lernen anerkannt. Die bestehende digitale Infrastruktur (Nextcloud, OnlyOffice, Geräteausstattung) und die Erfahrung im sinnvollen Einsatz digitaler Werkzeuge bilden eine ideale Grundlage für die Umsetzung von Konzepten wie Kompetenzrastern, digitalen Lernmaterialien und einer Lernplattform nach dem Vorbild von DiLer. Die Digitalisierung ist dabei kein Selbstzweck, sondern – wie an der ASW – das verbindende Werkzeug, das selbstorganisiertes Lernen erst praktisch ermöglicht.</w:t>
      </w:r>
    </w:p>
    <w:p>
      <w:pPr>
        <w:spacing w:after="120"/>
      </w:pPr>
      <w:r>
        <w:rPr>
          <w:rFonts w:ascii="Arial" w:cs="Arial" w:eastAsia="Arial" w:hAnsi="Arial"/>
          <w:b/>
          <w:bCs/>
          <w:sz w:val="22"/>
          <w:szCs w:val="22"/>
        </w:rPr>
        <w:t xml:space="preserve">BNE – SDG 4 „Hochwertige Bildung“: </w:t>
      </w:r>
      <w:r>
        <w:rPr>
          <w:rFonts w:ascii="Arial" w:cs="Arial" w:eastAsia="Arial" w:hAnsi="Arial"/>
          <w:sz w:val="22"/>
          <w:szCs w:val="22"/>
        </w:rPr>
        <w:t xml:space="preserve">Der aktuelle BNE-Schwerpunkt des BBZ liegt auf dem Nachhaltigkeitsziel 4 der Vereinten Nationen: „Inklusive, gleichberechtigte und hochwertige Bildung gewährleisten und Möglichkeiten lebenslangen Lernens für alle fördern.“ Das Transferkonzept ist im Kern eine direkte Umsetzung dieses Ziels – personalisiertes Lernen, Inklusion durch Differenzierung, Coaching statt Selektion und die Förderung von Selbstständigkeit als Schlüsselkompetenz für lebenslanges Lernen. SDG 4.7 fordert zudem, dass Lernende Kompetenzen für nachhaltige Entwicklung erwerben – genau das leistet der LdE-Flügel der Schmetterlingspädagogik durch handlungsorientiertes, erfahrungsbasiertes Lernen.</w:t>
      </w:r>
    </w:p>
    <w:p>
      <w:pPr>
        <w:spacing w:after="120"/>
      </w:pPr>
      <w:r>
        <w:rPr>
          <w:rFonts w:ascii="Arial" w:cs="Arial" w:eastAsia="Arial" w:hAnsi="Arial"/>
          <w:b/>
          <w:bCs/>
          <w:sz w:val="22"/>
          <w:szCs w:val="22"/>
        </w:rPr>
        <w:t xml:space="preserve">Zukunftsschule SH: </w:t>
      </w:r>
      <w:r>
        <w:rPr>
          <w:rFonts w:ascii="Arial" w:cs="Arial" w:eastAsia="Arial" w:hAnsi="Arial"/>
          <w:sz w:val="22"/>
          <w:szCs w:val="22"/>
        </w:rPr>
        <w:t xml:space="preserve">Das Siegel „Zukunftsschule“ belegt, dass das BBZ bereits einen anerkannten Schulentwicklungsprozess durchläuft. Die Transformation hin zu mehr Selbstorganisation und Lernbegleitung ist die logische Fortführung dieses Weges – kein Bruch, sondern eine Vertiefung.</w:t>
      </w:r>
    </w:p>
    <w:p>
      <w:pPr>
        <w:spacing w:after="120"/>
      </w:pPr>
      <w:r>
        <w:rPr>
          <w:rFonts w:ascii="Arial" w:cs="Arial" w:eastAsia="Arial" w:hAnsi="Arial"/>
          <w:sz w:val="22"/>
          <w:szCs w:val="22"/>
        </w:rPr>
        <w:t xml:space="preserve">Diese drei Profile zeigen: Das BBZ RD-ECK ist keine Schule, die bei Null anfängt. Es ist eine Schule, die bereits auf dem Weg ist – und der Transfer der ASW-Prinzipien fügt sich organisch in die bestehende Entwicklungsrichtung ein.</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Gleichzeitig verfügt das BBZ RD-ECK mit dem bestehenden SOL-Modell bei den Industriekaufleuten über einen internen Erfahrungsschatz, der die Übertragung erleichtert.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Erzieher:innenausbildung). Dazu kommt das AV-System.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 Der entscheidende Unterschied: Das BBZ RD-ECK startet nicht bei Null. Das IN-SOL-Modell, der Status als Modellschule für digitales Lernen, das Zukunftsschule-Siegel und der BNE-Schwerpunkt auf SDG 4 bilden zusammen ein tragfähiges Fundament.</w:t>
      </w:r>
    </w:p>
    <w:p>
      <w:pPr>
        <w:spacing w:after="120"/>
      </w:pPr>
      <w:r>
        <w:rPr>
          <w:rFonts w:ascii="Arial" w:cs="Arial" w:eastAsia="Arial" w:hAnsi="Arial"/>
          <w:sz w:val="22"/>
          <w:szCs w:val="22"/>
        </w:rPr>
        <w:t xml:space="preserve">Die folgenden fünf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Von innen nach außen: </w:t>
      </w:r>
      <w:r>
        <w:rPr>
          <w:rFonts w:ascii="Arial" w:cs="Arial" w:eastAsia="Arial" w:hAnsi="Arial"/>
          <w:sz w:val="22"/>
          <w:szCs w:val="22"/>
        </w:rPr>
        <w:t xml:space="preserve">Zuerst die eigenen Erfahrungen (IN-SOL) verstehen und würdigen, dann externe Impulse (ASW, Materialnetzwerk) integrieren.</w:t>
      </w:r>
    </w:p>
    <w:p>
      <w:pPr>
        <w:spacing w:after="120"/>
      </w:pPr>
      <w:r>
        <w:rPr>
          <w:rFonts w:ascii="Arial" w:cs="Arial" w:eastAsia="Arial" w:hAnsi="Arial"/>
          <w:b/>
          <w:bCs/>
          <w:sz w:val="22"/>
          <w:szCs w:val="22"/>
        </w:rPr>
        <w:t xml:space="preserve">3.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4. Evidenzbasiert skalieren: </w:t>
      </w:r>
      <w:r>
        <w:rPr>
          <w:rFonts w:ascii="Arial" w:cs="Arial" w:eastAsia="Arial" w:hAnsi="Arial"/>
          <w:sz w:val="22"/>
          <w:szCs w:val="22"/>
        </w:rPr>
        <w:t xml:space="preserve">Was funktioniert, wird ausgeweitet. Was nicht funktioniert, wird angepasst oder verworfen.</w:t>
      </w:r>
    </w:p>
    <w:p>
      <w:pPr>
        <w:spacing w:after="120"/>
      </w:pPr>
      <w:r>
        <w:rPr>
          <w:rFonts w:ascii="Arial" w:cs="Arial" w:eastAsia="Arial" w:hAnsi="Arial"/>
          <w:b/>
          <w:bCs/>
          <w:sz w:val="22"/>
          <w:szCs w:val="22"/>
        </w:rPr>
        <w:t xml:space="preserve">5. Konsequenz in der Vision: </w:t>
      </w:r>
      <w:r>
        <w:rPr>
          <w:rFonts w:ascii="Arial" w:cs="Arial" w:eastAsia="Arial" w:hAnsi="Arial"/>
          <w:sz w:val="22"/>
          <w:szCs w:val="22"/>
        </w:rPr>
        <w:t xml:space="preserve">Das Ziel der Transformation muss als Rahmen für pädagogisches, strategisches wie organisatorisches Handeln gesetzt werden.</w:t>
      </w:r>
    </w:p>
    <w:p>
      <w:r>
        <w:br w:type="page"/>
      </w:r>
    </w:p>
    <w:p>
      <w:pPr>
        <w:pStyle w:val="Heading1"/>
      </w:pPr>
      <w:r>
        <w:t xml:space="preserve">4. Change Management: Veränderung professionell gestalten</w:t>
      </w:r>
    </w:p>
    <w:p>
      <w:pPr>
        <w:spacing w:after="120"/>
      </w:pPr>
      <w:r>
        <w:rPr>
          <w:rFonts w:ascii="Arial" w:cs="Arial" w:eastAsia="Arial" w:hAnsi="Arial"/>
          <w:sz w:val="22"/>
          <w:szCs w:val="22"/>
        </w:rPr>
        <w:t xml:space="preserve">Die Transformation eines BBZ mit vielen Schulformen, Abteilungen und Fachkulturen ist kein rein pädagogisches Projekt – es ist ein organisationaler Veränderungsprozess. Schulentwicklung scheitert selten an fehlenden Konzepten und häufig an mangelhafter Prozessgestaltung. Deshalb braucht das Transfervorhaben von Anfang an eine bewusste Change-Management-Strategie.</w:t>
      </w:r>
    </w:p>
    <w:p>
      <w:pPr>
        <w:pStyle w:val="Heading2"/>
      </w:pPr>
      <w:r>
        <w:t xml:space="preserve">4.1 Theoretischer Rahmen: Kotters 8-Stufen-Modell</w:t>
      </w:r>
    </w:p>
    <w:p>
      <w:pPr>
        <w:spacing w:after="120"/>
      </w:pPr>
      <w:r>
        <w:rPr>
          <w:rFonts w:ascii="Arial" w:cs="Arial" w:eastAsia="Arial" w:hAnsi="Arial"/>
          <w:sz w:val="22"/>
          <w:szCs w:val="22"/>
        </w:rPr>
        <w:t xml:space="preserve">Das Konzept orientiert sich am bewährten 8-Stufen-Modell von John P. Kotter (1996), das die Dynamik organisationaler Veränderung in eine handhabbare Abfolge bringt. Die acht Stufen lassen sich direkt auf das BBZ-Vorhaben übertragen: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 Dringlichkeit erzeugen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Kein abstraktes Krisenszenario, sondern konkrete Fragen: Bereiten wir unsere Schüler:innen wirklich auf die Anforderungen der Arbeitswelt vor? Was sagen Ausbildungsbetriebe? Wo verlieren wir Lernende? Die Bestandsaufnahme in Phase 0 liefert hier die Datenbasis.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Führungskoalition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 Kernteam (Phase 0) ist Kotters „Guiding Coalition“. Entscheidend: Es müssen Personen mit formaler Autorität (Schulleitung, Abteilungsleitungen) UND informeller Glaubwürdigkeit (angesehene Kolleg:innen) dabei sein. Ohne Abteilungsleitungen als Multiplikatoren wird die Veränderung nicht in die Breite getragen.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 Vision &amp; Strategie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Die Vision (Phase 0) muss in einem Satz erklärbar sein. Nicht: „Wir implementieren die Schmetterlingspädagogik.“ Sondern z. B.: „Am BBZ RD-ECK lernen Schüler:innen, ihren eigenen Weg zu finden – begleitet statt belehrt.“ Diese Vision muss zum fünften Leitprinzip (Konsequenz in der Vision) passen und als Kompass für alle Entscheidungen dienen.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Vision kommunizieren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Kommunikation ist keine einmalige Informationsveranstaltung, sondern ein Dauerprozess. Regelmäßige Updates, offene Foren, transparenter Umgang mit Rückschlägen. Faustregel: Die Vision muss zehnmal häufiger kommuniziert werden, als man denkt.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5. Hindernisse beseitigen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Strukturelle Barrieren identifizieren und abbauen: Stundenplandogmen, die SoL-Blöcke unmöglich machen; Räume, die nur Frontalunterricht zulassen; Deputatsregelungen, die Coaching-Zeiten nicht vorsehen. Die Experimentierklausel SH ist hier ein mächtiges Werkzeug.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 Kurzfristige Erfolge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Wins (Kapitel 6) sind kein Beiwerk, sondern strategisch essenziell. Jeder sichtbare Erfolg – eine gelungene SoL-Stunde, positives Schüler:innen-Feedback, ein umgestalteter Raum – erzeugt Glaubwürdigkeit und zieht Nachahmer:innen an. Erfolge müssen aktiv kommuniziert werden.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7. Erfolge konsolidieren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Nach den ersten Piloten nicht zurücklehnen, sondern die Dynamik nutzen für systematische Ausweitung (Phase 3). Die Gefahr: Der Pilot wird zur „Insel“, die vom Rest der Schule bewundert, aber nicht übernommen wird.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 Kultur verankern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 Endziel (Phase 4): Die neue Lernkultur ist nicht mehr „Projekt“, sondern Normalzustand. Neue Lehrkräfte werden von Anfang an in die Lernbegleiter-Rolle eingeführt. Das Leitbild spiegelt die Veränderung wider.</w:t>
            </w:r>
          </w:p>
        </w:tc>
      </w:tr>
    </w:tbl>
    <w:p>
      <w:pPr>
        <w:pStyle w:val="Heading2"/>
      </w:pPr>
      <w:r>
        <w:t xml:space="preserve">4.2 Umgang mit Widerstand</w:t>
      </w:r>
    </w:p>
    <w:p>
      <w:pPr>
        <w:spacing w:after="120"/>
      </w:pPr>
      <w:r>
        <w:rPr>
          <w:rFonts w:ascii="Arial" w:cs="Arial" w:eastAsia="Arial" w:hAnsi="Arial"/>
          <w:sz w:val="22"/>
          <w:szCs w:val="22"/>
        </w:rPr>
        <w:t xml:space="preserve">Widerstand ist kein Betriebsunfall, sondern ein normaler und sogar gesunder Bestandteil jedes Veränderungsprozesses. Er zeigt, dass Menschen die Veränderung ernst nehmen. Entscheidend ist, wie damit umgegangen wird:</w:t>
      </w:r>
    </w:p>
    <w:p>
      <w:pPr>
        <w:spacing w:after="120"/>
      </w:pPr>
      <w:r>
        <w:rPr>
          <w:rFonts w:ascii="Arial" w:cs="Arial" w:eastAsia="Arial" w:hAnsi="Arial"/>
          <w:b/>
          <w:bCs/>
          <w:sz w:val="22"/>
          <w:szCs w:val="22"/>
        </w:rPr>
        <w:t xml:space="preserve">Widerstand ernst nehmen: </w:t>
      </w:r>
      <w:r>
        <w:rPr>
          <w:rFonts w:ascii="Arial" w:cs="Arial" w:eastAsia="Arial" w:hAnsi="Arial"/>
          <w:sz w:val="22"/>
          <w:szCs w:val="22"/>
        </w:rPr>
        <w:t xml:space="preserve">Hinter Ablehnung stehen oft legitime Sorgen – Angst vor Kontrollverlust, Mehrbelastung, Entwertung bisheriger Kompetenz. Diese Sorgen zu verstehen ist der erste Schritt, sie zu adressieren.</w:t>
      </w:r>
    </w:p>
    <w:p>
      <w:pPr>
        <w:spacing w:after="120"/>
      </w:pPr>
      <w:r>
        <w:rPr>
          <w:rFonts w:ascii="Arial" w:cs="Arial" w:eastAsia="Arial" w:hAnsi="Arial"/>
          <w:b/>
          <w:bCs/>
          <w:sz w:val="22"/>
          <w:szCs w:val="22"/>
        </w:rPr>
        <w:t xml:space="preserve">Beteiligung statt Überredung: </w:t>
      </w:r>
      <w:r>
        <w:rPr>
          <w:rFonts w:ascii="Arial" w:cs="Arial" w:eastAsia="Arial" w:hAnsi="Arial"/>
          <w:sz w:val="22"/>
          <w:szCs w:val="22"/>
        </w:rPr>
        <w:t xml:space="preserve">Menschen unterstützen, was sie mitgestalten. Je früher Kolleg:innen in die Konzeptentwicklung eingebunden werden, desto höher die Akzeptanz. Das IN-SOL-Modell zeigt: Kolleg:innen, die bereits SOL praktizieren, sind die überzeugendsten Botschafter:innen.</w:t>
      </w:r>
    </w:p>
    <w:p>
      <w:pPr>
        <w:spacing w:after="120"/>
      </w:pPr>
      <w:r>
        <w:rPr>
          <w:rFonts w:ascii="Arial" w:cs="Arial" w:eastAsia="Arial" w:hAnsi="Arial"/>
          <w:b/>
          <w:bCs/>
          <w:sz w:val="22"/>
          <w:szCs w:val="22"/>
        </w:rPr>
        <w:t xml:space="preserve">Differenzierte Ansprache: </w:t>
      </w:r>
      <w:r>
        <w:rPr>
          <w:rFonts w:ascii="Arial" w:cs="Arial" w:eastAsia="Arial" w:hAnsi="Arial"/>
          <w:sz w:val="22"/>
          <w:szCs w:val="22"/>
        </w:rPr>
        <w:t xml:space="preserve">Nicht alle brauchen dasselbe. Die Innovatoren (ca. 15 %) brauchen Freiraum und Vertrauen. Die frühe Mehrheit (ca. 35 %) braucht Evidenz und Hospitationsmöglichkeiten. Die späte Mehrheit (ca. 35 %) braucht Zeit, Sicherheit und schrittweise Begleitung. Die Skeptiker (ca. 15 %) brauchen Respekt – und dürfen nicht zur Zielscheibe werden.</w:t>
      </w:r>
    </w:p>
    <w:p>
      <w:pPr>
        <w:spacing w:after="120"/>
      </w:pPr>
      <w:r>
        <w:rPr>
          <w:rFonts w:ascii="Arial" w:cs="Arial" w:eastAsia="Arial" w:hAnsi="Arial"/>
          <w:b/>
          <w:bCs/>
          <w:sz w:val="22"/>
          <w:szCs w:val="22"/>
        </w:rPr>
        <w:t xml:space="preserve">Die Lerncoach-Fortbildung nutzen: </w:t>
      </w:r>
      <w:r>
        <w:rPr>
          <w:rFonts w:ascii="Arial" w:cs="Arial" w:eastAsia="Arial" w:hAnsi="Arial"/>
          <w:sz w:val="22"/>
          <w:szCs w:val="22"/>
        </w:rPr>
        <w:t xml:space="preserve">Das BBZ hat bereits in die Fortbildung vieler Kolleg:innen zu Lerncoaches investiert. Das ist Change Management in Aktion: Kompetenzaufbau schafft Sicherheit und senkt die Hemmschwelle für neue Rollen.</w:t>
      </w:r>
    </w:p>
    <w:p>
      <w:pPr>
        <w:pStyle w:val="Heading2"/>
      </w:pPr>
      <w:r>
        <w:t xml:space="preserve">4.3 Die Schlüsselrolle der Abteilungsleitungen</w:t>
      </w:r>
    </w:p>
    <w:p>
      <w:pPr>
        <w:spacing w:after="120"/>
      </w:pPr>
      <w:r>
        <w:rPr>
          <w:rFonts w:ascii="Arial" w:cs="Arial" w:eastAsia="Arial" w:hAnsi="Arial"/>
          <w:sz w:val="22"/>
          <w:szCs w:val="22"/>
        </w:rPr>
        <w:t xml:space="preserve">An einem BBZ mit seinen dezentralen Abteilungsstrukturen sind die Abteilungsleitungen die entscheidenden Gatekeeper der Veränderung. Ohne ihre aktive Unterstützung – oder mindestens ihre wohlwollende Duldung – bleibt jedes Konzept auf der Leitungsebene stecken. Abteilungsleitungen müssen daher von Anfang an eingebunden, informiert und als Gestaltungspartner:innen gewonnen werden. Sie entscheiden, ob Kolleg:innen Freiräume für Pilotprojekte bekommen, ob SoL-Blöcke im Stundenplan möglich sind und ob Raumnutzungskonzepte geändert werden können.</w:t>
      </w:r>
    </w:p>
    <w:p>
      <w:r>
        <w:br w:type="page"/>
      </w:r>
    </w:p>
    <w:p>
      <w:pPr>
        <w:pStyle w:val="Heading1"/>
      </w:pPr>
      <w:r>
        <w:t xml:space="preserve">5. Stufenplan: 5 Phasen der Transformation</w:t>
      </w:r>
    </w:p>
    <w:p>
      <w:pPr>
        <w:spacing w:after="120"/>
      </w:pPr>
      <w:r>
        <w:rPr>
          <w:rFonts w:ascii="Arial" w:cs="Arial" w:eastAsia="Arial" w:hAnsi="Arial"/>
          <w:sz w:val="22"/>
          <w:szCs w:val="22"/>
        </w:rPr>
        <w:t xml:space="preserve">Der folgende Stufenplan integriert die Change-Management-Perspektive in jede Phase. In der letzten Zeile jeder Phasentabelle wird der jeweilige CM-Schwerpunkt nach Kotter explizit benannt.</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(unbedingt auch aus der IN-Abteilung!),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IN-SOL erkunden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Allererster Schritt: Systematisch das bestehende SOL-Modell bei den Industriekaufleuten erkunden. Gespräche mit den beteiligten Lehrkräften führen, im Unterricht hospitieren, Materialien sichten. Leitfragen: Seit wann läuft das Modell? Wie ist es organisiert (Kompetenzraster, Lernbegleitung, Räume, digitale Tools)? Welche Ergebnisse gibt es? Was würden die Kolleg:innen rückblickend anders machen? Dieser Schritt liefert den internen Proof of Concept und erzeugt gleichzeitig die erste abteilungsübergreifende Verbindung.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Hospitieren (extern)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 Wichtig: Immer mit der internen IN-Erfahrung abgleichen – was lässt sich übertragen, was nicht?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CM-Schwerpunkt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Kotter-Stufen 1–3: Dringlichkeit erzeugen (Bestandsaufnahme), Führungskoalition aufbauen (Kernteam mit Abteilungsleitungen), Vision und Strategie formulieren. Die Abteilungsleitungen frühzeitig als Gestaltungspartner:innen gewinnen.</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Vollzeitbildungsgänge werden als Piloten ausgewählt. Die Wahl fällt auf Bildungsgänge, in denen das Kollegium motiviert ist und die strukturell Spielraum bieten. Die Lehrkräfte aus dem IN-SOL-Modell fungieren dabei als interne Berater:innen und Erfahrungsgeber:innen.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Weitere Vollzeitschulformen: </w:t>
      </w:r>
      <w:r>
        <w:rPr>
          <w:rFonts w:ascii="Arial" w:cs="Arial" w:eastAsia="Arial" w:hAnsi="Arial"/>
          <w:sz w:val="22"/>
          <w:szCs w:val="22"/>
        </w:rPr>
        <w:t xml:space="preserve">BFS, FOS oder einzelne Profile des BG. Vollzeitschüler:innen haben die nötige Präsenzzeit für Lernateliers und SoL-Blöcke. Möglich wäre z. B. ein BG-Profil (Gesundheit, Pädagogik/Psychologie) oder eine BFS-Klasse als Pilotprojekt.</w:t>
      </w:r>
    </w:p>
    <w:p>
      <w:pPr>
        <w:spacing w:after="120"/>
      </w:pPr>
      <w:r>
        <w:rPr>
          <w:rFonts w:ascii="Arial" w:cs="Arial" w:eastAsia="Arial" w:hAnsi="Arial"/>
          <w:b/>
          <w:bCs/>
          <w:sz w:val="22"/>
          <w:szCs w:val="22"/>
        </w:rPr>
        <w:t xml:space="preserve">Perspektive – Duale Ausbildung (Ausbau): </w:t>
      </w:r>
      <w:r>
        <w:rPr>
          <w:rFonts w:ascii="Arial" w:cs="Arial" w:eastAsia="Arial" w:hAnsi="Arial"/>
          <w:sz w:val="22"/>
          <w:szCs w:val="22"/>
        </w:rPr>
        <w:t xml:space="preserve">Das bestehende IN-SOL-Modell dient als Blaupause für weitere duale Bildungsgänge. Hier geht es weniger um einen neuen Piloten als um systematischen Transfer der IN-Erfahrungen auf andere Ausbildungsberufe.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Erste Orientierung: Wie hat die IN-Abteilung ihre Raster aufgebaut? Ergänzend das Materialnetzwerk eG (asw-wutoeschingen.de) sichten.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Als Modellschule für digitales Lernen verfügt das BBZ über ideale Voraussetzungen: Die bestehende Nextcloud-Infrastruktur (cloud.bbz-rd-eck.de) mit strukturierten Lernmaterialien befüllen. Alternativ DiLer evaluieren (Open Source) oder eine Kombination mit Nextcloud + OnlyOffice als kollaborative Arbeitsumgebung nutzen. Kompetenzraster können digital abgebildet und Lernfortschritte transparent gemacht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CM-Schwerpunkt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Kotter-Stufen 4–6: Vision breit kommunizieren (Informationsveranstaltungen, Abteilungsrunden), Hindernisse beseitigen (Stundenplan-Spielräume schaffen, Deputatsregelungen klären), kurzfristige Erfolge sichtbar machen und feiern. Offene Hospitationen im Pilot für alle Kolleg:innen anbieten.</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 Hier liegt auch die natürliche Verbindung zum BNE-Schwerpunkt: Handlungsorientiertes Lernen in realen Kontexten ist gelebte Bildung für nachhaltige Entwicklung (SDG 4.7).</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CM-Schwerpunkt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Kotter-Stufe 6–7: Kurzfristige Erfolge konsolidieren, Evaluationsergebnisse transparent kommunizieren. Die Lerncoach-Fortbildungen in den Prozess einbetten – sie sind bereits laufendes Change Management. Peer-Teaching durch Pilot-Lehrkräfte als niedrigschwelligen Wissenstransfer institutionalisieren.</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CM-Schwerpunkt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Kotter-Stufe 7: Erfolge konsolidieren und Dynamik nutzen. Die Gefahr der „Pilotinsel“ aktiv vermeiden: Strukturierte Transfer-Formate zwischen Abteilungen einrichten. Fortbildungskonzept als systemische Maßnahme – nicht als Einzelinitiative.</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Die bestehenden Siegel (Zukunftsschule, Modellschule digitales Lernen) und der BNE-Schwerpunkt erhöhen die Sichtbarkeit.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CM-Schwerpunkt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Kotter-Stufe 8: Kultur verankern. Die neue Lernkultur ist kein „Projekt“ mehr, sondern Normalzustand. Onboarding, Leitbild und Qualitätssicherung stellen sicher, dass die Veränderung über Personalwechsel hinaus Bestand hat.</w:t>
            </w:r>
          </w:p>
        </w:tc>
      </w:tr>
    </w:tbl>
    <w:p>
      <w:r>
        <w:br w:type="page"/>
      </w:r>
    </w:p>
    <w:p>
      <w:pPr>
        <w:pStyle w:val="Heading1"/>
      </w:pPr>
      <w:r>
        <w:t xml:space="preserve">6.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 Wir haben hier gerade in die Fortbildung vieler Kolleg:innen zu Lerncoaches investiert.</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20–45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 Moodle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spacing w:after="120"/>
      </w:pPr>
      <w:r>
        <w:rPr>
          <w:rFonts w:ascii="Arial" w:cs="Arial" w:eastAsia="Arial" w:hAnsi="Arial"/>
          <w:b/>
          <w:bCs/>
          <w:sz w:val="22"/>
          <w:szCs w:val="22"/>
        </w:rPr>
        <w:t xml:space="preserve">Bei den IN-Kolleg:innen hospitieren: </w:t>
      </w:r>
      <w:r>
        <w:rPr>
          <w:rFonts w:ascii="Arial" w:cs="Arial" w:eastAsia="Arial" w:hAnsi="Arial"/>
          <w:sz w:val="22"/>
          <w:szCs w:val="22"/>
        </w:rPr>
        <w:t xml:space="preserve">Keine Reise nach Wutöschingen nötig für einen ersten Eindruck – das SOL-Modell bei den Industriekaufleuten im eigenen Haus besuchen, ins Gespräch kommen, Fragen stellen. Das ist der niedrigschwelligste Einstieg überhaupt.</w:t>
      </w:r>
    </w:p>
    <w:p>
      <w:pPr>
        <w:pStyle w:val="Heading1"/>
      </w:pPr>
      <w:r>
        <w:t xml:space="preserve">7.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(auch intern bei den IN-Kolleg:innen!),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Die ASW zeigt, dass SOL-Absolvent:innen bei Prüfungen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Der Modellschul-Status und die bestehenden digitalen Systeme (Nextcloud, Moodle) reduzieren den Investitionsbedarf im digitalen Bereich erheblich.</w:t>
            </w:r>
          </w:p>
        </w:tc>
      </w:tr>
    </w:tbl>
    <w:p>
      <w:r>
        <w:br w:type="page"/>
      </w:r>
    </w:p>
    <w:p>
      <w:pPr>
        <w:pStyle w:val="Heading1"/>
      </w:pPr>
      <w:r>
        <w:t xml:space="preserve">8.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spacing w:after="120"/>
      </w:pPr>
      <w:r>
        <w:rPr>
          <w:rFonts w:ascii="Arial" w:cs="Arial" w:eastAsia="Arial" w:hAnsi="Arial"/>
          <w:sz w:val="22"/>
          <w:szCs w:val="22"/>
        </w:rPr>
        <w:t xml:space="preserve">• Kotter, John P.: „Leading Change – Wie Sie Ihr Unternehmen in acht Schritten erfolgreich verändern.“ Vahlen, 2011 (dt. Ausgabe). Standardwerk zum 8-Stufen-Modell des Change Managements.</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2026-03-15T12:02:12.573Z</dcterms:created>
  <dcterms:modified xsi:type="dcterms:W3CDTF">2026-03-15T12:02:12.574Z</dcterms:modified>
</cp:coreProperties>
</file>

<file path=docProps/custom.xml><?xml version="1.0" encoding="utf-8"?>
<Properties xmlns="http://schemas.openxmlformats.org/officeDocument/2006/custom-properties" xmlns:vt="http://schemas.openxmlformats.org/officeDocument/2006/docPropsVTypes"/>
</file>