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Transferkonzept</w:t>
      </w:r>
    </w:p>
    <w:p>
      <w:pPr>
        <w:spacing w:after="100"/>
        <w:jc w:val="center"/>
      </w:pPr>
      <w:r>
        <w:rPr>
          <w:rFonts w:ascii="Arial" w:cs="Arial" w:eastAsia="Arial" w:hAnsi="Arial"/>
          <w:color w:val="2E86C1"/>
          <w:sz w:val="36"/>
          <w:szCs w:val="36"/>
        </w:rPr>
        <w:t xml:space="preserve">Alemannenschule Wutöschingen → BBZ RD-ECK</w:t>
      </w:r>
    </w:p>
    <w:p>
      <w:pPr>
        <w:pBdr>
          <w:bottom w:val="single" w:color="2E86C1" w:sz="6" w:space="1"/>
        </w:pBdr>
        <w:spacing w:after="600"/>
        <w:jc w:val="center"/>
      </w:pPr>
      <w:r>
        <w:rPr>
          <w:rFonts w:ascii="Arial" w:cs="Arial" w:eastAsia="Arial" w:hAnsi="Arial"/>
          <w:i/>
          <w:iCs/>
          <w:color w:val="566573"/>
          <w:sz w:val="26"/>
          <w:szCs w:val="26"/>
        </w:rPr>
        <w:t xml:space="preserve">Schmetterlingspädagogik adaptiert für berufliche Bildung – aufbauend auf einem SOL-Modell</w:t>
      </w:r>
    </w:p>
    <w:p>
      <w:pPr>
        <w:spacing w:after="600"/>
        <w:jc w:val="center"/>
      </w:pPr>
      <w:r>
        <w:rPr>
          <w:rFonts w:ascii="Arial" w:cs="Arial" w:eastAsia="Arial" w:hAnsi="Arial"/>
          <w:color w:val="566573"/>
          <w:sz w:val="22"/>
          <w:szCs w:val="22"/>
        </w:rPr>
        <w:t xml:space="preserve">Modellschule „Lernen mit digitalen Medien“ · Zukunftsschule · BNE-Schwerpunkt SDG 4</w:t>
      </w:r>
    </w:p>
    <w:p>
      <w:pPr>
        <w:spacing w:after="100"/>
        <w:jc w:val="center"/>
      </w:pPr>
      <w:r>
        <w:rPr>
          <w:rFonts w:ascii="Arial" w:cs="Arial" w:eastAsia="Arial" w:hAnsi="Arial"/>
          <w:color w:val="566573"/>
          <w:sz w:val="24"/>
          <w:szCs w:val="24"/>
        </w:rPr>
        <w:t xml:space="preserve">Arbeitsdokument – Stand: März 2026</w:t>
      </w:r>
    </w:p>
    <w:p>
      <w:pPr>
        <w:jc w:val="center"/>
      </w:pPr>
      <w:r>
        <w:rPr>
          <w:rFonts w:ascii="Arial" w:cs="Arial" w:eastAsia="Arial" w:hAnsi="Arial"/>
          <w:color w:val="566573"/>
          <w:sz w:val="24"/>
          <w:szCs w:val="24"/>
        </w:rPr>
        <w:t xml:space="preserve">BBZ Rendsburg-Eckernförde</w:t>
      </w:r>
    </w:p>
    <w:p>
      <w:pPr>
        <w:sectPr>
          <w:pgSz w:w="11906" w:h="16838" w:orient="portrait"/>
          <w:pgMar w:top="1440" w:right="1440" w:bottom="1440" w:left="1440" w:header="708" w:footer="708" w:gutter="0"/>
          <w:pgNumType/>
          <w:docGrid w:linePitch="360"/>
        </w:sectPr>
      </w:pPr>
    </w:p>
    <w:p>
      <w:pPr>
        <w:pStyle w:val="Heading1"/>
      </w:pPr>
      <w:r>
        <w:t xml:space="preserve">1. Das Modell der Alemannenschule Wutöschingen</w:t>
      </w:r>
    </w:p>
    <w:p>
      <w:pPr>
        <w:spacing w:after="120"/>
      </w:pPr>
      <w:r>
        <w:rPr>
          <w:rFonts w:ascii="Arial" w:cs="Arial" w:eastAsia="Arial" w:hAnsi="Arial"/>
          <w:sz w:val="22"/>
          <w:szCs w:val="22"/>
        </w:rPr>
        <w:t xml:space="preserve">Die Alemannenschule Wutöschingen (ASW) ist eine Gemeinschaftsschule in Baden-Württemberg, die unter der langjährigen Leitung von Stefan Ruppaner (2005–2024) einen radikalen Transformationsprozess durchlaufen hat. Von einer von Schließung bedrohten Hauptschule hat sie sich zu einer mehrfach preisgekrönten Zukunftsschule mit etwa 800 Schüler:innen von Klasse 1 bis 13 entwickelt. Die ASW erhielt 2019 und 2021 den Deutschen Schulpreis.</w:t>
      </w:r>
    </w:p>
    <w:p>
      <w:pPr>
        <w:pStyle w:val="Heading2"/>
      </w:pPr>
      <w:r>
        <w:t xml:space="preserve">1.1 Kernelement: Schmetterlingspädagogik</w:t>
      </w:r>
    </w:p>
    <w:p>
      <w:pPr>
        <w:spacing w:after="120"/>
      </w:pPr>
      <w:r>
        <w:rPr>
          <w:rFonts w:ascii="Arial" w:cs="Arial" w:eastAsia="Arial" w:hAnsi="Arial"/>
          <w:sz w:val="22"/>
          <w:szCs w:val="22"/>
        </w:rPr>
        <w:t xml:space="preserve">Das zentrale pädagogische Konzept ist die sogenannte „Schmetterlingspädagogik“. Die beiden Flügel des Schmetterlings bilden das Fundament:</w:t>
      </w:r>
    </w:p>
    <w:p>
      <w:pPr>
        <w:spacing w:after="120"/>
      </w:pPr>
      <w:r>
        <w:rPr>
          <w:rFonts w:ascii="Arial" w:cs="Arial" w:eastAsia="Arial" w:hAnsi="Arial"/>
          <w:b/>
          <w:bCs/>
          <w:sz w:val="22"/>
          <w:szCs w:val="22"/>
        </w:rPr>
        <w:t xml:space="preserve">Flügel 1 – SoL (Selbstorganisiertes Lernen): </w:t>
      </w:r>
      <w:r>
        <w:rPr>
          <w:rFonts w:ascii="Arial" w:cs="Arial" w:eastAsia="Arial" w:hAnsi="Arial"/>
          <w:sz w:val="22"/>
          <w:szCs w:val="22"/>
        </w:rPr>
        <w:t xml:space="preserve">Die Lernpartner:innen (so werden Schüler:innen an der ASW genannt) wählen eigenständig, wann, wo, wie und in welchem Tempo sie an welchen Kompetenzen arbeiten. Digitale Lernmaterialien, Kompetenzraster und die schuleigene Lernplattform DiLer bilden die Grundlage.</w:t>
      </w:r>
    </w:p>
    <w:p>
      <w:pPr>
        <w:spacing w:after="120"/>
      </w:pPr>
      <w:r>
        <w:rPr>
          <w:rFonts w:ascii="Arial" w:cs="Arial" w:eastAsia="Arial" w:hAnsi="Arial"/>
          <w:b/>
          <w:bCs/>
          <w:sz w:val="22"/>
          <w:szCs w:val="22"/>
        </w:rPr>
        <w:t xml:space="preserve">Flügel 2 – LdE (Lernen durch Erleben): </w:t>
      </w:r>
      <w:r>
        <w:rPr>
          <w:rFonts w:ascii="Arial" w:cs="Arial" w:eastAsia="Arial" w:hAnsi="Arial"/>
          <w:sz w:val="22"/>
          <w:szCs w:val="22"/>
        </w:rPr>
        <w:t xml:space="preserve">Handlungsorientiertes, erfahrungsbasiertes Lernen in Clubs, Projekten, Exkursionen und an außerschulischen Lernorten – vom Bauernhof über das Seniorenheim bis zum Rathaus.</w:t>
      </w:r>
    </w:p>
    <w:p>
      <w:pPr>
        <w:pStyle w:val="Heading2"/>
      </w:pPr>
      <w:r>
        <w:t xml:space="preserve">1.2 Zentrale Strukturelemente</w:t>
      </w:r>
    </w:p>
    <w:p>
      <w:pPr>
        <w:spacing w:after="120"/>
      </w:pPr>
      <w:r>
        <w:rPr>
          <w:rFonts w:ascii="Arial" w:cs="Arial" w:eastAsia="Arial" w:hAnsi="Arial"/>
          <w:sz w:val="22"/>
          <w:szCs w:val="22"/>
        </w:rPr>
        <w:t xml:space="preserve">Die ASW hat eine Reihe von Strukturelementen eingeführt, die das traditionelle Schulsystem ersetzen:</w:t>
      </w:r>
    </w:p>
    <w:p>
      <w:pPr>
        <w:spacing w:after="120"/>
      </w:pPr>
      <w:r>
        <w:rPr>
          <w:rFonts w:ascii="Arial" w:cs="Arial" w:eastAsia="Arial" w:hAnsi="Arial"/>
          <w:b/>
          <w:bCs/>
          <w:sz w:val="22"/>
          <w:szCs w:val="22"/>
        </w:rPr>
        <w:t xml:space="preserve">Keine Klassenzimmer: </w:t>
      </w:r>
      <w:r>
        <w:rPr>
          <w:rFonts w:ascii="Arial" w:cs="Arial" w:eastAsia="Arial" w:hAnsi="Arial"/>
          <w:sz w:val="22"/>
          <w:szCs w:val="22"/>
        </w:rPr>
        <w:t xml:space="preserve">Stattdessen Lernateliers (individuelle, feste Arbeitsplätze mit Flüsterkultur), Marktplätze (kooperative Bereiche mit Sofaecken und großen Tischen), Inputräume (für kurze, ca. 20-minütige thematische Inputs) und Coachiniräume (für Einzelgespräche).</w:t>
      </w:r>
    </w:p>
    <w:p>
      <w:pPr>
        <w:spacing w:after="120"/>
      </w:pPr>
      <w:r>
        <w:rPr>
          <w:rFonts w:ascii="Arial" w:cs="Arial" w:eastAsia="Arial" w:hAnsi="Arial"/>
          <w:b/>
          <w:bCs/>
          <w:sz w:val="22"/>
          <w:szCs w:val="22"/>
        </w:rPr>
        <w:t xml:space="preserve">Keine Stundenpläne: </w:t>
      </w:r>
      <w:r>
        <w:rPr>
          <w:rFonts w:ascii="Arial" w:cs="Arial" w:eastAsia="Arial" w:hAnsi="Arial"/>
          <w:sz w:val="22"/>
          <w:szCs w:val="22"/>
        </w:rPr>
        <w:t xml:space="preserve">Der Tag beginnt mit einem freiwilligen musisch-sportlichen Angebot. Danach organisieren die Lernpartner:innen ihren Lernprozess weitgehend selbst.</w:t>
      </w:r>
    </w:p>
    <w:p>
      <w:pPr>
        <w:spacing w:after="120"/>
      </w:pPr>
      <w:r>
        <w:rPr>
          <w:rFonts w:ascii="Arial" w:cs="Arial" w:eastAsia="Arial" w:hAnsi="Arial"/>
          <w:b/>
          <w:bCs/>
          <w:sz w:val="22"/>
          <w:szCs w:val="22"/>
        </w:rPr>
        <w:t xml:space="preserve">Keine klassischen Noten: </w:t>
      </w:r>
      <w:r>
        <w:rPr>
          <w:rFonts w:ascii="Arial" w:cs="Arial" w:eastAsia="Arial" w:hAnsi="Arial"/>
          <w:sz w:val="22"/>
          <w:szCs w:val="22"/>
        </w:rPr>
        <w:t xml:space="preserve">Stattdessen Kompetenzraster, Gelingensnachweise und ein Graduierungssystem mit vier Stufen: Neustarter → Starter → Lernprofi → Durchstarter. Mit jeder Stufe wachsen Freiheit und Verantwortung.</w:t>
      </w:r>
    </w:p>
    <w:p>
      <w:pPr>
        <w:spacing w:after="120"/>
      </w:pPr>
      <w:r>
        <w:rPr>
          <w:rFonts w:ascii="Arial" w:cs="Arial" w:eastAsia="Arial" w:hAnsi="Arial"/>
          <w:b/>
          <w:bCs/>
          <w:sz w:val="22"/>
          <w:szCs w:val="22"/>
        </w:rPr>
        <w:t xml:space="preserve">Lehrkräfte als Lernbegleiter/Coaches: </w:t>
      </w:r>
      <w:r>
        <w:rPr>
          <w:rFonts w:ascii="Arial" w:cs="Arial" w:eastAsia="Arial" w:hAnsi="Arial"/>
          <w:sz w:val="22"/>
          <w:szCs w:val="22"/>
        </w:rPr>
        <w:t xml:space="preserve">Regelmäßige Einzelcoachings statt Frontalunterricht. Lehrkräfte erhalten Deputatsermäßigungen für Coaching-Zeiten.</w:t>
      </w:r>
    </w:p>
    <w:p>
      <w:pPr>
        <w:spacing w:after="120"/>
      </w:pPr>
      <w:r>
        <w:rPr>
          <w:rFonts w:ascii="Arial" w:cs="Arial" w:eastAsia="Arial" w:hAnsi="Arial"/>
          <w:b/>
          <w:bCs/>
          <w:sz w:val="22"/>
          <w:szCs w:val="22"/>
        </w:rPr>
        <w:t xml:space="preserve">DiLer (Digitale Lernplattform): </w:t>
      </w:r>
      <w:r>
        <w:rPr>
          <w:rFonts w:ascii="Arial" w:cs="Arial" w:eastAsia="Arial" w:hAnsi="Arial"/>
          <w:sz w:val="22"/>
          <w:szCs w:val="22"/>
        </w:rPr>
        <w:t xml:space="preserve">Eigens entwickelte, DSGVO-konforme Plattform für Lernmaterialien, Kompetenzraster, Kommunikation und Lernfortschrittsdokumentation. 1:1-Ausstattung aller Lernpartner:innen mit iPads.</w:t>
      </w:r>
    </w:p>
    <w:p>
      <w:pPr>
        <w:spacing w:after="120"/>
      </w:pPr>
      <w:r>
        <w:rPr>
          <w:rFonts w:ascii="Arial" w:cs="Arial" w:eastAsia="Arial" w:hAnsi="Arial"/>
          <w:b/>
          <w:bCs/>
          <w:sz w:val="22"/>
          <w:szCs w:val="22"/>
        </w:rPr>
        <w:t xml:space="preserve">Clubs: </w:t>
      </w:r>
      <w:r>
        <w:rPr>
          <w:rFonts w:ascii="Arial" w:cs="Arial" w:eastAsia="Arial" w:hAnsi="Arial"/>
          <w:sz w:val="22"/>
          <w:szCs w:val="22"/>
        </w:rPr>
        <w:t xml:space="preserve">Dreistündige themenbezogene Einheiten über ein Trimester, die von den Lernpartner:innen gewählt werden und häufig an außerschulischen Lernorten stattfinden.</w:t>
      </w:r>
    </w:p>
    <w:p>
      <w:pPr>
        <w:spacing w:after="120"/>
      </w:pPr>
      <w:r>
        <w:rPr>
          <w:rFonts w:ascii="Arial" w:cs="Arial" w:eastAsia="Arial" w:hAnsi="Arial"/>
          <w:b/>
          <w:bCs/>
          <w:sz w:val="22"/>
          <w:szCs w:val="22"/>
        </w:rPr>
        <w:t xml:space="preserve">Materialnetzwerk eG: </w:t>
      </w:r>
      <w:r>
        <w:rPr>
          <w:rFonts w:ascii="Arial" w:cs="Arial" w:eastAsia="Arial" w:hAnsi="Arial"/>
          <w:sz w:val="22"/>
          <w:szCs w:val="22"/>
        </w:rPr>
        <w:t xml:space="preserve">Gemeinnützige Genossenschaft von mittlerweile über 40 Schulen, die offene Bildungsmaterialien (OER) austauschen und weiterentwickeln.</w:t>
      </w:r>
    </w:p>
    <w:p>
      <w:pPr>
        <w:pStyle w:val="Heading2"/>
      </w:pPr>
      <w:r>
        <w:t xml:space="preserve">1.3 Ergebnisse</w:t>
      </w:r>
    </w:p>
    <w:p>
      <w:pPr>
        <w:spacing w:after="120"/>
      </w:pPr>
      <w:r>
        <w:rPr>
          <w:rFonts w:ascii="Arial" w:cs="Arial" w:eastAsia="Arial" w:hAnsi="Arial"/>
          <w:sz w:val="22"/>
          <w:szCs w:val="22"/>
        </w:rPr>
        <w:t xml:space="preserve">Der erste Abiturjahrgang der ASW schloss mit einem Notendurchschnitt von 1,7 ab – deutlich über dem Landesdurchschnitt. Betriebe berichten regelmäßig, dass ASW-Absolvent:innen besonders selbstständig und aufgeschlossen seien. Die Schule kann sich vor Anmeldungen kaum retten.</w:t>
      </w:r>
    </w:p>
    <w:p>
      <w:pPr>
        <w:pStyle w:val="Heading2"/>
      </w:pPr>
      <w:r>
        <w:t xml:space="preserve">1.4 Interner Anknüpfungspunkt: SOL bei den Industriekaufleuten am BBZ RD-ECK</w:t>
      </w:r>
    </w:p>
    <w:p>
      <w:pPr>
        <w:spacing w:after="120"/>
      </w:pPr>
      <w:r>
        <w:rPr>
          <w:rFonts w:ascii="Arial" w:cs="Arial" w:eastAsia="Arial" w:hAnsi="Arial"/>
          <w:sz w:val="22"/>
          <w:szCs w:val="22"/>
        </w:rPr>
        <w:t xml:space="preserve">Ein entscheidender strategischer Vorteil für das BBZ RD-ECK: Die Prinzipien des selbstorganisierten Lernens sind am eigenen Haus bereits gelebte Praxis. Im Bildungsgang der Industriekaufleute (duale Ausbildung) wird bereits ein reines SOL-Modell umgesetzt. Damit verfügt das BBZ über interne Expertise, Erfahrungswerte und – je nach Evaluationslage – über einen handfesten Proof of Concept.</w:t>
      </w:r>
    </w:p>
    <w:p>
      <w:pPr>
        <w:spacing w:after="120"/>
      </w:pPr>
      <w:r>
        <w:rPr>
          <w:rFonts w:ascii="Arial" w:cs="Arial" w:eastAsia="Arial" w:hAnsi="Arial"/>
          <w:sz w:val="22"/>
          <w:szCs w:val="22"/>
        </w:rPr>
        <w:t xml:space="preserve">Die Bedeutung dieses internen Referenzpunkts kann kaum überschätzt werden:</w:t>
      </w:r>
    </w:p>
    <w:p>
      <w:pPr>
        <w:spacing w:after="120"/>
      </w:pPr>
      <w:r>
        <w:rPr>
          <w:rFonts w:ascii="Arial" w:cs="Arial" w:eastAsia="Arial" w:hAnsi="Arial"/>
          <w:b/>
          <w:bCs/>
          <w:sz w:val="22"/>
          <w:szCs w:val="22"/>
        </w:rPr>
        <w:t xml:space="preserve">Glaubwürdigkeit: </w:t>
      </w:r>
      <w:r>
        <w:rPr>
          <w:rFonts w:ascii="Arial" w:cs="Arial" w:eastAsia="Arial" w:hAnsi="Arial"/>
          <w:sz w:val="22"/>
          <w:szCs w:val="22"/>
        </w:rPr>
        <w:t xml:space="preserve">Es handelt sich nicht um eine theoretische Vision von außen, sondern um eine Praxis, die Kolleg:innen im selben Haus bereits erfolgreich umsetzen. Das ist für die Schulleitung und für skeptische Kolleg:innen das stärkste Argument.</w:t>
      </w:r>
    </w:p>
    <w:p>
      <w:pPr>
        <w:spacing w:after="120"/>
      </w:pPr>
      <w:r>
        <w:rPr>
          <w:rFonts w:ascii="Arial" w:cs="Arial" w:eastAsia="Arial" w:hAnsi="Arial"/>
          <w:b/>
          <w:bCs/>
          <w:sz w:val="22"/>
          <w:szCs w:val="22"/>
        </w:rPr>
        <w:t xml:space="preserve">Wissenstransfer: </w:t>
      </w:r>
      <w:r>
        <w:rPr>
          <w:rFonts w:ascii="Arial" w:cs="Arial" w:eastAsia="Arial" w:hAnsi="Arial"/>
          <w:sz w:val="22"/>
          <w:szCs w:val="22"/>
        </w:rPr>
        <w:t xml:space="preserve">Die Lehrkräfte der IN-Abteilung haben Erfahrungen gesammelt, die direkt übertragbar sind: Wie wurden Kompetenzraster entwickelt? Wie funktioniert die Lernbegleitung? Welche Hürden gab es? Was hat sich bewährt?</w:t>
      </w:r>
    </w:p>
    <w:p>
      <w:pPr>
        <w:spacing w:after="120"/>
      </w:pPr>
      <w:r>
        <w:rPr>
          <w:rFonts w:ascii="Arial" w:cs="Arial" w:eastAsia="Arial" w:hAnsi="Arial"/>
          <w:b/>
          <w:bCs/>
          <w:sz w:val="22"/>
          <w:szCs w:val="22"/>
        </w:rPr>
        <w:t xml:space="preserve">Realitätscheck: </w:t>
      </w:r>
      <w:r>
        <w:rPr>
          <w:rFonts w:ascii="Arial" w:cs="Arial" w:eastAsia="Arial" w:hAnsi="Arial"/>
          <w:sz w:val="22"/>
          <w:szCs w:val="22"/>
        </w:rPr>
        <w:t xml:space="preserve">Anders als die ASW in Wutöschingen operiert das IN-SOL-Modell unter den realen Bedingungen des BBZ: mit denselben Räumen, derselben Verwaltung, denselben Rahmenbedingungen. Was dort funktioniert, ist ein realistischer Maßstab für andere Bildungsgänge.</w:t>
      </w:r>
    </w:p>
    <w:p>
      <w:pPr>
        <w:spacing w:after="120"/>
      </w:pPr>
      <w:r>
        <w:rPr>
          <w:rFonts w:ascii="Arial" w:cs="Arial" w:eastAsia="Arial" w:hAnsi="Arial"/>
          <w:b/>
          <w:bCs/>
          <w:sz w:val="22"/>
          <w:szCs w:val="22"/>
        </w:rPr>
        <w:t xml:space="preserve">Hospitationsmöglichkeit: </w:t>
      </w:r>
      <w:r>
        <w:rPr>
          <w:rFonts w:ascii="Arial" w:cs="Arial" w:eastAsia="Arial" w:hAnsi="Arial"/>
          <w:sz w:val="22"/>
          <w:szCs w:val="22"/>
        </w:rPr>
        <w:t xml:space="preserve">Kolleg:innen können im eigenen Haus hospitieren – ohne Reisekosten und mit minimaler Hemmschwelle. Das ist Gold wert für die frühe Phase der Veränderung.</w:t>
      </w:r>
    </w:p>
    <w:p>
      <w:pPr>
        <w:spacing w:after="120"/>
      </w:pPr>
      <w:r>
        <w:rPr>
          <w:rFonts w:ascii="Arial" w:cs="Arial" w:eastAsia="Arial" w:hAnsi="Arial"/>
          <w:sz w:val="22"/>
          <w:szCs w:val="22"/>
        </w:rPr>
        <w:t xml:space="preserve">Wichtig: Die genauen Details des IN-SOL-Modells – Aufbau, Erfahrungen, Evaluationsergebnisse – müssen im Rahmen von Phase 0 systematisch erkundet werden (siehe Kapitel 4). Dieser Erkundungsprozess ist zugleich ein erster Schritt der abteilungsübergreifenden Zusammenarbeit, die für die Gesamttransformation entscheidend sein wird.</w:t>
      </w:r>
    </w:p>
    <w:p>
      <w:pPr>
        <w:pStyle w:val="Heading2"/>
      </w:pPr>
      <w:r>
        <w:t xml:space="preserve">1.5 Bestehende Profile: Digitalisierung, BNE und Zukunftsschule</w:t>
      </w:r>
    </w:p>
    <w:p>
      <w:pPr>
        <w:spacing w:after="120"/>
      </w:pPr>
      <w:r>
        <w:rPr>
          <w:rFonts w:ascii="Arial" w:cs="Arial" w:eastAsia="Arial" w:hAnsi="Arial"/>
          <w:sz w:val="22"/>
          <w:szCs w:val="22"/>
        </w:rPr>
        <w:t xml:space="preserve">Das BBZ RD-ECK verfügt neben dem IN-SOL-Modell über drei weitere strategische Anker, die das Transfervorhaben stützen und ihm zusätzliche Legitimation verleihen:</w:t>
      </w:r>
    </w:p>
    <w:p>
      <w:pPr>
        <w:spacing w:after="120"/>
      </w:pPr>
      <w:r>
        <w:rPr>
          <w:rFonts w:ascii="Arial" w:cs="Arial" w:eastAsia="Arial" w:hAnsi="Arial"/>
          <w:b/>
          <w:bCs/>
          <w:sz w:val="22"/>
          <w:szCs w:val="22"/>
        </w:rPr>
        <w:t xml:space="preserve">Modellschule „Lernen mit digitalen Medien“: </w:t>
      </w:r>
      <w:r>
        <w:rPr>
          <w:rFonts w:ascii="Arial" w:cs="Arial" w:eastAsia="Arial" w:hAnsi="Arial"/>
          <w:sz w:val="22"/>
          <w:szCs w:val="22"/>
        </w:rPr>
        <w:t xml:space="preserve">Das BBZ ist als Modellschule des Landes SH für digitales Lernen anerkannt. Die bestehende digitale Infrastruktur (Nextcloud, OnlyOffice, Geräteausstattung) und die Erfahrung im sinnvollen Einsatz digitaler Werkzeuge bilden eine ideale Grundlage für die Umsetzung von Konzepten wie Kompetenzrastern, digitalen Lernmaterialien und einer Lernplattform nach dem Vorbild von DiLer. Die Digitalisierung ist dabei kein Selbstzweck, sondern – wie an der ASW – das verbindende Werkzeug, das selbstorganisiertes Lernen erst praktisch ermöglicht.</w:t>
      </w:r>
    </w:p>
    <w:p>
      <w:pPr>
        <w:spacing w:after="120"/>
      </w:pPr>
      <w:r>
        <w:rPr>
          <w:rFonts w:ascii="Arial" w:cs="Arial" w:eastAsia="Arial" w:hAnsi="Arial"/>
          <w:b/>
          <w:bCs/>
          <w:sz w:val="22"/>
          <w:szCs w:val="22"/>
        </w:rPr>
        <w:t xml:space="preserve">BNE – SDG 4 „Hochwertige Bildung“: </w:t>
      </w:r>
      <w:r>
        <w:rPr>
          <w:rFonts w:ascii="Arial" w:cs="Arial" w:eastAsia="Arial" w:hAnsi="Arial"/>
          <w:sz w:val="22"/>
          <w:szCs w:val="22"/>
        </w:rPr>
        <w:t xml:space="preserve">Der aktuelle BNE-Schwerpunkt des BBZ liegt auf dem Nachhaltigkeitsziel 4 der Vereinten Nationen: „Inklusive, gleichberechtigte und hochwertige Bildung gewährleisten und Möglichkeiten lebenslangen Lernens für alle fördern.“ Das Transferkonzept ist im Kern eine direkte Umsetzung dieses Ziels – personalisiertes Lernen, Inklusion durch Differenzierung, Coaching statt Selektion und die Förderung von Selbstständigkeit als Schlüsselkompetenz für lebenslanges Lernen. SDG 4.7 fordert zudem, dass Lernende Kompetenzen für nachhaltige Entwicklung erwerben – genau das leistet der LdE-Flügel der Schmetterlingspädagogik durch handlungsorientiertes, erfahrungsbasiertes Lernen.</w:t>
      </w:r>
    </w:p>
    <w:p>
      <w:pPr>
        <w:spacing w:after="120"/>
      </w:pPr>
      <w:r>
        <w:rPr>
          <w:rFonts w:ascii="Arial" w:cs="Arial" w:eastAsia="Arial" w:hAnsi="Arial"/>
          <w:b/>
          <w:bCs/>
          <w:sz w:val="22"/>
          <w:szCs w:val="22"/>
        </w:rPr>
        <w:t xml:space="preserve">Zukunftsschule SH: </w:t>
      </w:r>
      <w:r>
        <w:rPr>
          <w:rFonts w:ascii="Arial" w:cs="Arial" w:eastAsia="Arial" w:hAnsi="Arial"/>
          <w:sz w:val="22"/>
          <w:szCs w:val="22"/>
        </w:rPr>
        <w:t xml:space="preserve">Das Siegel „Zukunftsschule“ belegt, dass das BBZ bereits einen anerkannten Schulentwicklungsprozess durchläuft. Die Transformation hin zu mehr Selbstorganisation und Lernbegleitung ist die logische Fortführung dieses Weges – kein Bruch, sondern eine Vertiefung.</w:t>
      </w:r>
    </w:p>
    <w:p>
      <w:pPr>
        <w:spacing w:after="120"/>
      </w:pPr>
      <w:r>
        <w:rPr>
          <w:rFonts w:ascii="Arial" w:cs="Arial" w:eastAsia="Arial" w:hAnsi="Arial"/>
          <w:sz w:val="22"/>
          <w:szCs w:val="22"/>
        </w:rPr>
        <w:t xml:space="preserve">Diese drei Profile zeigen: Das BBZ RD-ECK ist keine Schule, die bei Null anfängt. Es ist eine Schule, die bereits auf dem Weg ist – und der Transfer der ASW-Prinzipien fügt sich organisch in die bestehende Entwicklungsrichtung ein.</w:t>
      </w:r>
    </w:p>
    <w:p>
      <w:r>
        <w:br w:type="page"/>
      </w:r>
    </w:p>
    <w:p>
      <w:pPr>
        <w:pStyle w:val="Heading1"/>
      </w:pPr>
      <w:r>
        <w:t xml:space="preserve">2. Herausforderungen bei der Übertragung auf ein BBZ</w:t>
      </w:r>
    </w:p>
    <w:p>
      <w:pPr>
        <w:spacing w:after="120"/>
      </w:pPr>
      <w:r>
        <w:rPr>
          <w:rFonts w:ascii="Arial" w:cs="Arial" w:eastAsia="Arial" w:hAnsi="Arial"/>
          <w:sz w:val="22"/>
          <w:szCs w:val="22"/>
        </w:rPr>
        <w:t xml:space="preserve">Ein BBZ mit seinen vielen Schulformen unterscheidet sich fundamental von einer Gemeinschaftsschule. Gleichzeitig verfügt das BBZ RD-ECK mit dem bestehenden SOL-Modell bei den Industriekaufleuten über einen internen Erfahrungsschatz, der die Übertragung erleichtert. Die folgende Analyse identifiziert die wichtigsten Spannungsfelder:</w:t>
      </w:r>
    </w:p>
    <w:p>
      <w:pPr>
        <w:pStyle w:val="Heading2"/>
      </w:pPr>
      <w:r>
        <w:t xml:space="preserve">2.1 Strukturelle Komplexität</w:t>
      </w:r>
    </w:p>
    <w:p>
      <w:pPr>
        <w:spacing w:after="120"/>
      </w:pPr>
      <w:r>
        <w:rPr>
          <w:rFonts w:ascii="Arial" w:cs="Arial" w:eastAsia="Arial" w:hAnsi="Arial"/>
          <w:sz w:val="22"/>
          <w:szCs w:val="22"/>
        </w:rPr>
        <w:t xml:space="preserve">Das BBZ RD-ECK umfasst zahlreiche Schulformen: Berufliches Gymnasium (BG), Berufsfachschule (BFS), Fachoberschule (FOS), Berufsoberschule (BOS), duale Ausbildung, Ausbildungsvorbereitung und Fachschulen (z. B. Erzieher:innenausbildung). Dazu kommt das AV-System. Jede Schulform hat eigene Prüfungsordnungen, Stundentafeln und curriculare Vorgaben. Die ASW hingegen arbeitet als einheitliche Gemeinschaftsschule.</w:t>
      </w:r>
    </w:p>
    <w:p>
      <w:pPr>
        <w:pStyle w:val="Heading2"/>
      </w:pPr>
      <w:r>
        <w:t xml:space="preserve">2.2 Duale Ausbildung</w:t>
      </w:r>
    </w:p>
    <w:p>
      <w:pPr>
        <w:spacing w:after="120"/>
      </w:pPr>
      <w:r>
        <w:rPr>
          <w:rFonts w:ascii="Arial" w:cs="Arial" w:eastAsia="Arial" w:hAnsi="Arial"/>
          <w:sz w:val="22"/>
          <w:szCs w:val="22"/>
        </w:rPr>
        <w:t xml:space="preserve">Schüler:innen im dualen System sind nur an 1–2 Tagen pro Woche am BBZ. Selbstorganisiertes Lernen funktioniert hier anders als bei Vollzeitschüler:innen – die Betriebe sind als Lernort bereits fest etabliert.</w:t>
      </w:r>
    </w:p>
    <w:p>
      <w:pPr>
        <w:pStyle w:val="Heading2"/>
      </w:pPr>
      <w:r>
        <w:t xml:space="preserve">2.3 Externe Prüfungen</w:t>
      </w:r>
    </w:p>
    <w:p>
      <w:pPr>
        <w:spacing w:after="120"/>
      </w:pPr>
      <w:r>
        <w:rPr>
          <w:rFonts w:ascii="Arial" w:cs="Arial" w:eastAsia="Arial" w:hAnsi="Arial"/>
          <w:sz w:val="22"/>
          <w:szCs w:val="22"/>
        </w:rPr>
        <w:t xml:space="preserve">Kammerprüfungen (IHK, HWK) und zentrale Abschlussprüfungen setzen enge inhaltliche und zeitliche Vorgaben. Der Spielraum für alternative Leistungsdokumentation ist begrenzter als bei einer Gemeinschaftsschule.</w:t>
      </w:r>
    </w:p>
    <w:p>
      <w:pPr>
        <w:pStyle w:val="Heading2"/>
      </w:pPr>
      <w:r>
        <w:t xml:space="preserve">2.4 Heterogenität der Lernenden</w:t>
      </w:r>
    </w:p>
    <w:p>
      <w:pPr>
        <w:spacing w:after="120"/>
      </w:pPr>
      <w:r>
        <w:rPr>
          <w:rFonts w:ascii="Arial" w:cs="Arial" w:eastAsia="Arial" w:hAnsi="Arial"/>
          <w:sz w:val="22"/>
          <w:szCs w:val="22"/>
        </w:rPr>
        <w:t xml:space="preserve">Die Altersspanne reicht von 15 bis über 50 Jahre. Die Lernvoraussetzungen, die Motivation und die Lebenssituationen sind extrem unterschiedlich. Das Graduierungssystem der ASW muss entsprechend angepasst werden.</w:t>
      </w:r>
    </w:p>
    <w:p>
      <w:pPr>
        <w:pStyle w:val="Heading2"/>
      </w:pPr>
      <w:r>
        <w:t xml:space="preserve">2.5 Räumliche und finanzielle Rahmenbedingungen</w:t>
      </w:r>
    </w:p>
    <w:p>
      <w:pPr>
        <w:spacing w:after="120"/>
      </w:pPr>
      <w:r>
        <w:rPr>
          <w:rFonts w:ascii="Arial" w:cs="Arial" w:eastAsia="Arial" w:hAnsi="Arial"/>
          <w:sz w:val="22"/>
          <w:szCs w:val="22"/>
        </w:rPr>
        <w:t xml:space="preserve">Bestehende Schulgebäude lassen sich nicht so einfach radikal umbauen wie in Wutöschingen, wo die Gemeinde die Schule massiv unterstützte. Ein schrittweiser Umbau einzelner Bereiche ist realistischer.</w:t>
      </w:r>
    </w:p>
    <w:p>
      <w:pPr>
        <w:pStyle w:val="Heading2"/>
      </w:pPr>
      <w:r>
        <w:t xml:space="preserve">2.6 Rechtlicher Rahmen in Schleswig-Holstein</w:t>
      </w:r>
    </w:p>
    <w:p>
      <w:pPr>
        <w:spacing w:after="120"/>
      </w:pPr>
      <w:r>
        <w:rPr>
          <w:rFonts w:ascii="Arial" w:cs="Arial" w:eastAsia="Arial" w:hAnsi="Arial"/>
          <w:sz w:val="22"/>
          <w:szCs w:val="22"/>
        </w:rPr>
        <w:t xml:space="preserve">Die Experimentierklausel des Landes SH eröffnet seit 2023/24 gezielt Freiräume für Schulentwicklung – einschließlich BBZs. Über 200 Schulentwicklungsimpulse wurden eingereicht. Das Ministerium betont, dass viele innovative Ideen bereits heute ohne weitere Genehmigung umsetzbar seien. Für weitergehende Konzepte können Schulversuche beantragt werden.</w:t>
      </w:r>
    </w:p>
    <w:p>
      <w:r>
        <w:br w:type="page"/>
      </w:r>
    </w:p>
    <w:p>
      <w:pPr>
        <w:pStyle w:val="Heading1"/>
      </w:pPr>
      <w:r>
        <w:t xml:space="preserve">3. Adaptionsstrategie: Nicht kopieren, sondern übersetzen</w:t>
      </w:r>
    </w:p>
    <w:p>
      <w:pPr>
        <w:spacing w:after="120"/>
      </w:pPr>
      <w:r>
        <w:rPr>
          <w:rFonts w:ascii="Arial" w:cs="Arial" w:eastAsia="Arial" w:hAnsi="Arial"/>
          <w:sz w:val="22"/>
          <w:szCs w:val="22"/>
        </w:rPr>
        <w:t xml:space="preserve">Die Kernbotschaft: Es geht nicht darum, die ASW 1:1 zu kopieren. Es geht darum, die Prinzipien und Haltungen zu übertragen und für die Besonderheiten beruflicher Bildung zu adaptieren. Die ASW selbst brauchte über 15 Jahre für ihre Transformation – ein BBZ mit seiner Komplexität braucht einen klugen Stufenplan. Der entscheidende Unterschied: Das BBZ RD-ECK startet nicht bei Null. Das IN-SOL-Modell, der Status als Modellschule für digitales Lernen, das Zukunftsschule-Siegel und der BNE-Schwerpunkt auf SDG 4 bilden zusammen ein tragfähiges Fundament.</w:t>
      </w:r>
    </w:p>
    <w:p>
      <w:pPr>
        <w:spacing w:after="120"/>
      </w:pPr>
      <w:r>
        <w:rPr>
          <w:rFonts w:ascii="Arial" w:cs="Arial" w:eastAsia="Arial" w:hAnsi="Arial"/>
          <w:sz w:val="22"/>
          <w:szCs w:val="22"/>
        </w:rPr>
        <w:t xml:space="preserve">Die folgenden fünf Prinzipien sind nicht verhandelbar:</w:t>
      </w:r>
    </w:p>
    <w:p>
      <w:pPr>
        <w:spacing w:after="120"/>
      </w:pPr>
      <w:r>
        <w:rPr>
          <w:rFonts w:ascii="Arial" w:cs="Arial" w:eastAsia="Arial" w:hAnsi="Arial"/>
          <w:b/>
          <w:bCs/>
          <w:sz w:val="22"/>
          <w:szCs w:val="22"/>
        </w:rPr>
        <w:t xml:space="preserve">1. Haltungswandel vor Strukturwandel: </w:t>
      </w:r>
      <w:r>
        <w:rPr>
          <w:rFonts w:ascii="Arial" w:cs="Arial" w:eastAsia="Arial" w:hAnsi="Arial"/>
          <w:sz w:val="22"/>
          <w:szCs w:val="22"/>
        </w:rPr>
        <w:t xml:space="preserve">Bevor Räume umgebaut werden, muss sich die Haltung ändern – vom Belehren zum Begleiten, vom Kontrollieren zum Vertrauen.</w:t>
      </w:r>
    </w:p>
    <w:p>
      <w:pPr>
        <w:spacing w:after="120"/>
      </w:pPr>
      <w:r>
        <w:rPr>
          <w:rFonts w:ascii="Arial" w:cs="Arial" w:eastAsia="Arial" w:hAnsi="Arial"/>
          <w:b/>
          <w:bCs/>
          <w:sz w:val="22"/>
          <w:szCs w:val="22"/>
        </w:rPr>
        <w:t xml:space="preserve">2. Von innen nach außen: </w:t>
      </w:r>
      <w:r>
        <w:rPr>
          <w:rFonts w:ascii="Arial" w:cs="Arial" w:eastAsia="Arial" w:hAnsi="Arial"/>
          <w:sz w:val="22"/>
          <w:szCs w:val="22"/>
        </w:rPr>
        <w:t xml:space="preserve">Zuerst die eigenen Erfahrungen (IN-SOL) verstehen und würdigen, dann externe Impulse (ASW, Materialnetzwerk) integrieren.</w:t>
      </w:r>
    </w:p>
    <w:p>
      <w:pPr>
        <w:spacing w:after="120"/>
      </w:pPr>
      <w:r>
        <w:rPr>
          <w:rFonts w:ascii="Arial" w:cs="Arial" w:eastAsia="Arial" w:hAnsi="Arial"/>
          <w:b/>
          <w:bCs/>
          <w:sz w:val="22"/>
          <w:szCs w:val="22"/>
        </w:rPr>
        <w:t xml:space="preserve">3. Klein anfangen, groß denken: </w:t>
      </w:r>
      <w:r>
        <w:rPr>
          <w:rFonts w:ascii="Arial" w:cs="Arial" w:eastAsia="Arial" w:hAnsi="Arial"/>
          <w:sz w:val="22"/>
          <w:szCs w:val="22"/>
        </w:rPr>
        <w:t xml:space="preserve">Pilotprojekte in einzelnen Bildungsgängen, nicht flächendeckende Revolution.</w:t>
      </w:r>
    </w:p>
    <w:p>
      <w:pPr>
        <w:spacing w:after="120"/>
      </w:pPr>
      <w:r>
        <w:rPr>
          <w:rFonts w:ascii="Arial" w:cs="Arial" w:eastAsia="Arial" w:hAnsi="Arial"/>
          <w:b/>
          <w:bCs/>
          <w:sz w:val="22"/>
          <w:szCs w:val="22"/>
        </w:rPr>
        <w:t xml:space="preserve">4. Evidenzbasiert skalieren: </w:t>
      </w:r>
      <w:r>
        <w:rPr>
          <w:rFonts w:ascii="Arial" w:cs="Arial" w:eastAsia="Arial" w:hAnsi="Arial"/>
          <w:sz w:val="22"/>
          <w:szCs w:val="22"/>
        </w:rPr>
        <w:t xml:space="preserve">Was funktioniert, wird ausgeweitet. Was nicht funktioniert, wird angepasst oder verworfen.</w:t>
      </w:r>
    </w:p>
    <w:p>
      <w:pPr>
        <w:spacing w:after="120"/>
      </w:pPr>
      <w:r>
        <w:rPr>
          <w:rFonts w:ascii="Arial" w:cs="Arial" w:eastAsia="Arial" w:hAnsi="Arial"/>
          <w:b/>
          <w:bCs/>
          <w:sz w:val="22"/>
          <w:szCs w:val="22"/>
        </w:rPr>
        <w:t xml:space="preserve">5. Konsequenz in der Vision: </w:t>
      </w:r>
      <w:r>
        <w:rPr>
          <w:rFonts w:ascii="Arial" w:cs="Arial" w:eastAsia="Arial" w:hAnsi="Arial"/>
          <w:sz w:val="22"/>
          <w:szCs w:val="22"/>
        </w:rPr>
        <w:t xml:space="preserve">Das Ziel der Transformation muss als Rahmen für pädagogisches, strategisches wie organisatorisches Handeln gesetzt werden.</w:t>
      </w:r>
    </w:p>
    <w:p>
      <w:r>
        <w:br w:type="page"/>
      </w:r>
    </w:p>
    <w:p>
      <w:pPr>
        <w:pStyle w:val="Heading1"/>
      </w:pPr>
      <w:r>
        <w:t xml:space="preserve">4. Stufenplan: 5 Phasen der Transformation</w:t>
      </w:r>
    </w:p>
    <w:p>
      <w:pPr>
        <w:pStyle w:val="Heading2"/>
      </w:pPr>
      <w:r>
        <w:t xml:space="preserve">Phase 0: Fundament legen (Monate 1–6)</w:t>
      </w:r>
    </w:p>
    <w:p>
      <w:pPr>
        <w:spacing w:after="120"/>
      </w:pPr>
      <w:r>
        <w:rPr>
          <w:rFonts w:ascii="Arial" w:cs="Arial" w:eastAsia="Arial" w:hAnsi="Arial"/>
          <w:sz w:val="22"/>
          <w:szCs w:val="22"/>
        </w:rPr>
        <w:t xml:space="preserve">Bevor irgendetwas Sichtbares passiert, wird das Fundament gelegt. Diese Phase ist die wichtigste und wird am häufigsten übersprungen – mit fatalen Folgen.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Kernteam bilden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 Steuergruppe aus 5–8 Personen: Schulleitung, engagierte Lehrkräfte aus verschiedenen Abteilungen (unbedingt auch aus der IN-Abteilung!), ggf. Sozialpädagog:innen, IT-Koordination. Freiwilligkeit ist Pflicht – niemand wird „abkommandiert“.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IN-SOL erkunden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Allererster Schritt: Systematisch das bestehende SOL-Modell bei den Industriekaufleuten erkunden. Gespräche mit den beteiligten Lehrkräften führen, im Unterricht hospitieren, Materialien sichten. Leitfragen: Seit wann läuft das Modell? Wie ist es organisiert (Kompetenzraster, Lernbegleitung, Räume, digitale Tools)? Welche Ergebnisse gibt es? Was würden die Kolleg:innen rückblickend anders machen? Dieser Schritt liefert den internen Proof of Concept und erzeugt gleichzeitig die erste abteilungsübergreifende Verbindung.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Hospitieren (extern)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Besuchstag an der Alemannenschule Wutöschingen nutzen (monatlich möglich). Zusätzlich andere innovative Schulen besuchen, insbesondere berufliche Schulen mit SoL-Konzepten (z. B. BBS Osterholz-Scharmbeck, OS Landau). Das IQSH kann Kontakte vermitteln. Wichtig: Immer mit der internen IN-Erfahrung abgleichen – was lässt sich übertragen, was nicht?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Lesen &amp; Studieren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Stefan Ruppaners Buch „Das könnte Schule machen“ (2025) als gemeinsame Lektüre im Kernteam. Ergänzend: Herold/Herold „Selbstorganisiertes Lernen in Schule und Beruf“, den ARD-Podcast mit Ruppaner anhören.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Bestandsaufnahme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Ehrliche Analyse: Was funktioniert bereits gut? Wo gibt es Leidensdruck? Welche Bildungsgänge sind offen für Experimente? Welche räumlichen Möglichkeiten bestehen? Wie ist die digitale Infrastruktur?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Vision formulieren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Gemeinsames Leitbild für das BBZ der Zukunft: Nicht als fertiges Dokument, sondern als „levende“ Orientierung. Was sollen unsere Absolvent:innen können? Welche Haltung prägt unser Haus?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Experimentierklausel</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Prüfen, welche Vorhaben unter die Experimentierklausel SH fallen. Kontakt zum IQSH und zur Schulaufsicht aufnehmen. Viele Ideen sind bereits ohne Genehmigung umsetzbar.</w:t>
            </w:r>
          </w:p>
        </w:tc>
      </w:tr>
    </w:tbl>
    <w:p>
      <w:pPr>
        <w:spacing w:before="400"/>
      </w:pPr>
    </w:p>
    <w:p>
      <w:pPr>
        <w:pStyle w:val="Heading2"/>
      </w:pPr>
      <w:r>
        <w:t xml:space="preserve">Phase 1: Pilotprojekt starten (Monate 6–18)</w:t>
      </w:r>
    </w:p>
    <w:p>
      <w:pPr>
        <w:spacing w:after="120"/>
      </w:pPr>
      <w:r>
        <w:rPr>
          <w:rFonts w:ascii="Arial" w:cs="Arial" w:eastAsia="Arial" w:hAnsi="Arial"/>
          <w:sz w:val="22"/>
          <w:szCs w:val="22"/>
        </w:rPr>
        <w:t xml:space="preserve">Ein bis zwei Vollzeitbildungsgänge werden als Piloten ausgewählt. Die Wahl fällt auf Bildungsgänge, in denen das Kollegium motiviert ist und die strukturell Spielraum bieten. Die Lehrkräfte aus dem IN-SOL-Modell fungieren dabei als interne Berater:innen und Erfahrungsgeber:innen.</w:t>
      </w:r>
    </w:p>
    <w:p>
      <w:pPr>
        <w:spacing w:after="100" w:before="200"/>
      </w:pPr>
      <w:r>
        <w:rPr>
          <w:rFonts w:ascii="Arial" w:cs="Arial" w:eastAsia="Arial" w:hAnsi="Arial"/>
          <w:b/>
          <w:bCs/>
          <w:sz w:val="24"/>
          <w:szCs w:val="24"/>
        </w:rPr>
        <w:t xml:space="preserve">Empfohlene Pilotbereiche am BBZ RD-ECK</w:t>
      </w:r>
    </w:p>
    <w:p>
      <w:pPr>
        <w:spacing w:after="120"/>
      </w:pPr>
      <w:r>
        <w:rPr>
          <w:rFonts w:ascii="Arial" w:cs="Arial" w:eastAsia="Arial" w:hAnsi="Arial"/>
          <w:b/>
          <w:bCs/>
          <w:sz w:val="22"/>
          <w:szCs w:val="22"/>
        </w:rPr>
        <w:t xml:space="preserve">Empfehlung 1 – SPA-Ausbildung (Vollzeit): </w:t>
      </w:r>
      <w:r>
        <w:rPr>
          <w:rFonts w:ascii="Arial" w:cs="Arial" w:eastAsia="Arial" w:hAnsi="Arial"/>
          <w:sz w:val="22"/>
          <w:szCs w:val="22"/>
        </w:rPr>
        <w:t xml:space="preserve">Hoher Anteil an Projektarbeit, handlungsorientierter Unterricht bereits verankert, überschaubare Gruppengrößen, starker Praxisbezug durch Praktika. Die SPA-Ausbildung bietet sich als Pilotbereich besonders an, weil hier die „Schmetterlingspädagogik“ unmittelbar anschlussfähig ist.</w:t>
      </w:r>
    </w:p>
    <w:p>
      <w:pPr>
        <w:spacing w:after="120"/>
      </w:pPr>
      <w:r>
        <w:rPr>
          <w:rFonts w:ascii="Arial" w:cs="Arial" w:eastAsia="Arial" w:hAnsi="Arial"/>
          <w:b/>
          <w:bCs/>
          <w:sz w:val="22"/>
          <w:szCs w:val="22"/>
        </w:rPr>
        <w:t xml:space="preserve">Empfehlung 2 – Weitere Vollzeitschulformen: </w:t>
      </w:r>
      <w:r>
        <w:rPr>
          <w:rFonts w:ascii="Arial" w:cs="Arial" w:eastAsia="Arial" w:hAnsi="Arial"/>
          <w:sz w:val="22"/>
          <w:szCs w:val="22"/>
        </w:rPr>
        <w:t xml:space="preserve">BFS, FOS oder einzelne Profile des BG. Vollzeitschüler:innen haben die nötige Präsenzzeit für Lernateliers und SoL-Blöcke. Möglich wäre z. B. ein BG-Profil (Gesundheit, Pädagogik/Psychologie) oder eine BFS-Klasse als Pilotprojekt.</w:t>
      </w:r>
    </w:p>
    <w:p>
      <w:pPr>
        <w:spacing w:after="120"/>
      </w:pPr>
      <w:r>
        <w:rPr>
          <w:rFonts w:ascii="Arial" w:cs="Arial" w:eastAsia="Arial" w:hAnsi="Arial"/>
          <w:b/>
          <w:bCs/>
          <w:sz w:val="22"/>
          <w:szCs w:val="22"/>
        </w:rPr>
        <w:t xml:space="preserve">Perspektive – Duale Ausbildung (Ausbau): </w:t>
      </w:r>
      <w:r>
        <w:rPr>
          <w:rFonts w:ascii="Arial" w:cs="Arial" w:eastAsia="Arial" w:hAnsi="Arial"/>
          <w:sz w:val="22"/>
          <w:szCs w:val="22"/>
        </w:rPr>
        <w:t xml:space="preserve">Das bestehende IN-SOL-Modell dient als Blaupause für weitere duale Bildungsgänge. Hier geht es weniger um einen neuen Piloten als um systematischen Transfer der IN-Erfahrungen auf andere Ausbildungsberufe.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Räume schaffen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Einen bestehenden Raum oder Raumverbund zum „Lernatelier“ umgestalten: individuelle Arbeitsplätze, Flüsterkultur, dazu ein angrenzender kooperativer Bereich („Marktplatz“). Kein Komplettumbau nötig – Möbel umstellen, Trennwände, Sofas, Regalteiler. Der Raum als „dritter Pädagoge“.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Kompetenzraster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Für den Pilotbildungsgang Kompetenzraster entwickeln, die die Lehrplanvorgaben abbilden. Erste Orientierung: Wie hat die IN-Abteilung ihre Raster aufgebaut? Ergänzend das Materialnetzwerk eG (asw-wutoeschingen.de) sichten. Raster machen den Lernstand für alle Beteiligten transparent.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Lernplattform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Als Modellschule für digitales Lernen verfügt das BBZ über ideale Voraussetzungen: Die bestehende Nextcloud-Infrastruktur (cloud.bbz-rd-eck.de) mit strukturierten Lernmaterialien befüllen. Alternativ DiLer evaluieren (Open Source) oder eine Kombination mit Nextcloud + OnlyOffice als kollaborative Arbeitsumgebung nutzen. Kompetenzraster können digital abgebildet und Lernfortschritte transparent gemacht werden.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Coaching einführen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Lehrkräfte im Pilot erhalten regelmäßige Coaching-Zeiten im Deputat. Ziel: Jede Schülerin/jeder Schüler hat mind. 1x pro Woche ein persönliches Gespräch mit einer Lernbegleitung. Training für Coaching-Kompetenzen organisieren (z. B. über IQSH-Fortbildungen).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SoL-Phasen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Klassischen Stundenplan aufbrechen: z. B. 2–3 Doppelstunden pro Woche als SoL-Blöcke, in denen die Lernenden selbstorganisiert an ihren Kompetenzrastern arbeiten. Inputs auf max. 20 Minuten reduzieren.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Dokumentation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Von Anfang an systematisch dokumentieren: Erfolge, Herausforderungen, Schüler:innen-Feedback, Lehrkräfte-Reflexionen. Das wird für spätere Skalierung und für die Experimentierklausel-Berichterstattung gebraucht.</w:t>
            </w:r>
          </w:p>
        </w:tc>
      </w:tr>
    </w:tbl>
    <w:p>
      <w:pPr>
        <w:spacing w:before="400"/>
      </w:pPr>
    </w:p>
    <w:p>
      <w:pPr>
        <w:pStyle w:val="Heading2"/>
      </w:pPr>
      <w:r>
        <w:t xml:space="preserve">Phase 2: Vertiefen und Anpassen (Monate 18–30)</w:t>
      </w:r>
    </w:p>
    <w:p>
      <w:pPr>
        <w:spacing w:after="120"/>
      </w:pPr>
      <w:r>
        <w:rPr>
          <w:rFonts w:ascii="Arial" w:cs="Arial" w:eastAsia="Arial" w:hAnsi="Arial"/>
          <w:sz w:val="22"/>
          <w:szCs w:val="22"/>
        </w:rPr>
        <w:t xml:space="preserve">In dieser Phase wird das Pilotprojekt ausgewertet, angepasst und auf weitere Elemente erweitert.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Evaluation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Systematische Auswertung: Lernergebnisse im Vergleich zu Parallelklassen, Zufriedenheit der Lernenden und Lehrkräfte, Selbstständigkeitsentwicklung, Praktikums-Feedback. Das IQSH kann bei der wissenschaftlichen Begleitung unterstützen.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LdE integrieren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 zweiten Schmetterlings-Flügel stärken: Lernen durch Erleben systematisch einbinden. Für die SPA z. B. regelmäßige Praxisprojekte in Kitas, Jugendeinrichtungen oder Seniorenheimen. Club-ähnliche Formate an Nachmittagen (dreistündige Projekte, trimesterweise wechselnd). Hier liegt auch die natürliche Verbindung zum BNE-Schwerpunkt: Handlungsorientiertes Lernen in realen Kontexten ist gelebte Bildung für nachhaltige Entwicklung (SDG 4.7).</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Graduierungssystem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 an das BBZ angepasstes Stufensystem entwickeln: z. B. „Einsteiger → Lerngestalter → Lernprofi → Lernexperte“. Jede Stufe bringt mehr Freiheiten (Lernortwahl, Zeitgestaltung) und mehr Verantwortung. Bewertung durch die Lernbegleiter:innen.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Digitalisierung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Lernmaterialien systematisch digitalisieren und auf der Plattform verfügbar machen. Kompetenzraster digital abbilden. Lernfortschritte für Lernende, Lehrkräfte und ggf. Ausbildungsbetriebe transparent machen.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Kollegium mitnehmen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Regelmäßige offene Hospitationen im Pilotbereich anbieten. Mikro-Fortbildungen („Peer-Teaching“) durch die Pilot-Lehrkräfte. Keine Zwangsrekrutierung – das Interesse entsteht durch sichtbare Erfolge.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Kontakt zum Materialnetzwerk eG aufnehmen. Austausch mit anderen innovativen Beruflichen Schulen in SH und bundesweit.</w:t>
            </w:r>
          </w:p>
        </w:tc>
      </w:tr>
    </w:tbl>
    <w:p>
      <w:pPr>
        <w:spacing w:before="400"/>
      </w:pPr>
    </w:p>
    <w:p>
      <w:pPr>
        <w:pStyle w:val="Heading2"/>
      </w:pPr>
      <w:r>
        <w:t xml:space="preserve">Phase 3: Skalieren (Monate 30–48)</w:t>
      </w:r>
    </w:p>
    <w:p>
      <w:pPr>
        <w:spacing w:after="120"/>
      </w:pPr>
      <w:r>
        <w:rPr>
          <w:rFonts w:ascii="Arial" w:cs="Arial" w:eastAsia="Arial" w:hAnsi="Arial"/>
          <w:sz w:val="22"/>
          <w:szCs w:val="22"/>
        </w:rPr>
        <w:t xml:space="preserve">Bewährte Elemente werden auf weitere Bildungsgänge übertragen. Dabei wird differenziert: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Vollzeitbildungs-gänge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BG, BFS, FOS: Hier ist die Übertragung am einfachsten. Lernateliers, Coaching, SoL-Blöcke und Kompetenzraster können relativ direkt übernommen werden. Die konkreten Raster müssen bildungsgangspezifisch entwickelt werden.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Duale Ausbildung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 ist die Adaption am anspruchsvollsten. Ansätze: SoL-Phasen am Berufsschultag, digitale Lernmaterialien für die Betriebsphase, Coaching-Gespräche vor Prüfungen, kooperative Projekte zwischen Schule und Betrieb. Lernvereinbarungen (SIQUA-Modell) können Orientierung bieten.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Räumliches Gesamt-konzept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Schrittweiser Umbau weiterer Bereiche: Mindestens ein Lernatelier pro Gebäudeflügel, flexible Möblierung in allen Fachbereichen, Kooperationsflächen. Absprache mit dem Schulträger (Kreis RD-ECK) über Umbau-Priorisierung.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Fortbildungskonzept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Systematisches Fortbildungsprogramm: Coaching-Kompetenz, Lernbegleitung, Umgang mit Kompetenzrastern, digitale Tools. IQSH als Partner, ggf. Kontakt zur Alemannenschule für Fortbildungsformate.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Schulentwicklungs-gruppe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Aus der Steuergruppe wird eine permanente Schulentwicklungsgruppe mit Vertreter:innen aller Abteilungen. Quartalsweise Reflexion und Anpassung.</w:t>
            </w:r>
          </w:p>
        </w:tc>
      </w:tr>
    </w:tbl>
    <w:p>
      <w:pPr>
        <w:spacing w:before="400"/>
      </w:pPr>
    </w:p>
    <w:p>
      <w:pPr>
        <w:pStyle w:val="Heading2"/>
      </w:pPr>
      <w:r>
        <w:t xml:space="preserve">Phase 4: Verstetigen und Verbreiten (ab Monat 48)</w:t>
      </w:r>
    </w:p>
    <w:p>
      <w:pPr>
        <w:spacing w:after="120"/>
      </w:pPr>
      <w:r>
        <w:rPr>
          <w:rFonts w:ascii="Arial" w:cs="Arial" w:eastAsia="Arial" w:hAnsi="Arial"/>
          <w:sz w:val="22"/>
          <w:szCs w:val="22"/>
        </w:rPr>
        <w:t xml:space="preserve">Die Veränderungen werden zur neuen Normalität. Das BBZ positioniert sich als innovativer Lernort.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Leitbild-Update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 Schul-Leitbild spiegelt die neue Lernkultur wider. Die Veränderung ist nicht mehr „Projekt“, sondern DNA der Schule.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Qualitätssicherung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Regelmäßige Evaluation: Absolvent:innen-Befragung, Betriebsbefragungen, Vergleich der Prüfungsergebnisse, Zufriedenheitsbefragungen.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Öffentlichkeit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Eigene Besuchstage anbieten (wie die ASW), Erfahrungen publizieren, bei regionalen und überregionalen Tagungen präsentieren. Die bestehenden Siegel (Zukunftsschule, Modellschule digitales Lernen) und der BNE-Schwerpunkt erhöhen die Sichtbarkeit. Potenzial: Bewerbung für den Deutschen Schulpreis.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Netzwerkarbeit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Aktive Beteiligung am Materialnetzwerk eG oder Gründung eines norddeutschen Pendants für berufliche Schulen.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Neue Lehrkräfte werden von Anfang an in die Lernbegleiter-Kultur eingeführt. Das ist entscheidend für Nachhaltigkeit.</w:t>
            </w:r>
          </w:p>
        </w:tc>
      </w:tr>
    </w:tbl>
    <w:p>
      <w:r>
        <w:br w:type="page"/>
      </w:r>
    </w:p>
    <w:p>
      <w:pPr>
        <w:pStyle w:val="Heading1"/>
      </w:pPr>
      <w:r>
        <w:t xml:space="preserve">5. Quick Wins: Was sofort möglich ist</w:t>
      </w:r>
    </w:p>
    <w:p>
      <w:pPr>
        <w:spacing w:after="120"/>
      </w:pPr>
      <w:r>
        <w:rPr>
          <w:rFonts w:ascii="Arial" w:cs="Arial" w:eastAsia="Arial" w:hAnsi="Arial"/>
          <w:sz w:val="22"/>
          <w:szCs w:val="22"/>
        </w:rPr>
        <w:t xml:space="preserve">Nicht alles braucht Genehmigungen und Umbauten. Folgende Maßnahmen können sofort oder sehr kurzfristig umgesetzt werden:</w:t>
      </w:r>
    </w:p>
    <w:p>
      <w:pPr>
        <w:spacing w:after="120"/>
      </w:pPr>
      <w:r>
        <w:rPr>
          <w:rFonts w:ascii="Arial" w:cs="Arial" w:eastAsia="Arial" w:hAnsi="Arial"/>
          <w:b/>
          <w:bCs/>
          <w:sz w:val="22"/>
          <w:szCs w:val="22"/>
        </w:rPr>
        <w:t xml:space="preserve">Coaching-Gespräche: </w:t>
      </w:r>
      <w:r>
        <w:rPr>
          <w:rFonts w:ascii="Arial" w:cs="Arial" w:eastAsia="Arial" w:hAnsi="Arial"/>
          <w:sz w:val="22"/>
          <w:szCs w:val="22"/>
        </w:rPr>
        <w:t xml:space="preserve">Regelmäßige Einzelgespräche mit Schüler:innen über Lernfortschritt und Ziele – das geht in jeder Unterrichtsform und kostet nur die Bereitschaft, Zeit anders zu nutzen. Wir haben hier gerade in die Fortbildung vieler Kolleg:innen zu Lerncoaches investiert.</w:t>
      </w:r>
    </w:p>
    <w:p>
      <w:pPr>
        <w:spacing w:after="120"/>
      </w:pPr>
      <w:r>
        <w:rPr>
          <w:rFonts w:ascii="Arial" w:cs="Arial" w:eastAsia="Arial" w:hAnsi="Arial"/>
          <w:b/>
          <w:bCs/>
          <w:sz w:val="22"/>
          <w:szCs w:val="22"/>
        </w:rPr>
        <w:t xml:space="preserve">Input-Phasen verkürzen: </w:t>
      </w:r>
      <w:r>
        <w:rPr>
          <w:rFonts w:ascii="Arial" w:cs="Arial" w:eastAsia="Arial" w:hAnsi="Arial"/>
          <w:sz w:val="22"/>
          <w:szCs w:val="22"/>
        </w:rPr>
        <w:t xml:space="preserve">Frontalanteile auf max. 20–45 Minuten reduzieren, danach in SoL-Phasen übergehen. Ruppaner sagt: „Je weniger Unterricht, desto besser die Ergebnisse.“</w:t>
      </w:r>
    </w:p>
    <w:p>
      <w:pPr>
        <w:spacing w:after="120"/>
      </w:pPr>
      <w:r>
        <w:rPr>
          <w:rFonts w:ascii="Arial" w:cs="Arial" w:eastAsia="Arial" w:hAnsi="Arial"/>
          <w:b/>
          <w:bCs/>
          <w:sz w:val="22"/>
          <w:szCs w:val="22"/>
        </w:rPr>
        <w:t xml:space="preserve">Raumgestaltung im Kleinen: </w:t>
      </w:r>
      <w:r>
        <w:rPr>
          <w:rFonts w:ascii="Arial" w:cs="Arial" w:eastAsia="Arial" w:hAnsi="Arial"/>
          <w:sz w:val="22"/>
          <w:szCs w:val="22"/>
        </w:rPr>
        <w:t xml:space="preserve">Sofas, Regalteiler, Steharbeitsplätze – schon kleine Veränderungen im Raum senden ein Signal und verändern die Lernkultur.</w:t>
      </w:r>
    </w:p>
    <w:p>
      <w:pPr>
        <w:spacing w:after="120"/>
      </w:pPr>
      <w:r>
        <w:rPr>
          <w:rFonts w:ascii="Arial" w:cs="Arial" w:eastAsia="Arial" w:hAnsi="Arial"/>
          <w:b/>
          <w:bCs/>
          <w:sz w:val="22"/>
          <w:szCs w:val="22"/>
        </w:rPr>
        <w:t xml:space="preserve">Lerntagebücher: </w:t>
      </w:r>
      <w:r>
        <w:rPr>
          <w:rFonts w:ascii="Arial" w:cs="Arial" w:eastAsia="Arial" w:hAnsi="Arial"/>
          <w:sz w:val="22"/>
          <w:szCs w:val="22"/>
        </w:rPr>
        <w:t xml:space="preserve">Schüler:innen dokumentieren und reflektieren regelmäßig ihren Lernprozess. Digital über Nextcloud / Moodle oder analog.</w:t>
      </w:r>
    </w:p>
    <w:p>
      <w:pPr>
        <w:spacing w:after="120"/>
      </w:pPr>
      <w:r>
        <w:rPr>
          <w:rFonts w:ascii="Arial" w:cs="Arial" w:eastAsia="Arial" w:hAnsi="Arial"/>
          <w:b/>
          <w:bCs/>
          <w:sz w:val="22"/>
          <w:szCs w:val="22"/>
        </w:rPr>
        <w:t xml:space="preserve">Sprache ändern: </w:t>
      </w:r>
      <w:r>
        <w:rPr>
          <w:rFonts w:ascii="Arial" w:cs="Arial" w:eastAsia="Arial" w:hAnsi="Arial"/>
          <w:sz w:val="22"/>
          <w:szCs w:val="22"/>
        </w:rPr>
        <w:t xml:space="preserve">Lernpartner:innen statt Schüler:innen, Lernbegleiter:innen statt Lehrer:innen. Klingt klein, wirkt groß – es verändert die Beziehungsdynamik.</w:t>
      </w:r>
    </w:p>
    <w:p>
      <w:pPr>
        <w:spacing w:after="120"/>
      </w:pPr>
      <w:r>
        <w:rPr>
          <w:rFonts w:ascii="Arial" w:cs="Arial" w:eastAsia="Arial" w:hAnsi="Arial"/>
          <w:b/>
          <w:bCs/>
          <w:sz w:val="22"/>
          <w:szCs w:val="22"/>
        </w:rPr>
        <w:t xml:space="preserve">Wahlmöglichkeiten schaffen: </w:t>
      </w:r>
      <w:r>
        <w:rPr>
          <w:rFonts w:ascii="Arial" w:cs="Arial" w:eastAsia="Arial" w:hAnsi="Arial"/>
          <w:sz w:val="22"/>
          <w:szCs w:val="22"/>
        </w:rPr>
        <w:t xml:space="preserve">Wo möglich, bei Aufgaben oder Projekten Wahlfreiheit in Thema, Methode oder Sozialform anbieten.</w:t>
      </w:r>
    </w:p>
    <w:p>
      <w:pPr>
        <w:spacing w:after="120"/>
      </w:pPr>
      <w:r>
        <w:rPr>
          <w:rFonts w:ascii="Arial" w:cs="Arial" w:eastAsia="Arial" w:hAnsi="Arial"/>
          <w:b/>
          <w:bCs/>
          <w:sz w:val="22"/>
          <w:szCs w:val="22"/>
        </w:rPr>
        <w:t xml:space="preserve">Bei den IN-Kolleg:innen hospitieren: </w:t>
      </w:r>
      <w:r>
        <w:rPr>
          <w:rFonts w:ascii="Arial" w:cs="Arial" w:eastAsia="Arial" w:hAnsi="Arial"/>
          <w:sz w:val="22"/>
          <w:szCs w:val="22"/>
        </w:rPr>
        <w:t xml:space="preserve">Keine Reise nach Wutöschingen nötig für einen ersten Eindruck – das SOL-Modell bei den Industriekaufleuten im eigenen Haus besuchen, ins Gespräch kommen, Fragen stellen. Das ist der niedrigschwelligste Einstieg überhaupt.</w:t>
      </w:r>
    </w:p>
    <w:p>
      <w:pPr>
        <w:pStyle w:val="Heading1"/>
      </w:pPr>
      <w:r>
        <w:t xml:space="preserve">6. Risiken und Gegenstrategien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Widerstand im Kollegium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Lehrkräfte werden begeistert sein. Gegenstrategie: Freiwilligkeit, sichtbare Erfolge, Hospitationsmöglichkeiten (auch intern bei den IN-Kolleg:innen!), Zeit geben. Ruppaner brauchte Jahre, um Skeptiker zu überzeugen.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Eltern / Ausbildungs-betriebe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Sorge, dass „zu wenig unterrichtet“ wird. Gegenstrategie: Transparente Kommunikation, regelmäßige Informationsabende, Einbindung der Betriebe als Lernpartner, Ergebnisse dokumentieren.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Überforderung der Lernenden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Schüler:innen sind sofort fähig zur Selbstorganisation. Gegenstrategie: Graduierungssystem (mehr Struktur für Einsteiger, mehr Freiheit für Fortgeschrittene), engmaschiges Coaching.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Prüfungsdruck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 externen Prüfungen bleiben. Gegenstrategie: Kompetenzraster an Prüfungsinhalte koppeln, gezielte Prüfungsvorbereitung einbauen. Die ASW zeigt, dass SOL-Absolvent:innen bei Prüfungen gut abschneiden.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Ressourcen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Umbau, Fortbildung, digitale Infrastruktur kosten Geld. Gegenstrategie: Stufenweise vorgehen, Fördermittel nutzen (Digitalpakt, Innovationsbudget der Experimentierklausel). Der Modellschul-Status und die bestehenden digitalen Systeme (Nextcloud, Moodle) reduzieren den Investitionsbedarf im digitalen Bereich erheblich.</w:t>
            </w:r>
          </w:p>
        </w:tc>
      </w:tr>
    </w:tbl>
    <w:p>
      <w:r>
        <w:br w:type="page"/>
      </w:r>
    </w:p>
    <w:p>
      <w:pPr>
        <w:pStyle w:val="Heading1"/>
      </w:pPr>
      <w:r>
        <w:t xml:space="preserve">7. Quellen und weiterführende Informationen</w:t>
      </w:r>
    </w:p>
    <w:p>
      <w:pPr>
        <w:pStyle w:val="Heading2"/>
      </w:pPr>
      <w:r>
        <w:t xml:space="preserve">Literatur</w:t>
      </w:r>
    </w:p>
    <w:p>
      <w:pPr>
        <w:spacing w:after="120"/>
      </w:pPr>
      <w:r>
        <w:rPr>
          <w:rFonts w:ascii="Arial" w:cs="Arial" w:eastAsia="Arial" w:hAnsi="Arial"/>
          <w:sz w:val="22"/>
          <w:szCs w:val="22"/>
        </w:rPr>
        <w:t xml:space="preserve">• Ruppaner, Stefan / Willers, Anke: „Das könnte Schule machen – Wie ein engagierter Pädagoge unser Bildungssystem revolutioniert.“ Rowohlt Polaris, 2025.</w:t>
      </w:r>
    </w:p>
    <w:p>
      <w:pPr>
        <w:spacing w:after="120"/>
      </w:pPr>
      <w:r>
        <w:rPr>
          <w:rFonts w:ascii="Arial" w:cs="Arial" w:eastAsia="Arial" w:hAnsi="Arial"/>
          <w:sz w:val="22"/>
          <w:szCs w:val="22"/>
        </w:rPr>
        <w:t xml:space="preserve">• Herold, Martin / Herold, Cindy: „Selbstorganisiertes Lernen in Schule und Beruf“, 3. Aufl., Beltz 2017.</w:t>
      </w:r>
    </w:p>
    <w:p>
      <w:pPr>
        <w:spacing w:after="120"/>
      </w:pPr>
      <w:r>
        <w:rPr>
          <w:rFonts w:ascii="Arial" w:cs="Arial" w:eastAsia="Arial" w:hAnsi="Arial"/>
          <w:sz w:val="22"/>
          <w:szCs w:val="22"/>
        </w:rPr>
        <w:t xml:space="preserve">• Kühl, Stefan: „Brauchbare Illegalität. Vom Nutzen des Regelbruchs in Organisationen.“ (Empfohlen von Ruppaner.)</w:t>
      </w:r>
    </w:p>
    <w:p>
      <w:pPr>
        <w:pStyle w:val="Heading2"/>
      </w:pPr>
      <w:r>
        <w:t xml:space="preserve">Online</w:t>
      </w:r>
    </w:p>
    <w:p>
      <w:pPr>
        <w:spacing w:after="120"/>
      </w:pPr>
      <w:r>
        <w:rPr>
          <w:rFonts w:ascii="Arial" w:cs="Arial" w:eastAsia="Arial" w:hAnsi="Arial"/>
          <w:sz w:val="22"/>
          <w:szCs w:val="22"/>
        </w:rPr>
        <w:t xml:space="preserve">• Alemannenschule Wutöschingen: asw-wutoeschingen.de (inkl. 360°-Rundgang)</w:t>
      </w:r>
    </w:p>
    <w:p>
      <w:pPr>
        <w:spacing w:after="120"/>
      </w:pPr>
      <w:r>
        <w:rPr>
          <w:rFonts w:ascii="Arial" w:cs="Arial" w:eastAsia="Arial" w:hAnsi="Arial"/>
          <w:sz w:val="22"/>
          <w:szCs w:val="22"/>
        </w:rPr>
        <w:t xml:space="preserve">• Deutsches Schulportal – Porträt der ASW: deutscher-schulpreis.de/preistraeger/alemannenschule-wutoeschingen/portraet</w:t>
      </w:r>
    </w:p>
    <w:p>
      <w:pPr>
        <w:spacing w:after="120"/>
      </w:pPr>
      <w:r>
        <w:rPr>
          <w:rFonts w:ascii="Arial" w:cs="Arial" w:eastAsia="Arial" w:hAnsi="Arial"/>
          <w:sz w:val="22"/>
          <w:szCs w:val="22"/>
        </w:rPr>
        <w:t xml:space="preserve">• Friedrich-Ebert-Stiftung: „Eine Schule, die Schule gemacht hat“ (fes.de/voran, Juli 2025)</w:t>
      </w:r>
    </w:p>
    <w:p>
      <w:pPr>
        <w:spacing w:after="120"/>
      </w:pPr>
      <w:r>
        <w:rPr>
          <w:rFonts w:ascii="Arial" w:cs="Arial" w:eastAsia="Arial" w:hAnsi="Arial"/>
          <w:sz w:val="22"/>
          <w:szCs w:val="22"/>
        </w:rPr>
        <w:t xml:space="preserve">• News4teachers-Interview mit Ruppaner (März 2024)</w:t>
      </w:r>
    </w:p>
    <w:p>
      <w:pPr>
        <w:spacing w:after="120"/>
      </w:pPr>
      <w:r>
        <w:rPr>
          <w:rFonts w:ascii="Arial" w:cs="Arial" w:eastAsia="Arial" w:hAnsi="Arial"/>
          <w:sz w:val="22"/>
          <w:szCs w:val="22"/>
        </w:rPr>
        <w:t xml:space="preserve">• ARD-Podcast: „Stefan Ruppaner: Schule ohne Unterrichtsstunden“ (April 2024)</w:t>
      </w:r>
    </w:p>
    <w:p>
      <w:pPr>
        <w:spacing w:after="120"/>
      </w:pPr>
      <w:r>
        <w:rPr>
          <w:rFonts w:ascii="Arial" w:cs="Arial" w:eastAsia="Arial" w:hAnsi="Arial"/>
          <w:sz w:val="22"/>
          <w:szCs w:val="22"/>
        </w:rPr>
        <w:t xml:space="preserve">• Materialnetzwerk eG: materialnetzwerk.org</w:t>
      </w:r>
    </w:p>
    <w:p>
      <w:pPr>
        <w:pStyle w:val="Heading2"/>
      </w:pPr>
      <w:r>
        <w:t xml:space="preserve">Rechtlicher Rahmen SH</w:t>
      </w:r>
    </w:p>
    <w:p>
      <w:pPr>
        <w:spacing w:after="120"/>
      </w:pPr>
      <w:r>
        <w:rPr>
          <w:rFonts w:ascii="Arial" w:cs="Arial" w:eastAsia="Arial" w:hAnsi="Arial"/>
          <w:sz w:val="22"/>
          <w:szCs w:val="22"/>
        </w:rPr>
        <w:t xml:space="preserve">• Experimentierklausel SH: schleswig-holstein.de → Bildungsministerium → Experimentierklausel</w:t>
      </w:r>
    </w:p>
    <w:p>
      <w:pPr>
        <w:spacing w:after="120"/>
      </w:pPr>
      <w:r>
        <w:rPr>
          <w:rFonts w:ascii="Arial" w:cs="Arial" w:eastAsia="Arial" w:hAnsi="Arial"/>
          <w:sz w:val="22"/>
          <w:szCs w:val="22"/>
        </w:rPr>
        <w:t xml:space="preserve">• IQSH-Fachportal: fachportal.lernnetz.de/sh/themen/landesprogramm/set-experimentierklausel</w:t>
      </w:r>
    </w:p>
    <w:p>
      <w:pPr>
        <w:spacing w:after="120"/>
      </w:pPr>
      <w:r>
        <w:rPr>
          <w:rFonts w:ascii="Arial" w:cs="Arial" w:eastAsia="Arial" w:hAnsi="Arial"/>
          <w:sz w:val="22"/>
          <w:szCs w:val="22"/>
        </w:rPr>
        <w:t xml:space="preserve">• Schulgesetz SH § 138 (Schulversuche)</w:t>
      </w:r>
    </w:p>
    <w:p>
      <w:pPr>
        <w:pStyle w:val="Heading2"/>
      </w:pPr>
      <w:r>
        <w:t xml:space="preserve">Forschung zur beruflichen Bildung</w:t>
      </w:r>
    </w:p>
    <w:p>
      <w:pPr>
        <w:spacing w:after="120"/>
      </w:pPr>
      <w:r>
        <w:rPr>
          <w:rFonts w:ascii="Arial" w:cs="Arial" w:eastAsia="Arial" w:hAnsi="Arial"/>
          <w:sz w:val="22"/>
          <w:szCs w:val="22"/>
        </w:rPr>
        <w:t xml:space="preserve">• SOL-Konzept Baden-Württemberg: schule-bw.de (Landesbildungsserver)</w:t>
      </w:r>
    </w:p>
    <w:p>
      <w:pPr>
        <w:spacing w:after="120"/>
      </w:pPr>
      <w:r>
        <w:rPr>
          <w:rFonts w:ascii="Arial" w:cs="Arial" w:eastAsia="Arial" w:hAnsi="Arial"/>
          <w:sz w:val="22"/>
          <w:szCs w:val="22"/>
        </w:rPr>
        <w:t xml:space="preserve">• bwp@ Themenheft „Selbstorganisiertes Lernen in der beruflichen Bildung“ (bwpat.de/ausgabe13)</w:t>
      </w:r>
    </w:p>
    <w:p>
      <w:pPr>
        <w:spacing w:after="120"/>
      </w:pPr>
      <w:r>
        <w:rPr>
          <w:rFonts w:ascii="Arial" w:cs="Arial" w:eastAsia="Arial" w:hAnsi="Arial"/>
          <w:sz w:val="22"/>
          <w:szCs w:val="22"/>
        </w:rPr>
        <w:t xml:space="preserve">• BLK-Modellversuchsprogramm SKOLA (segel-bs, SIQUA)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Transferkonzept ASW → BBZ RD-ECK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2026-03-15T11:53:31.254Z</dcterms:created>
  <dcterms:modified xsi:type="dcterms:W3CDTF">2026-03-15T11:53:31.255Z</dcterms:modified>
</cp:coreProperties>
</file>

<file path=docProps/custom.xml><?xml version="1.0" encoding="utf-8"?>
<Properties xmlns="http://schemas.openxmlformats.org/officeDocument/2006/custom-properties" xmlns:vt="http://schemas.openxmlformats.org/officeDocument/2006/docPropsVTypes"/>
</file>