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107C" w14:textId="77777777" w:rsidR="00695B38" w:rsidRDefault="00000000">
      <w:pPr>
        <w:jc w:val="center"/>
        <w:rPr>
          <w:rStyle w:val="ab"/>
          <w:rFonts w:ascii="方正小标宋_GBK" w:eastAsia="方正小标宋_GBK" w:hAnsi="方正小标宋_GBK" w:hint="eastAsia"/>
          <w:sz w:val="44"/>
          <w:szCs w:val="44"/>
        </w:rPr>
      </w:pPr>
      <w:r>
        <w:rPr>
          <w:rStyle w:val="ab"/>
          <w:rFonts w:ascii="方正小标宋_GBK" w:eastAsia="方正小标宋_GBK" w:hAnsi="方正小标宋_GBK" w:hint="eastAsia"/>
          <w:sz w:val="44"/>
          <w:szCs w:val="44"/>
        </w:rPr>
        <w:t>数据镜头下的新职业生存实录</w:t>
      </w:r>
    </w:p>
    <w:p w14:paraId="5E259D5F" w14:textId="55FC36E7" w:rsidR="00B365E4" w:rsidRDefault="00B365E4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 w:rsidRPr="00B365E4">
        <w:rPr>
          <w:rFonts w:ascii="楷体" w:eastAsia="楷体" w:hAnsi="楷体"/>
          <w:b/>
          <w:bCs/>
          <w:sz w:val="32"/>
          <w:szCs w:val="32"/>
        </w:rPr>
        <w:t>自4月19日起，每周六和重大节假日“魅力重庆”无人机灯光秀在</w:t>
      </w:r>
      <w:r w:rsidR="003E6140">
        <w:rPr>
          <w:rFonts w:ascii="楷体" w:eastAsia="楷体" w:hAnsi="楷体" w:hint="eastAsia"/>
          <w:b/>
          <w:bCs/>
          <w:sz w:val="32"/>
          <w:szCs w:val="32"/>
        </w:rPr>
        <w:t>重庆</w:t>
      </w:r>
      <w:r w:rsidRPr="00B365E4">
        <w:rPr>
          <w:rFonts w:ascii="楷体" w:eastAsia="楷体" w:hAnsi="楷体"/>
          <w:b/>
          <w:bCs/>
          <w:sz w:val="32"/>
          <w:szCs w:val="32"/>
        </w:rPr>
        <w:t>两江四岸核心区常态化展演，</w:t>
      </w:r>
      <w:r>
        <w:rPr>
          <w:rFonts w:ascii="楷体" w:eastAsia="楷体" w:hAnsi="楷体" w:hint="eastAsia"/>
          <w:b/>
          <w:bCs/>
          <w:sz w:val="32"/>
          <w:szCs w:val="32"/>
        </w:rPr>
        <w:t>背后是无人机飞行工程师陆子祥团队操作。随着低空经济的</w:t>
      </w:r>
      <w:r w:rsidR="00CE6D7F">
        <w:rPr>
          <w:rFonts w:ascii="楷体" w:eastAsia="楷体" w:hAnsi="楷体" w:hint="eastAsia"/>
          <w:b/>
          <w:bCs/>
          <w:sz w:val="32"/>
          <w:szCs w:val="32"/>
        </w:rPr>
        <w:t>蓬勃</w:t>
      </w:r>
      <w:r>
        <w:rPr>
          <w:rFonts w:ascii="楷体" w:eastAsia="楷体" w:hAnsi="楷体" w:hint="eastAsia"/>
          <w:b/>
          <w:bCs/>
          <w:sz w:val="32"/>
          <w:szCs w:val="32"/>
        </w:rPr>
        <w:t>发展，无人机飞行工程师作为新兴职业</w:t>
      </w:r>
      <w:r w:rsidR="00CE6D7F">
        <w:rPr>
          <w:rFonts w:ascii="楷体" w:eastAsia="楷体" w:hAnsi="楷体" w:hint="eastAsia"/>
          <w:b/>
          <w:bCs/>
          <w:sz w:val="32"/>
          <w:szCs w:val="32"/>
        </w:rPr>
        <w:t>逐渐</w:t>
      </w:r>
      <w:r>
        <w:rPr>
          <w:rFonts w:ascii="楷体" w:eastAsia="楷体" w:hAnsi="楷体" w:hint="eastAsia"/>
          <w:b/>
          <w:bCs/>
          <w:sz w:val="32"/>
          <w:szCs w:val="32"/>
        </w:rPr>
        <w:t>进入大家视野。</w:t>
      </w:r>
    </w:p>
    <w:p w14:paraId="2316B968" w14:textId="77777777" w:rsidR="00007E9E" w:rsidRPr="00007E9E" w:rsidRDefault="00007E9E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</w:p>
    <w:p w14:paraId="2F3E2749" w14:textId="5FF511FF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自2</w:t>
      </w:r>
      <w:r>
        <w:rPr>
          <w:rFonts w:ascii="楷体" w:eastAsia="楷体" w:hAnsi="楷体"/>
          <w:b/>
          <w:bCs/>
          <w:sz w:val="32"/>
          <w:szCs w:val="32"/>
        </w:rPr>
        <w:t>019年建立新职业信息发布制度以来，</w:t>
      </w:r>
      <w:r>
        <w:rPr>
          <w:rFonts w:ascii="楷体" w:eastAsia="楷体" w:hAnsi="楷体" w:hint="eastAsia"/>
          <w:b/>
          <w:bCs/>
          <w:sz w:val="32"/>
          <w:szCs w:val="32"/>
        </w:rPr>
        <w:t>人社部</w:t>
      </w:r>
      <w:r>
        <w:rPr>
          <w:rFonts w:ascii="楷体" w:eastAsia="楷体" w:hAnsi="楷体"/>
          <w:b/>
          <w:bCs/>
          <w:sz w:val="32"/>
          <w:szCs w:val="32"/>
        </w:rPr>
        <w:t>已累计发布了</w:t>
      </w:r>
      <w:r>
        <w:rPr>
          <w:rFonts w:ascii="楷体" w:eastAsia="楷体" w:hAnsi="楷体" w:hint="eastAsia"/>
          <w:b/>
          <w:bCs/>
          <w:sz w:val="32"/>
          <w:szCs w:val="32"/>
        </w:rPr>
        <w:t>7批</w:t>
      </w:r>
      <w:r w:rsidR="009C6256">
        <w:rPr>
          <w:rFonts w:ascii="楷体" w:eastAsia="楷体" w:hAnsi="楷体" w:hint="eastAsia"/>
          <w:b/>
          <w:bCs/>
          <w:sz w:val="32"/>
          <w:szCs w:val="32"/>
        </w:rPr>
        <w:t>共110个</w:t>
      </w:r>
      <w:r>
        <w:rPr>
          <w:rFonts w:ascii="楷体" w:eastAsia="楷体" w:hAnsi="楷体"/>
          <w:b/>
          <w:bCs/>
          <w:sz w:val="32"/>
          <w:szCs w:val="32"/>
        </w:rPr>
        <w:t>新</w:t>
      </w:r>
      <w:r>
        <w:rPr>
          <w:rFonts w:ascii="楷体" w:eastAsia="楷体" w:hAnsi="楷体" w:hint="eastAsia"/>
          <w:b/>
          <w:bCs/>
          <w:sz w:val="32"/>
          <w:szCs w:val="32"/>
        </w:rPr>
        <w:t>兴</w:t>
      </w:r>
      <w:r>
        <w:rPr>
          <w:rFonts w:ascii="楷体" w:eastAsia="楷体" w:hAnsi="楷体"/>
          <w:b/>
          <w:bCs/>
          <w:sz w:val="32"/>
          <w:szCs w:val="32"/>
        </w:rPr>
        <w:t>职业</w:t>
      </w:r>
      <w:r>
        <w:rPr>
          <w:rFonts w:ascii="楷体" w:eastAsia="楷体" w:hAnsi="楷体" w:hint="eastAsia"/>
          <w:b/>
          <w:bCs/>
          <w:sz w:val="32"/>
          <w:szCs w:val="32"/>
        </w:rPr>
        <w:t>，</w:t>
      </w:r>
      <w:r w:rsidR="009C6256">
        <w:rPr>
          <w:rFonts w:ascii="楷体" w:eastAsia="楷体" w:hAnsi="楷体" w:hint="eastAsia"/>
          <w:b/>
          <w:bCs/>
          <w:sz w:val="32"/>
          <w:szCs w:val="32"/>
        </w:rPr>
        <w:t>主要分布在人工智能与数字经济、康养服务、低碳环保与工业技术等领域</w:t>
      </w:r>
      <w:r>
        <w:rPr>
          <w:rFonts w:ascii="楷体" w:eastAsia="楷体" w:hAnsi="楷体" w:hint="eastAsia"/>
          <w:b/>
          <w:bCs/>
          <w:sz w:val="32"/>
          <w:szCs w:val="32"/>
        </w:rPr>
        <w:t>。新兴职业逐渐兴起，</w:t>
      </w:r>
      <w:r w:rsidR="00CE6D7F">
        <w:rPr>
          <w:rFonts w:ascii="楷体" w:eastAsia="楷体" w:hAnsi="楷体" w:hint="eastAsia"/>
          <w:b/>
          <w:bCs/>
          <w:sz w:val="32"/>
          <w:szCs w:val="32"/>
        </w:rPr>
        <w:t>产业结构、地域结构、职业性质、人才结构维度均发生变化，就业结构进入了“动态重组期”</w:t>
      </w:r>
      <w:r>
        <w:rPr>
          <w:rFonts w:ascii="楷体" w:eastAsia="楷体" w:hAnsi="楷体" w:hint="eastAsia"/>
          <w:b/>
          <w:bCs/>
          <w:sz w:val="32"/>
          <w:szCs w:val="32"/>
        </w:rPr>
        <w:t>。权威数据</w:t>
      </w:r>
      <w:r w:rsidR="009C6256">
        <w:rPr>
          <w:rFonts w:ascii="楷体" w:eastAsia="楷体" w:hAnsi="楷体" w:hint="eastAsia"/>
          <w:b/>
          <w:bCs/>
          <w:sz w:val="32"/>
          <w:szCs w:val="32"/>
        </w:rPr>
        <w:t>将作</w:t>
      </w:r>
      <w:r>
        <w:rPr>
          <w:rFonts w:ascii="楷体" w:eastAsia="楷体" w:hAnsi="楷体" w:hint="eastAsia"/>
          <w:b/>
          <w:bCs/>
          <w:sz w:val="32"/>
          <w:szCs w:val="32"/>
        </w:rPr>
        <w:t>为追光灯，</w:t>
      </w:r>
      <w:r>
        <w:rPr>
          <w:rFonts w:ascii="楷体" w:eastAsia="楷体" w:hAnsi="楷体"/>
          <w:b/>
          <w:bCs/>
          <w:sz w:val="32"/>
          <w:szCs w:val="32"/>
        </w:rPr>
        <w:t>深入分析新兴职业的发展现状、背后动因及面临的问题，展现这场职业变革</w:t>
      </w:r>
      <w:r>
        <w:rPr>
          <w:rFonts w:ascii="楷体" w:eastAsia="楷体" w:hAnsi="楷体" w:hint="eastAsia"/>
          <w:b/>
          <w:bCs/>
          <w:sz w:val="32"/>
          <w:szCs w:val="32"/>
        </w:rPr>
        <w:t>的壮阔图景</w:t>
      </w:r>
      <w:r>
        <w:rPr>
          <w:rFonts w:ascii="楷体" w:eastAsia="楷体" w:hAnsi="楷体"/>
          <w:b/>
          <w:bCs/>
          <w:sz w:val="32"/>
          <w:szCs w:val="32"/>
        </w:rPr>
        <w:t>。</w:t>
      </w:r>
    </w:p>
    <w:p w14:paraId="7E75E4DF" w14:textId="77777777" w:rsidR="00695B38" w:rsidRDefault="00000000" w:rsidP="003E6140">
      <w:pPr>
        <w:ind w:firstLineChars="200" w:firstLine="643"/>
        <w:jc w:val="center"/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</w:pPr>
      <w:r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  <w:t>（折线图+柱状图：新增职业统计）</w:t>
      </w:r>
    </w:p>
    <w:p w14:paraId="0BDA388D" w14:textId="77777777" w:rsidR="00695B38" w:rsidRDefault="00000000" w:rsidP="00CE6D7F">
      <w:pPr>
        <w:ind w:firstLineChars="200" w:firstLine="643"/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行业现状</w:t>
      </w:r>
    </w:p>
    <w:p w14:paraId="4DB81E29" w14:textId="77777777" w:rsidR="00695B38" w:rsidRDefault="00000000" w:rsidP="003E6140">
      <w:pPr>
        <w:ind w:firstLineChars="200" w:firstLine="643"/>
        <w:jc w:val="center"/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</w:pPr>
      <w:r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  <w:t>（弹幕：网民讨论）</w:t>
      </w:r>
    </w:p>
    <w:p w14:paraId="2B69F9CA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在人社部2023年修订的《新职业评审工作规则》中，职业认证需经申报、评审、公示等五步流程，平均耗时18个月。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以“老年数字服务师”为例，该职业从民间称呼到官方认证，经历了从“老年数字辅导员”“银发生活规划师”到统一职业标准的转变。</w:t>
      </w:r>
      <w:r>
        <w:rPr>
          <w:rFonts w:ascii="楷体" w:eastAsia="楷体" w:hAnsi="楷体" w:hint="eastAsia"/>
          <w:b/>
          <w:bCs/>
          <w:sz w:val="32"/>
          <w:szCs w:val="32"/>
        </w:rPr>
        <w:t>这一过程，既体现对职业规范性的高度重视，也反映新兴职业认证的复杂性与严谨性。</w:t>
      </w:r>
    </w:p>
    <w:p w14:paraId="1BA08DA1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color w:val="0000FF"/>
          <w:sz w:val="32"/>
          <w:szCs w:val="32"/>
        </w:rPr>
      </w:pPr>
      <w:r>
        <w:rPr>
          <w:rFonts w:ascii="楷体" w:eastAsia="楷体" w:hAnsi="楷体" w:hint="eastAsia"/>
          <w:b/>
          <w:bCs/>
          <w:color w:val="0000FF"/>
          <w:sz w:val="32"/>
          <w:szCs w:val="32"/>
        </w:rPr>
        <w:t>【流程图】</w:t>
      </w:r>
    </w:p>
    <w:p w14:paraId="79662BC2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【就老年数字服务师职业的发展过程】</w:t>
      </w:r>
    </w:p>
    <w:p w14:paraId="5FA99C3F" w14:textId="3D16FEC8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与此同时，新兴职业在不同地域呈现出不同发展态势。在京津冀、长三角与珠三角，猎头们为“人工智能训练师”“碳排放管理员”开出25—40万元年薪，外加期权与落户指标；同一条招聘启事，24小时内就能收到上千份简历。而在西部与东北，同样的岗位招聘量不足东部的五分之一。企业HR只能把JD改成“可远程、可兼职、可培训上岗”，却依旧无人问津。这道裂缝，一面是产业密度——东部拥有更完整的上下游配套，让新职业能够“即插即用”；另一面是政策脉冲——地方补贴、人才公寓、税收优惠像磁铁一样把年轻人吸走。新职业在不同地域呈现出截然不同的生命体征。</w:t>
      </w:r>
    </w:p>
    <w:p w14:paraId="08DC16F3" w14:textId="77777777" w:rsidR="00695B38" w:rsidRDefault="00000000" w:rsidP="00091E61">
      <w:pPr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就人工智能训练师：</w:t>
      </w:r>
    </w:p>
    <w:p w14:paraId="7E6917A1" w14:textId="77777777" w:rsidR="00695B38" w:rsidRDefault="00000000" w:rsidP="00091E61">
      <w:pPr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双轴地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：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X轴：地域（京津冀、长三角、珠三角、西部、东北）Y轴：平均年薪（万元）气泡大小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】</w:t>
      </w:r>
    </w:p>
    <w:p w14:paraId="20BC73E6" w14:textId="77777777" w:rsidR="00695B38" w:rsidRDefault="00000000" w:rsidP="00091E61">
      <w:pPr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招聘量热力地图岗位招聘量颜色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】</w:t>
      </w:r>
    </w:p>
    <w:p w14:paraId="78B7147F" w14:textId="77777777" w:rsidR="00695B38" w:rsidRDefault="00000000" w:rsidP="00091E61">
      <w:pPr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【政策补助，气泡图】</w:t>
      </w:r>
    </w:p>
    <w:p w14:paraId="229A3317" w14:textId="77777777" w:rsidR="00695B38" w:rsidRDefault="00695B38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</w:p>
    <w:p w14:paraId="10A6C2DD" w14:textId="77777777" w:rsidR="00695B38" w:rsidRDefault="00000000" w:rsidP="00091E61">
      <w:pPr>
        <w:ind w:firstLineChars="200" w:firstLine="643"/>
        <w:jc w:val="center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驱动密码</w:t>
      </w:r>
    </w:p>
    <w:p w14:paraId="688E5307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新兴职业的爆发并非偶然，而是技术突破、市场需求与政策引导共同作用的结果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。</w:t>
      </w:r>
    </w:p>
    <w:p w14:paraId="37141CF8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一条GPU曲线，催生一个职业。2022 年，英伟达发布H100芯片，AI训练速度较前代提升9倍。三个月后，北京一家大模型初创公司把“AI训练师”岗位从3人扩编到47人，起薪直接翻倍。技术像一条陡峭的GPU性能曲线，把算力成本打下来，于是“喂数据、调参数、清脏数据”从实验室杂活变成独立工种。同样的故事也发生在手术机器人赛道：达芬奇系统迭代到第五代，新增“力反馈”功能，医院立刻在招聘栏里写下“机器人调试工程师”——工程师的指尖，第一次伸进了人体腹腔。</w:t>
      </w:r>
    </w:p>
    <w:p w14:paraId="19A81F60" w14:textId="6C726570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一只猫、一位老人，都能开出一张岗位订单。据《2024中国宠物行业白皮书》显示，2024年中国宠物市场规模突破3000亿元，高端火化炉、纪念晶石、宠物告别仪式需求暴涨。“宠物殡葬师”从冷门同情服务，变成按体重、按仪式套餐收费的标准化职业，上海顶级门店客单价8000元仍要排队两周。伴随着老龄化提速，全国60岁以上人口2.97亿，其中38%不会用智能手机。老年大学课堂里，出现了一种新职业——“老年数字服务师”，一对一教学90分钟北京、上海老年大学对外报价收费可达200元，节假日排期比三甲医院副主任医师还满。需求不再是抽象的人口结构，而是一只猫、一位老人的日常痛点，被明码标价成新的劳动入口</w:t>
      </w:r>
    </w:p>
    <w:p w14:paraId="61C87213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一纸名录，撬动资本与社保的杠杆。在2023年，“碳排放管理员”被正式写进国家职业分类大典。各大招聘app上，火速上线该岗位需求。政策像节拍器，把原本横冲直撞的市场冲动，校准到可落地、可扩张、可复制的节奏里。</w:t>
      </w:r>
    </w:p>
    <w:p w14:paraId="61CD38B0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【招聘app对新兴职业提供福利】</w:t>
      </w:r>
    </w:p>
    <w:p w14:paraId="1904A676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技术把“不可能”变成“可行”，需求把“可行”变成“必须”，政策再把“必须”变成“可持续”。当三条曲线在同一时点交汇——算力成本跌破心理价位、用户痛点达到付费阈值、制度刚好递上合法身份——新职业便不再是风口上的泡沫，而是时代在就业地图上摁下的“确认键”。</w:t>
      </w:r>
    </w:p>
    <w:p w14:paraId="272E8461" w14:textId="4ACE6E83" w:rsidR="00653FD9" w:rsidRDefault="00653FD9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【新兴职业出现的流程图】</w:t>
      </w:r>
    </w:p>
    <w:p w14:paraId="6272AD45" w14:textId="77777777" w:rsidR="00695B38" w:rsidRDefault="00000000" w:rsidP="00091E61">
      <w:pPr>
        <w:ind w:firstLineChars="200" w:firstLine="643"/>
        <w:jc w:val="center"/>
        <w:rPr>
          <w:rFonts w:ascii="Calibri" w:eastAsia="楷体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eastAsia="楷体" w:hAnsi="Calibri" w:cs="Calibri" w:hint="eastAsia"/>
          <w:b/>
          <w:bCs/>
          <w:color w:val="000000" w:themeColor="text1"/>
          <w:sz w:val="32"/>
          <w:szCs w:val="32"/>
        </w:rPr>
        <w:t>行业困境</w:t>
      </w:r>
    </w:p>
    <w:p w14:paraId="646E16F1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从行业实践来看，</w:t>
      </w:r>
      <w:r>
        <w:rPr>
          <w:rFonts w:ascii="楷体" w:eastAsia="楷体" w:hAnsi="楷体" w:hint="eastAsia"/>
          <w:b/>
          <w:bCs/>
          <w:sz w:val="32"/>
          <w:szCs w:val="32"/>
        </w:rPr>
        <w:t>目前110个官方认证职业远不足以涵盖市面上出现的全部新型职业，多种民间命名岗位尚未拥有“官方姓名”。</w:t>
      </w:r>
      <w:r>
        <w:rPr>
          <w:rFonts w:ascii="楷体" w:eastAsia="楷体" w:hAnsi="楷体"/>
          <w:b/>
          <w:bCs/>
          <w:sz w:val="32"/>
          <w:szCs w:val="32"/>
        </w:rPr>
        <w:t>以“</w:t>
      </w:r>
      <w:r>
        <w:rPr>
          <w:rFonts w:ascii="楷体" w:eastAsia="楷体" w:hAnsi="楷体" w:hint="eastAsia"/>
          <w:b/>
          <w:bCs/>
          <w:sz w:val="32"/>
          <w:szCs w:val="32"/>
        </w:rPr>
        <w:t>机器人调试工程师</w:t>
      </w:r>
      <w:r>
        <w:rPr>
          <w:rFonts w:ascii="楷体" w:eastAsia="楷体" w:hAnsi="楷体"/>
          <w:b/>
          <w:bCs/>
          <w:sz w:val="32"/>
          <w:szCs w:val="32"/>
        </w:rPr>
        <w:t>”为例</w:t>
      </w:r>
      <w:r>
        <w:rPr>
          <w:rFonts w:ascii="楷体" w:eastAsia="楷体" w:hAnsi="楷体" w:hint="eastAsia"/>
          <w:b/>
          <w:bCs/>
          <w:sz w:val="32"/>
          <w:szCs w:val="32"/>
        </w:rPr>
        <w:t>，2025年数据显示，招聘增速超30%，目前归类于“工业机器人系统运维员”（工种）</w:t>
      </w:r>
      <w:r>
        <w:rPr>
          <w:rFonts w:ascii="楷体" w:eastAsia="楷体" w:hAnsi="楷体"/>
          <w:b/>
          <w:bCs/>
          <w:sz w:val="32"/>
          <w:szCs w:val="32"/>
        </w:rPr>
        <w:t>，但至今仍未被纳入官方职业体系</w:t>
      </w:r>
      <w:r>
        <w:rPr>
          <w:rFonts w:ascii="楷体" w:eastAsia="楷体" w:hAnsi="楷体" w:hint="eastAsia"/>
          <w:b/>
          <w:bCs/>
          <w:sz w:val="32"/>
          <w:szCs w:val="32"/>
        </w:rPr>
        <w:t>。</w:t>
      </w:r>
      <w:r>
        <w:rPr>
          <w:rFonts w:ascii="楷体" w:eastAsia="楷体" w:hAnsi="楷体"/>
          <w:b/>
          <w:bCs/>
          <w:sz w:val="32"/>
          <w:szCs w:val="32"/>
        </w:rPr>
        <w:t>这类“未认证职业”多</w:t>
      </w:r>
      <w:r>
        <w:rPr>
          <w:rFonts w:ascii="楷体" w:eastAsia="楷体" w:hAnsi="楷体" w:hint="eastAsia"/>
          <w:b/>
          <w:bCs/>
          <w:sz w:val="32"/>
          <w:szCs w:val="32"/>
        </w:rPr>
        <w:t>停</w:t>
      </w:r>
      <w:r>
        <w:rPr>
          <w:rFonts w:ascii="楷体" w:eastAsia="楷体" w:hAnsi="楷体"/>
          <w:b/>
          <w:bCs/>
          <w:sz w:val="32"/>
          <w:szCs w:val="32"/>
        </w:rPr>
        <w:t>留</w:t>
      </w:r>
      <w:r>
        <w:rPr>
          <w:rFonts w:ascii="楷体" w:eastAsia="楷体" w:hAnsi="楷体" w:hint="eastAsia"/>
          <w:b/>
          <w:bCs/>
          <w:sz w:val="32"/>
          <w:szCs w:val="32"/>
        </w:rPr>
        <w:t>在尚未被官方认证的阶段</w:t>
      </w:r>
      <w:r>
        <w:rPr>
          <w:rFonts w:ascii="楷体" w:eastAsia="楷体" w:hAnsi="楷体"/>
          <w:b/>
          <w:bCs/>
          <w:sz w:val="32"/>
          <w:szCs w:val="32"/>
        </w:rPr>
        <w:t>。</w:t>
      </w:r>
    </w:p>
    <w:p w14:paraId="6E730473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 w:rsidRPr="002F516F"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  <w:t>【新兴职业词云图，官方称呼与民间称呼】</w:t>
      </w:r>
    </w:p>
    <w:p w14:paraId="4D7E9501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繁荣背后，新兴职业的权益保障仍存短板。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清华大学社科学院《2024年灵活就业者权益蓝皮书》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数据显示，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就规范劳动合同来看，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未认证职业从业者中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68%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未签订规范劳动合同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，与认证职业相比低了57%。在工伤保险方面，脉脉研究院《2024新职业群体保障报告》表明：未认证职业覆盖率为37%，认证职业则达到了95%。</w:t>
      </w:r>
    </w:p>
    <w:p w14:paraId="0C27307E" w14:textId="77777777" w:rsidR="00695B38" w:rsidRPr="00750347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4472C4" w:themeColor="accent1"/>
          <w:sz w:val="32"/>
          <w:szCs w:val="32"/>
        </w:rPr>
      </w:pPr>
      <w:r w:rsidRPr="00750347">
        <w:rPr>
          <w:rFonts w:ascii="楷体" w:eastAsia="楷体" w:hAnsi="楷体" w:cs="Times New Roman (正文 CS 字体)" w:hint="eastAsia"/>
          <w:b/>
          <w:bCs/>
          <w:color w:val="4472C4" w:themeColor="accent1"/>
          <w:sz w:val="32"/>
          <w:szCs w:val="32"/>
        </w:rPr>
        <w:t>【饼图两张：劳动合同与工伤保险】</w:t>
      </w:r>
    </w:p>
    <w:p w14:paraId="567BFF2E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价值重构</w:t>
      </w:r>
    </w:p>
    <w:p w14:paraId="6DF96465" w14:textId="47FA37AE" w:rsidR="00695B38" w:rsidRDefault="00000000" w:rsidP="00091E61">
      <w:pPr>
        <w:ind w:firstLineChars="200" w:firstLine="643"/>
        <w:jc w:val="both"/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新兴职业的兴起，为个体提供了展示自我、实现价值的广阔舞台。</w:t>
      </w:r>
      <w:r>
        <w:rPr>
          <w:rFonts w:ascii="楷体" w:eastAsia="楷体" w:hAnsi="楷体" w:cs="Arial"/>
          <w:b/>
          <w:bCs/>
          <w:color w:val="222222"/>
          <w:sz w:val="32"/>
          <w:szCs w:val="32"/>
          <w:shd w:val="clear" w:color="auto" w:fill="FFFFFF"/>
        </w:rPr>
        <w:t>宋龙杰从一线收派件到获评“济南市技术能手”，再到成为首批E类高层次人才，他的逆袭成为数万从业者的缩影。</w:t>
      </w:r>
      <w:r w:rsidR="00595819"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2026届应届生择业更趋理性务实，薪酬水平仍是最核心的考量因素。同时，毕业生对行业发展前景、企业人际关系及团队氛围、工作方式等方面的关注度显著提升，较2025届最多上升了4.5个百分点，反映了新一代求职者对工作体验、职场文化等要求持续提高。</w:t>
      </w: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当代</w:t>
      </w:r>
      <w:r>
        <w:rPr>
          <w:rFonts w:ascii="楷体" w:eastAsia="楷体" w:hAnsi="楷体" w:cs="Arial"/>
          <w:b/>
          <w:bCs/>
          <w:color w:val="222222"/>
          <w:sz w:val="32"/>
          <w:szCs w:val="32"/>
          <w:shd w:val="clear" w:color="auto" w:fill="FFFFFF"/>
        </w:rPr>
        <w:t>年轻人渴望摆脱传统职场的束缚、追求更加灵活的工作方式的态度</w:t>
      </w: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。</w:t>
      </w:r>
      <w:r>
        <w:rPr>
          <w:rFonts w:ascii="楷体" w:eastAsia="楷体" w:hAnsi="楷体" w:cs="Arial"/>
          <w:b/>
          <w:bCs/>
          <w:color w:val="222222"/>
          <w:sz w:val="32"/>
          <w:szCs w:val="32"/>
          <w:shd w:val="clear" w:color="auto" w:fill="FFFFFF"/>
        </w:rPr>
        <w:t>他们希望能够在自己的节奏下工作，充分发挥创造力，同时享受生活的平衡。</w:t>
      </w: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而新兴职业正好满足了这一需求。</w:t>
      </w:r>
    </w:p>
    <w:p w14:paraId="138D6AFC" w14:textId="3D61F637" w:rsidR="00695B38" w:rsidRPr="00750347" w:rsidRDefault="00000000" w:rsidP="00091E61">
      <w:pPr>
        <w:ind w:firstLineChars="200" w:firstLine="643"/>
        <w:jc w:val="both"/>
        <w:rPr>
          <w:rFonts w:ascii="楷体" w:eastAsia="楷体" w:hAnsi="楷体" w:cs="Arial" w:hint="eastAsia"/>
          <w:b/>
          <w:bCs/>
          <w:color w:val="4472C4" w:themeColor="accent1"/>
          <w:sz w:val="32"/>
          <w:szCs w:val="32"/>
          <w:shd w:val="clear" w:color="auto" w:fill="FFFFFF"/>
        </w:rPr>
      </w:pPr>
      <w:r w:rsidRPr="00750347">
        <w:rPr>
          <w:rFonts w:ascii="楷体" w:eastAsia="楷体" w:hAnsi="楷体" w:cs="Arial" w:hint="eastAsia"/>
          <w:b/>
          <w:bCs/>
          <w:color w:val="4472C4" w:themeColor="accent1"/>
          <w:sz w:val="32"/>
          <w:szCs w:val="32"/>
          <w:shd w:val="clear" w:color="auto" w:fill="FFFFFF"/>
        </w:rPr>
        <w:t>【</w:t>
      </w:r>
      <w:r w:rsidR="00595819">
        <w:rPr>
          <w:rFonts w:ascii="楷体" w:eastAsia="楷体" w:hAnsi="楷体" w:cs="Arial" w:hint="eastAsia"/>
          <w:b/>
          <w:bCs/>
          <w:color w:val="4472C4" w:themeColor="accent1"/>
          <w:sz w:val="32"/>
          <w:szCs w:val="32"/>
          <w:shd w:val="clear" w:color="auto" w:fill="FFFFFF"/>
        </w:rPr>
        <w:t>影响应届生选择录用意向offer的关键因素</w:t>
      </w:r>
      <w:r w:rsidRPr="00750347">
        <w:rPr>
          <w:rFonts w:ascii="楷体" w:eastAsia="楷体" w:hAnsi="楷体" w:cs="Arial" w:hint="eastAsia"/>
          <w:b/>
          <w:bCs/>
          <w:color w:val="4472C4" w:themeColor="accent1"/>
          <w:sz w:val="32"/>
          <w:szCs w:val="32"/>
          <w:shd w:val="clear" w:color="auto" w:fill="FFFFFF"/>
        </w:rPr>
        <w:t>】</w:t>
      </w:r>
    </w:p>
    <w:p w14:paraId="334DF56D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新兴职业不仅满足了个体追求灵活工作的需求，还在很多方面适应了社会特定领域的发展需求，进而推动相关产业或社会模式的变革。例如，随着老龄化社会的到来，“老年数字服务师”这一职业应运而生。对于从业者来说，他们可以通过帮助老年人适应数字生活，实现自身技能的价值转化，获得职业成就感；从社会层面看，这一职业解决了老年人面对数字技术时的困境，促进了社会的包容与和谐发展，推动了养老服务产业的数字化升级。据养老服务行业协会统计，引入老年数字服务师后，老年人使用数字服务的比例从30%提升到了55%。新兴职业的生长史，本质上是个体价值与时代需求的“动态应答”。</w:t>
      </w:r>
    </w:p>
    <w:p w14:paraId="50CD330F" w14:textId="77777777" w:rsidR="00695B38" w:rsidRDefault="00695B38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</w:p>
    <w:p w14:paraId="6B2CA5D5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从电影《她》走出的人工智能数字人训练师，从《聊斋志异》走出的服务犬驯养师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……新兴职业的生长史，本质上是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个体价值与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时代需求的“动态应答”。从技术驱动到政策规范，从权益保障到价值重构，每一组数据的波动都在书写着就业市场的新规则——而那些尚未被命名的职业，或许正藏着未来社会的模样。</w:t>
      </w:r>
    </w:p>
    <w:p w14:paraId="2AE2BEFC" w14:textId="77777777" w:rsidR="00695B38" w:rsidRDefault="00695B38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</w:p>
    <w:p w14:paraId="57C5A4E2" w14:textId="77777777" w:rsidR="00695B38" w:rsidRDefault="00695B38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</w:p>
    <w:sectPr w:rsidR="00695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ED829" w14:textId="77777777" w:rsidR="00B8737D" w:rsidRDefault="00B8737D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6E5886E7" w14:textId="77777777" w:rsidR="00B8737D" w:rsidRDefault="00B8737D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_GBK">
    <w:altName w:val="微软雅黑"/>
    <w:charset w:val="86"/>
    <w:family w:val="script"/>
    <w:pitch w:val="variable"/>
    <w:sig w:usb0="00000001" w:usb1="080E0000" w:usb2="00000010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Times New Roman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A31C6" w14:textId="77777777" w:rsidR="00B8737D" w:rsidRDefault="00B8737D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19BA12C2" w14:textId="77777777" w:rsidR="00B8737D" w:rsidRDefault="00B8737D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479"/>
    <w:rsid w:val="F7EF29B4"/>
    <w:rsid w:val="F7F868AE"/>
    <w:rsid w:val="FFFFB1CC"/>
    <w:rsid w:val="00007E9E"/>
    <w:rsid w:val="0002078C"/>
    <w:rsid w:val="00044814"/>
    <w:rsid w:val="00091210"/>
    <w:rsid w:val="00091E61"/>
    <w:rsid w:val="00194479"/>
    <w:rsid w:val="001A3C63"/>
    <w:rsid w:val="001E0738"/>
    <w:rsid w:val="001E1779"/>
    <w:rsid w:val="00251C2D"/>
    <w:rsid w:val="0025368E"/>
    <w:rsid w:val="0028122E"/>
    <w:rsid w:val="00287BA4"/>
    <w:rsid w:val="002B033B"/>
    <w:rsid w:val="002E4B95"/>
    <w:rsid w:val="002F516F"/>
    <w:rsid w:val="00344768"/>
    <w:rsid w:val="003A0311"/>
    <w:rsid w:val="003D1E73"/>
    <w:rsid w:val="003E6140"/>
    <w:rsid w:val="00426441"/>
    <w:rsid w:val="004948E3"/>
    <w:rsid w:val="004B600A"/>
    <w:rsid w:val="00535F41"/>
    <w:rsid w:val="00587460"/>
    <w:rsid w:val="00595819"/>
    <w:rsid w:val="005B466C"/>
    <w:rsid w:val="005C6894"/>
    <w:rsid w:val="005D7455"/>
    <w:rsid w:val="005F5AF6"/>
    <w:rsid w:val="00642C06"/>
    <w:rsid w:val="00653FD9"/>
    <w:rsid w:val="00662E0F"/>
    <w:rsid w:val="00695B38"/>
    <w:rsid w:val="006A53FD"/>
    <w:rsid w:val="006E245B"/>
    <w:rsid w:val="00714327"/>
    <w:rsid w:val="00750347"/>
    <w:rsid w:val="007F406E"/>
    <w:rsid w:val="00802F01"/>
    <w:rsid w:val="008150CE"/>
    <w:rsid w:val="00832503"/>
    <w:rsid w:val="0087655D"/>
    <w:rsid w:val="008B64D1"/>
    <w:rsid w:val="008C2945"/>
    <w:rsid w:val="008E5C8F"/>
    <w:rsid w:val="008F08A6"/>
    <w:rsid w:val="00911670"/>
    <w:rsid w:val="009207AE"/>
    <w:rsid w:val="00967025"/>
    <w:rsid w:val="0097658C"/>
    <w:rsid w:val="009A0667"/>
    <w:rsid w:val="009C6256"/>
    <w:rsid w:val="00A51D5B"/>
    <w:rsid w:val="00A95C97"/>
    <w:rsid w:val="00AA0785"/>
    <w:rsid w:val="00B365E4"/>
    <w:rsid w:val="00B670F3"/>
    <w:rsid w:val="00B8737D"/>
    <w:rsid w:val="00BC4277"/>
    <w:rsid w:val="00C12174"/>
    <w:rsid w:val="00C2089B"/>
    <w:rsid w:val="00CE6D7F"/>
    <w:rsid w:val="00D107D4"/>
    <w:rsid w:val="00DE049E"/>
    <w:rsid w:val="00DF46A9"/>
    <w:rsid w:val="00E00898"/>
    <w:rsid w:val="00E216EB"/>
    <w:rsid w:val="00E23E97"/>
    <w:rsid w:val="00E9030B"/>
    <w:rsid w:val="00F3638C"/>
    <w:rsid w:val="00F3763D"/>
    <w:rsid w:val="00F555A5"/>
    <w:rsid w:val="00F970AC"/>
    <w:rsid w:val="00FE5D8F"/>
    <w:rsid w:val="5FD7F98C"/>
    <w:rsid w:val="6FDEEA57"/>
    <w:rsid w:val="73DDD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BFB98"/>
  <w15:docId w15:val="{601C2EA7-08E1-1449-9208-3099AB0C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  <w14:ligatures w14:val="standardContextual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  <w14:ligatures w14:val="standardContextual"/>
    </w:rPr>
  </w:style>
  <w:style w:type="character" w:styleId="af1">
    <w:name w:val="annotation reference"/>
    <w:basedOn w:val="a0"/>
    <w:uiPriority w:val="99"/>
    <w:semiHidden/>
    <w:unhideWhenUsed/>
    <w:rsid w:val="007F406E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7F406E"/>
  </w:style>
  <w:style w:type="character" w:customStyle="1" w:styleId="af3">
    <w:name w:val="批注文字 字符"/>
    <w:basedOn w:val="a0"/>
    <w:link w:val="af2"/>
    <w:uiPriority w:val="99"/>
    <w:semiHidden/>
    <w:rsid w:val="007F406E"/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F406E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7F406E"/>
    <w:rPr>
      <w:rFonts w:asciiTheme="minorHAnsi" w:eastAsiaTheme="minorEastAsia" w:hAnsiTheme="minorHAnsi" w:cstheme="minorBidi"/>
      <w:b/>
      <w:bCs/>
      <w:kern w:val="2"/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005833-75B8-9C40-AD6A-6EF94E4C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超仪 方</dc:creator>
  <cp:lastModifiedBy>Yan Fang</cp:lastModifiedBy>
  <cp:revision>2</cp:revision>
  <dcterms:created xsi:type="dcterms:W3CDTF">2025-08-14T06:11:00Z</dcterms:created>
  <dcterms:modified xsi:type="dcterms:W3CDTF">2025-08-14T06:11:00Z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257F089AFC8A255E58AC9268193037EF_42</vt:lpwstr>
  </property>
</Properties>
</file>