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CF2FC98" w:rsidP="1CF2FC98" w:rsidRDefault="1CF2FC98" w14:paraId="6386D620" w14:textId="44BE8C6A">
      <w:pPr>
        <w:pStyle w:val="Subtitle"/>
        <w:keepNext w:val="1"/>
        <w:keepLines w:val="1"/>
        <w:bidi w:val="0"/>
        <w:spacing w:before="24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pPr>
    </w:p>
    <w:p w:rsidR="1CF2FC98" w:rsidP="1CF2FC98" w:rsidRDefault="1CF2FC98" w14:paraId="01C25565" w14:textId="0670CFCF">
      <w:pPr>
        <w:pStyle w:val="Subtitle"/>
        <w:keepNext w:val="1"/>
        <w:keepLines w:val="1"/>
        <w:bidi w:val="0"/>
        <w:spacing w:before="24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pPr>
    </w:p>
    <w:p w:rsidR="1CF2FC98" w:rsidP="1CF2FC98" w:rsidRDefault="1CF2FC98" w14:paraId="32D99797" w14:textId="19C73AF1">
      <w:pPr>
        <w:pStyle w:val="Subtitle"/>
        <w:keepNext w:val="1"/>
        <w:keepLines w:val="1"/>
        <w:bidi w:val="0"/>
        <w:spacing w:before="24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pPr>
    </w:p>
    <w:p w:rsidR="1CF2FC98" w:rsidP="1CF2FC98" w:rsidRDefault="1CF2FC98" w14:paraId="3425E12E" w14:textId="10A17E9C">
      <w:pPr>
        <w:pStyle w:val="Subtitle"/>
        <w:keepNext w:val="1"/>
        <w:keepLines w:val="1"/>
        <w:bidi w:val="0"/>
        <w:spacing w:before="24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pPr>
    </w:p>
    <w:p w:rsidR="145BDACC" w:rsidP="1CF2FC98" w:rsidRDefault="145BDACC" w14:paraId="473D39D7" w14:textId="077186B7">
      <w:pPr>
        <w:pStyle w:val="Subtitle"/>
        <w:keepNext w:val="1"/>
        <w:keepLines w:val="1"/>
        <w:bidi w:val="0"/>
        <w:spacing w:before="24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pPr>
      <w:r w:rsidRPr="1CF2FC98" w:rsidR="145BDAC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Unit </w:t>
      </w:r>
      <w:r w:rsidRPr="1CF2FC98" w:rsidR="37CA5A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4.1</w:t>
      </w:r>
      <w:r w:rsidRPr="1CF2FC98" w:rsidR="145BDAC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 </w:t>
      </w:r>
      <w:r w:rsidRPr="1CF2FC98" w:rsidR="511AC45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Visual Design Challenge</w:t>
      </w:r>
    </w:p>
    <w:p w:rsidR="145BDACC" w:rsidP="1CF2FC98" w:rsidRDefault="145BDACC" w14:paraId="76A2E57C" w14:textId="586FA89D">
      <w:pPr>
        <w:pStyle w:val="Subtitle"/>
        <w:keepNext w:val="1"/>
        <w:keepLines w:val="1"/>
        <w:bidi w:val="0"/>
        <w:spacing w:before="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2FC98" w:rsidR="145B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Dennis Clement</w:t>
      </w:r>
    </w:p>
    <w:p w:rsidR="145BDACC" w:rsidP="1CF2FC98" w:rsidRDefault="145BDACC" w14:paraId="1633C16D" w14:textId="54701D68">
      <w:pPr>
        <w:pStyle w:val="Subtitle"/>
        <w:keepNext w:val="1"/>
        <w:keepLines w:val="1"/>
        <w:bidi w:val="0"/>
        <w:spacing w:before="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2FC98" w:rsidR="145B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Post University</w:t>
      </w:r>
    </w:p>
    <w:p w:rsidR="145BDACC" w:rsidP="1CF2FC98" w:rsidRDefault="145BDACC" w14:paraId="1A4B5106" w14:textId="3D9331FA">
      <w:pPr>
        <w:pStyle w:val="Subtitle"/>
        <w:keepNext w:val="1"/>
        <w:keepLines w:val="1"/>
        <w:bidi w:val="0"/>
        <w:spacing w:before="24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2FC98" w:rsidR="145B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CIS 311_30 Technical Writing in CIS</w:t>
      </w:r>
    </w:p>
    <w:p w:rsidR="145BDACC" w:rsidP="1CF2FC98" w:rsidRDefault="145BDACC" w14:paraId="5C7170E4" w14:textId="785CCA84">
      <w:pPr>
        <w:pStyle w:val="Subtitle"/>
        <w:keepNext w:val="1"/>
        <w:keepLines w:val="1"/>
        <w:bidi w:val="0"/>
        <w:spacing w:before="24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2FC98" w:rsidR="145B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 Matthew Zullo</w:t>
      </w:r>
    </w:p>
    <w:p w:rsidR="145BDACC" w:rsidP="1CF2FC98" w:rsidRDefault="145BDACC" w14:paraId="3775B2C0" w14:textId="48E51B96">
      <w:pPr>
        <w:pStyle w:val="Subtitle"/>
        <w:keepNext w:val="1"/>
        <w:keepLines w:val="1"/>
        <w:bidi w:val="0"/>
        <w:spacing w:before="24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2FC98" w:rsidR="145B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September 1</w:t>
      </w:r>
      <w:r w:rsidRPr="1CF2FC98" w:rsidR="2BA34C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8</w:t>
      </w:r>
      <w:r w:rsidRPr="1CF2FC98" w:rsidR="145B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th, 2025</w:t>
      </w:r>
    </w:p>
    <w:p w:rsidR="1CF2FC98" w:rsidRDefault="1CF2FC98" w14:paraId="7C3857A8" w14:textId="123014C6"/>
    <w:p w:rsidR="1CF2FC98" w:rsidRDefault="1CF2FC98" w14:paraId="2C6BD532" w14:textId="53FA1286"/>
    <w:p w:rsidR="1CF2FC98" w:rsidRDefault="1CF2FC98" w14:paraId="7696F61B" w14:textId="4B551456"/>
    <w:p w:rsidR="1CF2FC98" w:rsidRDefault="1CF2FC98" w14:paraId="531A7042" w14:textId="2C030DD7"/>
    <w:p w:rsidR="1CF2FC98" w:rsidRDefault="1CF2FC98" w14:paraId="758B8E66" w14:textId="2E0576F9"/>
    <w:p w:rsidR="1CF2FC98" w:rsidRDefault="1CF2FC98" w14:paraId="183B635A" w14:textId="095F2DD5"/>
    <w:p w:rsidR="1CF2FC98" w:rsidRDefault="1CF2FC98" w14:paraId="48B0E905" w14:textId="215DBB32"/>
    <w:p w:rsidR="1CF2FC98" w:rsidRDefault="1CF2FC98" w14:paraId="1FE5FFDF" w14:textId="22B2DE18"/>
    <w:p w:rsidR="1CF2FC98" w:rsidRDefault="1CF2FC98" w14:paraId="70E5CAC6" w14:textId="53BCD5B3"/>
    <w:p w:rsidR="1CF2FC98" w:rsidRDefault="1CF2FC98" w14:paraId="72B4CD17" w14:textId="6356C2D3"/>
    <w:p w:rsidR="1CF2FC98" w:rsidP="1CF2FC98" w:rsidRDefault="1CF2FC98" w14:paraId="5D81CC34" w14:textId="4E7E1F15">
      <w:pPr>
        <w:pStyle w:val="Normal"/>
        <w:numPr>
          <w:ilvl w:val="0"/>
          <w:numId w:val="0"/>
        </w:numPr>
      </w:pPr>
    </w:p>
    <w:tbl>
      <w:tblPr>
        <w:tblStyle w:val="TableNormal"/>
        <w:bidiVisual w:val="0"/>
        <w:tblW w:w="0" w:type="auto"/>
        <w:tblLayout w:type="fixed"/>
        <w:tblLook w:val="06A0" w:firstRow="1" w:lastRow="0" w:firstColumn="1" w:lastColumn="0" w:noHBand="1" w:noVBand="1"/>
      </w:tblPr>
      <w:tblGrid>
        <w:gridCol w:w="1987"/>
        <w:gridCol w:w="1422"/>
        <w:gridCol w:w="1422"/>
        <w:gridCol w:w="1422"/>
        <w:gridCol w:w="1422"/>
        <w:gridCol w:w="1423"/>
      </w:tblGrid>
      <w:tr w:rsidR="1376C17C" w:rsidTr="1376C17C" w14:paraId="37CE55E2">
        <w:trPr>
          <w:trHeight w:val="300"/>
        </w:trPr>
        <w:tc>
          <w:tcPr>
            <w:tcW w:w="9098" w:type="dxa"/>
            <w:gridSpan w:val="6"/>
            <w:tcBorders>
              <w:top w:val="nil"/>
              <w:left w:val="nil"/>
              <w:bottom w:val="nil"/>
              <w:right w:val="nil"/>
            </w:tcBorders>
            <w:shd w:val="clear" w:color="auto" w:fill="DAE9F8"/>
            <w:tcMar>
              <w:top w:w="15" w:type="dxa"/>
              <w:left w:w="15" w:type="dxa"/>
              <w:right w:w="15" w:type="dxa"/>
            </w:tcMar>
            <w:vAlign w:val="bottom"/>
          </w:tcPr>
          <w:p w:rsidR="1376C17C" w:rsidP="1376C17C" w:rsidRDefault="1376C17C" w14:paraId="2CE9FC12" w14:textId="4B0E76B7">
            <w:pPr>
              <w:spacing w:before="0" w:beforeAutospacing="off" w:after="0" w:afterAutospacing="off"/>
              <w:jc w:val="center"/>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World Production of Oranges in thousands of Metric tons</w:t>
            </w:r>
          </w:p>
        </w:tc>
      </w:tr>
      <w:tr w:rsidR="1376C17C" w:rsidTr="1376C17C" w14:paraId="2F3FF17D">
        <w:trPr>
          <w:trHeight w:val="300"/>
        </w:trPr>
        <w:tc>
          <w:tcPr>
            <w:tcW w:w="1987" w:type="dxa"/>
            <w:tcBorders>
              <w:top w:val="nil"/>
              <w:left w:val="nil"/>
              <w:bottom w:val="nil"/>
              <w:right w:val="nil"/>
            </w:tcBorders>
            <w:tcMar>
              <w:top w:w="15" w:type="dxa"/>
              <w:left w:w="15" w:type="dxa"/>
              <w:right w:w="15" w:type="dxa"/>
            </w:tcMar>
            <w:vAlign w:val="bottom"/>
          </w:tcPr>
          <w:p w:rsidR="1376C17C" w:rsidRDefault="1376C17C" w14:paraId="31474883" w14:textId="43EE8D9A"/>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466AE32" w14:textId="4E825FB8">
            <w:pPr>
              <w:spacing w:before="0" w:beforeAutospacing="off" w:after="0" w:afterAutospacing="off"/>
              <w:jc w:val="center"/>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2017</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2416A8AE" w14:textId="605F3011">
            <w:pPr>
              <w:spacing w:before="0" w:beforeAutospacing="off" w:after="0" w:afterAutospacing="off"/>
              <w:jc w:val="center"/>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2018</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F5E9078" w14:textId="23887147">
            <w:pPr>
              <w:spacing w:before="0" w:beforeAutospacing="off" w:after="0" w:afterAutospacing="off"/>
              <w:jc w:val="center"/>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2019</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3DCD9490" w14:textId="1C3803FE">
            <w:pPr>
              <w:spacing w:before="0" w:beforeAutospacing="off" w:after="0" w:afterAutospacing="off"/>
              <w:jc w:val="center"/>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2020</w:t>
            </w:r>
          </w:p>
        </w:tc>
        <w:tc>
          <w:tcPr>
            <w:tcW w:w="1423" w:type="dxa"/>
            <w:tcBorders>
              <w:top w:val="nil"/>
              <w:left w:val="nil"/>
              <w:bottom w:val="nil"/>
              <w:right w:val="nil"/>
            </w:tcBorders>
            <w:tcMar>
              <w:top w:w="15" w:type="dxa"/>
              <w:left w:w="15" w:type="dxa"/>
              <w:right w:w="15" w:type="dxa"/>
            </w:tcMar>
            <w:vAlign w:val="bottom"/>
          </w:tcPr>
          <w:p w:rsidR="1376C17C" w:rsidP="1376C17C" w:rsidRDefault="1376C17C" w14:paraId="2036845B" w14:textId="44167433">
            <w:pPr>
              <w:spacing w:before="0" w:beforeAutospacing="off" w:after="0" w:afterAutospacing="off"/>
              <w:jc w:val="center"/>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2021</w:t>
            </w:r>
          </w:p>
        </w:tc>
      </w:tr>
      <w:tr w:rsidR="1376C17C" w:rsidTr="1376C17C" w14:paraId="7E2FC5CD">
        <w:trPr>
          <w:trHeight w:val="300"/>
        </w:trPr>
        <w:tc>
          <w:tcPr>
            <w:tcW w:w="1987" w:type="dxa"/>
            <w:tcBorders>
              <w:top w:val="nil"/>
              <w:left w:val="nil"/>
              <w:bottom w:val="nil"/>
              <w:right w:val="nil"/>
            </w:tcBorders>
            <w:shd w:val="clear" w:color="auto" w:fill="F4F4F4"/>
            <w:tcMar>
              <w:top w:w="15" w:type="dxa"/>
              <w:left w:w="15" w:type="dxa"/>
              <w:right w:w="15" w:type="dxa"/>
            </w:tcMar>
            <w:vAlign w:val="bottom"/>
          </w:tcPr>
          <w:p w:rsidR="1376C17C" w:rsidP="1376C17C" w:rsidRDefault="1376C17C" w14:paraId="299777B8" w14:textId="51C65D28">
            <w:pPr>
              <w:spacing w:before="0" w:beforeAutospacing="off" w:after="0" w:afterAutospacing="off"/>
            </w:pPr>
            <w:r w:rsidRPr="1376C17C" w:rsidR="1376C17C">
              <w:rPr>
                <w:rFonts w:ascii="Open Sans" w:hAnsi="Open Sans" w:eastAsia="Open Sans" w:cs="Open Sans"/>
                <w:b w:val="0"/>
                <w:bCs w:val="0"/>
                <w:i w:val="0"/>
                <w:iCs w:val="0"/>
                <w:strike w:val="0"/>
                <w:dstrike w:val="0"/>
                <w:color w:val="000000" w:themeColor="text1" w:themeTint="FF" w:themeShade="FF"/>
                <w:sz w:val="20"/>
                <w:szCs w:val="20"/>
                <w:u w:val="none"/>
              </w:rPr>
              <w:t>Brazil</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48463FA0" w14:textId="3986F266">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12,053</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38F695A6" w14:textId="17FA141D">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13,165</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08EB80CC" w14:textId="0B4345EC">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15,482</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3C0766D0" w14:textId="71D5EC99">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16,982</w:t>
            </w:r>
          </w:p>
        </w:tc>
        <w:tc>
          <w:tcPr>
            <w:tcW w:w="1423" w:type="dxa"/>
            <w:tcBorders>
              <w:top w:val="nil"/>
              <w:left w:val="nil"/>
              <w:bottom w:val="nil"/>
              <w:right w:val="nil"/>
            </w:tcBorders>
            <w:tcMar>
              <w:top w:w="15" w:type="dxa"/>
              <w:left w:w="15" w:type="dxa"/>
              <w:right w:w="15" w:type="dxa"/>
            </w:tcMar>
            <w:vAlign w:val="bottom"/>
          </w:tcPr>
          <w:p w:rsidR="1376C17C" w:rsidP="1376C17C" w:rsidRDefault="1376C17C" w14:paraId="485A5C69" w14:textId="4C0AF652">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18,998</w:t>
            </w:r>
          </w:p>
        </w:tc>
      </w:tr>
      <w:tr w:rsidR="1376C17C" w:rsidTr="1376C17C" w14:paraId="47C6002E">
        <w:trPr>
          <w:trHeight w:val="300"/>
        </w:trPr>
        <w:tc>
          <w:tcPr>
            <w:tcW w:w="1987" w:type="dxa"/>
            <w:tcBorders>
              <w:top w:val="nil"/>
              <w:left w:val="nil"/>
              <w:bottom w:val="nil"/>
              <w:right w:val="nil"/>
            </w:tcBorders>
            <w:shd w:val="clear" w:color="auto" w:fill="F4F4F4"/>
            <w:tcMar>
              <w:top w:w="15" w:type="dxa"/>
              <w:left w:w="15" w:type="dxa"/>
              <w:right w:w="15" w:type="dxa"/>
            </w:tcMar>
            <w:vAlign w:val="bottom"/>
          </w:tcPr>
          <w:p w:rsidR="1376C17C" w:rsidP="1376C17C" w:rsidRDefault="1376C17C" w14:paraId="59C2CCF6" w14:textId="3D2B1E02">
            <w:pPr>
              <w:spacing w:before="0" w:beforeAutospacing="off" w:after="0" w:afterAutospacing="off"/>
            </w:pPr>
            <w:r w:rsidRPr="1376C17C" w:rsidR="1376C17C">
              <w:rPr>
                <w:rFonts w:ascii="Open Sans" w:hAnsi="Open Sans" w:eastAsia="Open Sans" w:cs="Open Sans"/>
                <w:b w:val="0"/>
                <w:bCs w:val="0"/>
                <w:i w:val="0"/>
                <w:iCs w:val="0"/>
                <w:strike w:val="0"/>
                <w:dstrike w:val="0"/>
                <w:color w:val="000000" w:themeColor="text1" w:themeTint="FF" w:themeShade="FF"/>
                <w:sz w:val="20"/>
                <w:szCs w:val="20"/>
                <w:u w:val="none"/>
              </w:rPr>
              <w:t>United States</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378D0A6A" w14:textId="77723840">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8,562</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4C214319" w14:textId="5CFCD970">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7,453</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2892DBA" w14:textId="7B151C28">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9,321</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ED54497" w14:textId="32389303">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6,349</w:t>
            </w:r>
          </w:p>
        </w:tc>
        <w:tc>
          <w:tcPr>
            <w:tcW w:w="1423" w:type="dxa"/>
            <w:tcBorders>
              <w:top w:val="nil"/>
              <w:left w:val="nil"/>
              <w:bottom w:val="nil"/>
              <w:right w:val="nil"/>
            </w:tcBorders>
            <w:tcMar>
              <w:top w:w="15" w:type="dxa"/>
              <w:left w:w="15" w:type="dxa"/>
              <w:right w:w="15" w:type="dxa"/>
            </w:tcMar>
            <w:vAlign w:val="bottom"/>
          </w:tcPr>
          <w:p w:rsidR="1376C17C" w:rsidP="1376C17C" w:rsidRDefault="1376C17C" w14:paraId="4F3859C6" w14:textId="327A8797">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4,500</w:t>
            </w:r>
          </w:p>
        </w:tc>
      </w:tr>
      <w:tr w:rsidR="1376C17C" w:rsidTr="1376C17C" w14:paraId="0D838969">
        <w:trPr>
          <w:trHeight w:val="300"/>
        </w:trPr>
        <w:tc>
          <w:tcPr>
            <w:tcW w:w="1987" w:type="dxa"/>
            <w:tcBorders>
              <w:top w:val="nil"/>
              <w:left w:val="nil"/>
              <w:bottom w:val="nil"/>
              <w:right w:val="nil"/>
            </w:tcBorders>
            <w:shd w:val="clear" w:color="auto" w:fill="F4F4F4"/>
            <w:tcMar>
              <w:top w:w="15" w:type="dxa"/>
              <w:left w:w="15" w:type="dxa"/>
              <w:right w:w="15" w:type="dxa"/>
            </w:tcMar>
            <w:vAlign w:val="bottom"/>
          </w:tcPr>
          <w:p w:rsidR="1376C17C" w:rsidP="1376C17C" w:rsidRDefault="1376C17C" w14:paraId="062E6DFF" w14:textId="37390B75">
            <w:pPr>
              <w:spacing w:before="0" w:beforeAutospacing="off" w:after="0" w:afterAutospacing="off"/>
            </w:pPr>
            <w:r w:rsidRPr="1376C17C" w:rsidR="1376C17C">
              <w:rPr>
                <w:rFonts w:ascii="Open Sans" w:hAnsi="Open Sans" w:eastAsia="Open Sans" w:cs="Open Sans"/>
                <w:b w:val="0"/>
                <w:bCs w:val="0"/>
                <w:i w:val="0"/>
                <w:iCs w:val="0"/>
                <w:strike w:val="0"/>
                <w:dstrike w:val="0"/>
                <w:color w:val="000000" w:themeColor="text1" w:themeTint="FF" w:themeShade="FF"/>
                <w:sz w:val="20"/>
                <w:szCs w:val="20"/>
                <w:u w:val="none"/>
              </w:rPr>
              <w:t>China</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0A53585E" w14:textId="4D6E92D4">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8,391</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63107DA5" w14:textId="7F602C24">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4,555</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03E6B82B" w14:textId="31923E35">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7,397</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4317E8A" w14:textId="0D3A8463">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8,921</w:t>
            </w:r>
          </w:p>
        </w:tc>
        <w:tc>
          <w:tcPr>
            <w:tcW w:w="1423" w:type="dxa"/>
            <w:tcBorders>
              <w:top w:val="nil"/>
              <w:left w:val="nil"/>
              <w:bottom w:val="nil"/>
              <w:right w:val="nil"/>
            </w:tcBorders>
            <w:tcMar>
              <w:top w:w="15" w:type="dxa"/>
              <w:left w:w="15" w:type="dxa"/>
              <w:right w:w="15" w:type="dxa"/>
            </w:tcMar>
            <w:vAlign w:val="bottom"/>
          </w:tcPr>
          <w:p w:rsidR="1376C17C" w:rsidP="1376C17C" w:rsidRDefault="1376C17C" w14:paraId="637CA95B" w14:textId="0EA3BBC0">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7,507</w:t>
            </w:r>
          </w:p>
        </w:tc>
      </w:tr>
      <w:tr w:rsidR="1376C17C" w:rsidTr="1376C17C" w14:paraId="441AE81D">
        <w:trPr>
          <w:trHeight w:val="300"/>
        </w:trPr>
        <w:tc>
          <w:tcPr>
            <w:tcW w:w="1987" w:type="dxa"/>
            <w:tcBorders>
              <w:top w:val="nil"/>
              <w:left w:val="nil"/>
              <w:bottom w:val="nil"/>
              <w:right w:val="nil"/>
            </w:tcBorders>
            <w:shd w:val="clear" w:color="auto" w:fill="F4F4F4"/>
            <w:tcMar>
              <w:top w:w="15" w:type="dxa"/>
              <w:left w:w="15" w:type="dxa"/>
              <w:right w:w="15" w:type="dxa"/>
            </w:tcMar>
            <w:vAlign w:val="bottom"/>
          </w:tcPr>
          <w:p w:rsidR="1376C17C" w:rsidP="1376C17C" w:rsidRDefault="1376C17C" w14:paraId="1AA39895" w14:textId="1772F679">
            <w:pPr>
              <w:spacing w:before="0" w:beforeAutospacing="off" w:after="0" w:afterAutospacing="off"/>
            </w:pPr>
            <w:r w:rsidRPr="1376C17C" w:rsidR="1376C17C">
              <w:rPr>
                <w:rFonts w:ascii="Open Sans" w:hAnsi="Open Sans" w:eastAsia="Open Sans" w:cs="Open Sans"/>
                <w:b w:val="0"/>
                <w:bCs w:val="0"/>
                <w:i w:val="0"/>
                <w:iCs w:val="0"/>
                <w:strike w:val="0"/>
                <w:dstrike w:val="0"/>
                <w:color w:val="000000" w:themeColor="text1" w:themeTint="FF" w:themeShade="FF"/>
                <w:sz w:val="20"/>
                <w:szCs w:val="20"/>
                <w:u w:val="none"/>
              </w:rPr>
              <w:t>European Union</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5C5CED3A" w14:textId="2CE7160C">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4,563</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5908B7E" w14:textId="3E9411E0">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4,871</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DE9875A" w14:textId="193621E1">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4,989</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421FA87A" w14:textId="61FC9E87">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5,551</w:t>
            </w:r>
          </w:p>
        </w:tc>
        <w:tc>
          <w:tcPr>
            <w:tcW w:w="1423" w:type="dxa"/>
            <w:tcBorders>
              <w:top w:val="nil"/>
              <w:left w:val="nil"/>
              <w:bottom w:val="nil"/>
              <w:right w:val="nil"/>
            </w:tcBorders>
            <w:tcMar>
              <w:top w:w="15" w:type="dxa"/>
              <w:left w:w="15" w:type="dxa"/>
              <w:right w:w="15" w:type="dxa"/>
            </w:tcMar>
            <w:vAlign w:val="bottom"/>
          </w:tcPr>
          <w:p w:rsidR="1376C17C" w:rsidP="1376C17C" w:rsidRDefault="1376C17C" w14:paraId="13B51A79" w14:textId="64E88E4A">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6,603</w:t>
            </w:r>
          </w:p>
        </w:tc>
      </w:tr>
      <w:tr w:rsidR="1376C17C" w:rsidTr="1376C17C" w14:paraId="2FA986CD">
        <w:trPr>
          <w:trHeight w:val="300"/>
        </w:trPr>
        <w:tc>
          <w:tcPr>
            <w:tcW w:w="1987" w:type="dxa"/>
            <w:tcBorders>
              <w:top w:val="nil"/>
              <w:left w:val="nil"/>
              <w:bottom w:val="nil"/>
              <w:right w:val="nil"/>
            </w:tcBorders>
            <w:shd w:val="clear" w:color="auto" w:fill="F4F4F4"/>
            <w:tcMar>
              <w:top w:w="15" w:type="dxa"/>
              <w:left w:w="15" w:type="dxa"/>
              <w:right w:w="15" w:type="dxa"/>
            </w:tcMar>
            <w:vAlign w:val="bottom"/>
          </w:tcPr>
          <w:p w:rsidR="1376C17C" w:rsidP="1376C17C" w:rsidRDefault="1376C17C" w14:paraId="03D68C0D" w14:textId="06A9D46B">
            <w:pPr>
              <w:spacing w:before="0" w:beforeAutospacing="off" w:after="0" w:afterAutospacing="off"/>
            </w:pPr>
            <w:r w:rsidRPr="1376C17C" w:rsidR="1376C17C">
              <w:rPr>
                <w:rFonts w:ascii="Open Sans" w:hAnsi="Open Sans" w:eastAsia="Open Sans" w:cs="Open Sans"/>
                <w:b w:val="0"/>
                <w:bCs w:val="0"/>
                <w:i w:val="0"/>
                <w:iCs w:val="0"/>
                <w:strike w:val="0"/>
                <w:dstrike w:val="0"/>
                <w:color w:val="000000" w:themeColor="text1" w:themeTint="FF" w:themeShade="FF"/>
                <w:sz w:val="20"/>
                <w:szCs w:val="20"/>
                <w:u w:val="none"/>
              </w:rPr>
              <w:t>India</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2CF7176A" w14:textId="29DCDE39">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8,776</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512D0BC6" w14:textId="7BFB5627">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9,091</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242768E2" w14:textId="681117E1">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8,898</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596382E" w14:textId="4D5389E0">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9,769</w:t>
            </w:r>
          </w:p>
        </w:tc>
        <w:tc>
          <w:tcPr>
            <w:tcW w:w="1423" w:type="dxa"/>
            <w:tcBorders>
              <w:top w:val="nil"/>
              <w:left w:val="nil"/>
              <w:bottom w:val="nil"/>
              <w:right w:val="nil"/>
            </w:tcBorders>
            <w:tcMar>
              <w:top w:w="15" w:type="dxa"/>
              <w:left w:w="15" w:type="dxa"/>
              <w:right w:w="15" w:type="dxa"/>
            </w:tcMar>
            <w:vAlign w:val="bottom"/>
          </w:tcPr>
          <w:p w:rsidR="1376C17C" w:rsidP="1376C17C" w:rsidRDefault="1376C17C" w14:paraId="04CF602B" w14:textId="5C5F5EFB">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10,806</w:t>
            </w:r>
          </w:p>
        </w:tc>
      </w:tr>
      <w:tr w:rsidR="1376C17C" w:rsidTr="1376C17C" w14:paraId="5BCB6C61">
        <w:trPr>
          <w:trHeight w:val="300"/>
        </w:trPr>
        <w:tc>
          <w:tcPr>
            <w:tcW w:w="1987" w:type="dxa"/>
            <w:tcBorders>
              <w:top w:val="nil"/>
              <w:left w:val="nil"/>
              <w:bottom w:val="nil"/>
              <w:right w:val="nil"/>
            </w:tcBorders>
            <w:shd w:val="clear" w:color="auto" w:fill="F4F4F4"/>
            <w:tcMar>
              <w:top w:w="15" w:type="dxa"/>
              <w:left w:w="15" w:type="dxa"/>
              <w:right w:w="15" w:type="dxa"/>
            </w:tcMar>
            <w:vAlign w:val="bottom"/>
          </w:tcPr>
          <w:p w:rsidR="1376C17C" w:rsidP="1376C17C" w:rsidRDefault="1376C17C" w14:paraId="2E58E1FA" w14:textId="7666D5DD">
            <w:pPr>
              <w:spacing w:before="0" w:beforeAutospacing="off" w:after="0" w:afterAutospacing="off"/>
            </w:pPr>
            <w:r w:rsidRPr="1376C17C" w:rsidR="1376C17C">
              <w:rPr>
                <w:rFonts w:ascii="Open Sans" w:hAnsi="Open Sans" w:eastAsia="Open Sans" w:cs="Open Sans"/>
                <w:b w:val="0"/>
                <w:bCs w:val="0"/>
                <w:i w:val="0"/>
                <w:iCs w:val="0"/>
                <w:strike w:val="0"/>
                <w:dstrike w:val="0"/>
                <w:color w:val="000000" w:themeColor="text1" w:themeTint="FF" w:themeShade="FF"/>
                <w:sz w:val="20"/>
                <w:szCs w:val="20"/>
                <w:u w:val="none"/>
              </w:rPr>
              <w:t>Mexico</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5DB3ADB7" w14:textId="1D6C8EAD">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4,898</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D947BAC" w14:textId="00F78A3E">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3,777</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64DD7197" w14:textId="14C24FD8">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2,992</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9A7D048" w14:textId="248B0700">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3,878</w:t>
            </w:r>
          </w:p>
        </w:tc>
        <w:tc>
          <w:tcPr>
            <w:tcW w:w="1423" w:type="dxa"/>
            <w:tcBorders>
              <w:top w:val="nil"/>
              <w:left w:val="nil"/>
              <w:bottom w:val="nil"/>
              <w:right w:val="nil"/>
            </w:tcBorders>
            <w:tcMar>
              <w:top w:w="15" w:type="dxa"/>
              <w:left w:w="15" w:type="dxa"/>
              <w:right w:w="15" w:type="dxa"/>
            </w:tcMar>
            <w:vAlign w:val="bottom"/>
          </w:tcPr>
          <w:p w:rsidR="1376C17C" w:rsidP="1376C17C" w:rsidRDefault="1376C17C" w14:paraId="2D75A824" w14:textId="7350A067">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4,003</w:t>
            </w:r>
          </w:p>
        </w:tc>
      </w:tr>
      <w:tr w:rsidR="1376C17C" w:rsidTr="1376C17C" w14:paraId="15650BC2">
        <w:trPr>
          <w:trHeight w:val="300"/>
        </w:trPr>
        <w:tc>
          <w:tcPr>
            <w:tcW w:w="1987" w:type="dxa"/>
            <w:tcBorders>
              <w:top w:val="nil"/>
              <w:left w:val="nil"/>
              <w:bottom w:val="nil"/>
              <w:right w:val="nil"/>
            </w:tcBorders>
            <w:shd w:val="clear" w:color="auto" w:fill="F4F4F4"/>
            <w:tcMar>
              <w:top w:w="15" w:type="dxa"/>
              <w:left w:w="15" w:type="dxa"/>
              <w:right w:w="15" w:type="dxa"/>
            </w:tcMar>
            <w:vAlign w:val="bottom"/>
          </w:tcPr>
          <w:p w:rsidR="1376C17C" w:rsidP="1376C17C" w:rsidRDefault="1376C17C" w14:paraId="3870F2A5" w14:textId="0626C4A1">
            <w:pPr>
              <w:spacing w:before="0" w:beforeAutospacing="off" w:after="0" w:afterAutospacing="off"/>
            </w:pPr>
            <w:r w:rsidRPr="1376C17C" w:rsidR="1376C17C">
              <w:rPr>
                <w:rFonts w:ascii="Open Sans" w:hAnsi="Open Sans" w:eastAsia="Open Sans" w:cs="Open Sans"/>
                <w:b w:val="0"/>
                <w:bCs w:val="0"/>
                <w:i w:val="0"/>
                <w:iCs w:val="0"/>
                <w:strike w:val="0"/>
                <w:dstrike w:val="0"/>
                <w:color w:val="000000" w:themeColor="text1" w:themeTint="FF" w:themeShade="FF"/>
                <w:sz w:val="20"/>
                <w:szCs w:val="20"/>
                <w:u w:val="none"/>
              </w:rPr>
              <w:t>Spain</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57A7B297" w14:textId="3841B3D2">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3,325</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24C83D87" w14:textId="3598EBD9">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2,671</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2D37DC0B" w14:textId="124CCB65">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2,906</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3B11C400" w14:textId="42033236">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3,287</w:t>
            </w:r>
          </w:p>
        </w:tc>
        <w:tc>
          <w:tcPr>
            <w:tcW w:w="1423" w:type="dxa"/>
            <w:tcBorders>
              <w:top w:val="nil"/>
              <w:left w:val="nil"/>
              <w:bottom w:val="nil"/>
              <w:right w:val="nil"/>
            </w:tcBorders>
            <w:tcMar>
              <w:top w:w="15" w:type="dxa"/>
              <w:left w:w="15" w:type="dxa"/>
              <w:right w:w="15" w:type="dxa"/>
            </w:tcMar>
            <w:vAlign w:val="bottom"/>
          </w:tcPr>
          <w:p w:rsidR="1376C17C" w:rsidP="1376C17C" w:rsidRDefault="1376C17C" w14:paraId="1DF1F997" w14:textId="76E556CD">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3,422</w:t>
            </w:r>
          </w:p>
        </w:tc>
      </w:tr>
      <w:tr w:rsidR="1376C17C" w:rsidTr="1376C17C" w14:paraId="0FA7B182">
        <w:trPr>
          <w:trHeight w:val="300"/>
        </w:trPr>
        <w:tc>
          <w:tcPr>
            <w:tcW w:w="1987" w:type="dxa"/>
            <w:tcBorders>
              <w:top w:val="nil"/>
              <w:left w:val="nil"/>
              <w:bottom w:val="nil"/>
              <w:right w:val="nil"/>
            </w:tcBorders>
            <w:shd w:val="clear" w:color="auto" w:fill="F4F4F4"/>
            <w:tcMar>
              <w:top w:w="15" w:type="dxa"/>
              <w:left w:w="15" w:type="dxa"/>
              <w:right w:w="15" w:type="dxa"/>
            </w:tcMar>
            <w:vAlign w:val="bottom"/>
          </w:tcPr>
          <w:p w:rsidR="1376C17C" w:rsidP="1376C17C" w:rsidRDefault="1376C17C" w14:paraId="2AD4417C" w14:textId="33FDDFBC">
            <w:pPr>
              <w:spacing w:before="0" w:beforeAutospacing="off" w:after="0" w:afterAutospacing="off"/>
            </w:pPr>
            <w:r w:rsidRPr="1376C17C" w:rsidR="1376C17C">
              <w:rPr>
                <w:rFonts w:ascii="Open Sans" w:hAnsi="Open Sans" w:eastAsia="Open Sans" w:cs="Open Sans"/>
                <w:b w:val="0"/>
                <w:bCs w:val="0"/>
                <w:i w:val="0"/>
                <w:iCs w:val="0"/>
                <w:strike w:val="0"/>
                <w:dstrike w:val="0"/>
                <w:color w:val="000000" w:themeColor="text1" w:themeTint="FF" w:themeShade="FF"/>
                <w:sz w:val="20"/>
                <w:szCs w:val="20"/>
                <w:u w:val="none"/>
              </w:rPr>
              <w:t>Egypt</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F2E60C1" w14:textId="794D506B">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1,784</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7BB16803" w14:textId="09E593FF">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2,117</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03C37AAE" w14:textId="1EBC15B5">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2,453</w:t>
            </w:r>
          </w:p>
        </w:tc>
        <w:tc>
          <w:tcPr>
            <w:tcW w:w="1422" w:type="dxa"/>
            <w:tcBorders>
              <w:top w:val="nil"/>
              <w:left w:val="nil"/>
              <w:bottom w:val="nil"/>
              <w:right w:val="nil"/>
            </w:tcBorders>
            <w:tcMar>
              <w:top w:w="15" w:type="dxa"/>
              <w:left w:w="15" w:type="dxa"/>
              <w:right w:w="15" w:type="dxa"/>
            </w:tcMar>
            <w:vAlign w:val="bottom"/>
          </w:tcPr>
          <w:p w:rsidR="1376C17C" w:rsidP="1376C17C" w:rsidRDefault="1376C17C" w14:paraId="2ABF80FB" w14:textId="70331532">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2,643</w:t>
            </w:r>
          </w:p>
        </w:tc>
        <w:tc>
          <w:tcPr>
            <w:tcW w:w="1423" w:type="dxa"/>
            <w:tcBorders>
              <w:top w:val="nil"/>
              <w:left w:val="nil"/>
              <w:bottom w:val="nil"/>
              <w:right w:val="nil"/>
            </w:tcBorders>
            <w:tcMar>
              <w:top w:w="15" w:type="dxa"/>
              <w:left w:w="15" w:type="dxa"/>
              <w:right w:w="15" w:type="dxa"/>
            </w:tcMar>
            <w:vAlign w:val="bottom"/>
          </w:tcPr>
          <w:p w:rsidR="1376C17C" w:rsidP="1376C17C" w:rsidRDefault="1376C17C" w14:paraId="143A3A8C" w14:textId="1B71021D">
            <w:pPr>
              <w:spacing w:before="0" w:beforeAutospacing="off" w:after="0" w:afterAutospacing="off"/>
              <w:jc w:val="right"/>
            </w:pPr>
            <w:r w:rsidRPr="1376C17C" w:rsidR="1376C17C">
              <w:rPr>
                <w:rFonts w:ascii="Aptos Narrow" w:hAnsi="Aptos Narrow" w:eastAsia="Aptos Narrow" w:cs="Aptos Narrow"/>
                <w:b w:val="0"/>
                <w:bCs w:val="0"/>
                <w:i w:val="0"/>
                <w:iCs w:val="0"/>
                <w:strike w:val="0"/>
                <w:dstrike w:val="0"/>
                <w:color w:val="000000" w:themeColor="text1" w:themeTint="FF" w:themeShade="FF"/>
                <w:sz w:val="22"/>
                <w:szCs w:val="22"/>
                <w:u w:val="none"/>
              </w:rPr>
              <w:t>2,900</w:t>
            </w:r>
          </w:p>
        </w:tc>
      </w:tr>
    </w:tbl>
    <w:p xmlns:wp14="http://schemas.microsoft.com/office/word/2010/wordml" w:rsidP="1376C17C" wp14:paraId="67838A7A" wp14:textId="5BBAB6D2">
      <w:pPr>
        <w:spacing w:before="0" w:beforeAutospacing="off" w:after="0" w:afterAutospacing="off"/>
      </w:pPr>
      <w:r w:rsidR="427E9C12">
        <w:rPr/>
        <w:t xml:space="preserve">                   </w:t>
      </w:r>
      <w:r w:rsidR="427E9C12">
        <w:drawing>
          <wp:inline xmlns:wp14="http://schemas.microsoft.com/office/word/2010/wordprocessingDrawing" wp14:editId="46074742" wp14:anchorId="3CADF78C">
            <wp:extent cx="4657725" cy="2762250"/>
            <wp:effectExtent l="0" t="0" r="0" b="0"/>
            <wp:docPr id="2482504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48250487" name=""/>
                    <pic:cNvPicPr/>
                  </pic:nvPicPr>
                  <pic:blipFill>
                    <a:blip xmlns:r="http://schemas.openxmlformats.org/officeDocument/2006/relationships" r:embed="rId244641826">
                      <a:extLst>
                        <a:ext xmlns:a="http://schemas.openxmlformats.org/drawingml/2006/main" uri="{28A0092B-C50C-407E-A947-70E740481C1C}">
                          <a14:useLocalDpi xmlns:a14="http://schemas.microsoft.com/office/drawing/2010/main" val="0"/>
                        </a:ext>
                      </a:extLst>
                    </a:blip>
                    <a:stretch>
                      <a:fillRect/>
                    </a:stretch>
                  </pic:blipFill>
                  <pic:spPr>
                    <a:xfrm>
                      <a:off x="0" y="0"/>
                      <a:ext cx="4657725" cy="2762250"/>
                    </a:xfrm>
                    <a:prstGeom prst="rect">
                      <a:avLst/>
                    </a:prstGeom>
                  </pic:spPr>
                </pic:pic>
              </a:graphicData>
            </a:graphic>
          </wp:inline>
        </w:drawing>
      </w:r>
    </w:p>
    <w:p xmlns:wp14="http://schemas.microsoft.com/office/word/2010/wordml" w:rsidP="1CF2FC98" wp14:paraId="76A04FA0" wp14:textId="114A200B">
      <w:pPr>
        <w:spacing w:before="0" w:beforeAutospacing="off" w:after="0" w:afterAutospacing="off"/>
      </w:pPr>
    </w:p>
    <w:p xmlns:wp14="http://schemas.microsoft.com/office/word/2010/wordml" w:rsidP="1CF2FC98" wp14:paraId="2C078E63" wp14:textId="15A8B6DE">
      <w:pPr>
        <w:spacing w:line="360" w:lineRule="auto"/>
        <w:rPr>
          <w:rFonts w:ascii="Times New Roman" w:hAnsi="Times New Roman" w:eastAsia="Times New Roman" w:cs="Times New Roman"/>
          <w:noProof w:val="0"/>
          <w:sz w:val="24"/>
          <w:szCs w:val="24"/>
          <w:lang w:val="en-US"/>
        </w:rPr>
      </w:pPr>
      <w:r w:rsidRPr="1CF2FC98" w:rsidR="4A50B29B">
        <w:rPr>
          <w:rFonts w:ascii="Times New Roman" w:hAnsi="Times New Roman" w:eastAsia="Times New Roman" w:cs="Times New Roman"/>
          <w:noProof w:val="0"/>
          <w:sz w:val="24"/>
          <w:szCs w:val="24"/>
          <w:lang w:val="en-US"/>
        </w:rPr>
        <w:t xml:space="preserve">The table and chart called "World Production of Oranges in Thousands of Metric Tons" illustrate how the </w:t>
      </w:r>
      <w:r w:rsidRPr="1CF2FC98" w:rsidR="4A50B29B">
        <w:rPr>
          <w:rFonts w:ascii="Times New Roman" w:hAnsi="Times New Roman" w:eastAsia="Times New Roman" w:cs="Times New Roman"/>
          <w:noProof w:val="0"/>
          <w:sz w:val="24"/>
          <w:szCs w:val="24"/>
          <w:lang w:val="en-US"/>
        </w:rPr>
        <w:t>amount</w:t>
      </w:r>
      <w:r w:rsidRPr="1CF2FC98" w:rsidR="4A50B29B">
        <w:rPr>
          <w:rFonts w:ascii="Times New Roman" w:hAnsi="Times New Roman" w:eastAsia="Times New Roman" w:cs="Times New Roman"/>
          <w:noProof w:val="0"/>
          <w:sz w:val="24"/>
          <w:szCs w:val="24"/>
          <w:lang w:val="en-US"/>
        </w:rPr>
        <w:t xml:space="preserve"> of oranges grown in key producing countries varied from 2017 to 2021. Brazil is consistently the top producer, and its output has continuously climbed from 12,053 thousand metric tons in 2017 to over 19,000 in 2021. This reveals that Brazil is still the most important country in the world for growing citrus. The United States, on the other hand, had a big decline, going from 8,562 to 4,500 thousand metric tons in the same </w:t>
      </w:r>
      <w:r w:rsidRPr="1CF2FC98" w:rsidR="4A50B29B">
        <w:rPr>
          <w:rFonts w:ascii="Times New Roman" w:hAnsi="Times New Roman" w:eastAsia="Times New Roman" w:cs="Times New Roman"/>
          <w:noProof w:val="0"/>
          <w:sz w:val="24"/>
          <w:szCs w:val="24"/>
          <w:lang w:val="en-US"/>
        </w:rPr>
        <w:t>time frame</w:t>
      </w:r>
      <w:r w:rsidRPr="1CF2FC98" w:rsidR="4A50B29B">
        <w:rPr>
          <w:rFonts w:ascii="Times New Roman" w:hAnsi="Times New Roman" w:eastAsia="Times New Roman" w:cs="Times New Roman"/>
          <w:noProof w:val="0"/>
          <w:sz w:val="24"/>
          <w:szCs w:val="24"/>
          <w:lang w:val="en-US"/>
        </w:rPr>
        <w:t xml:space="preserve">. This was largely because of diseases and changes in farming conditions. India and the EU increased at a consistent rate, but China's growth was uneven, peaking in 2020 and then falling again in 2021. The data as a whole show that the world is </w:t>
      </w:r>
      <w:r w:rsidRPr="1CF2FC98" w:rsidR="4A50B29B">
        <w:rPr>
          <w:rFonts w:ascii="Times New Roman" w:hAnsi="Times New Roman" w:eastAsia="Times New Roman" w:cs="Times New Roman"/>
          <w:noProof w:val="0"/>
          <w:sz w:val="24"/>
          <w:szCs w:val="24"/>
          <w:lang w:val="en-US"/>
        </w:rPr>
        <w:t>changing:</w:t>
      </w:r>
      <w:r w:rsidRPr="1CF2FC98" w:rsidR="4A50B29B">
        <w:rPr>
          <w:rFonts w:ascii="Times New Roman" w:hAnsi="Times New Roman" w:eastAsia="Times New Roman" w:cs="Times New Roman"/>
          <w:noProof w:val="0"/>
          <w:sz w:val="24"/>
          <w:szCs w:val="24"/>
          <w:lang w:val="en-US"/>
        </w:rPr>
        <w:t xml:space="preserve"> Brazil is becoming more powerful, while older producers like the U.S. suffer huge declines, and newer producers like India slowly increase their contributions.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BF726"/>
    <w:rsid w:val="1376C17C"/>
    <w:rsid w:val="145BDACC"/>
    <w:rsid w:val="1CF2FC98"/>
    <w:rsid w:val="25E7B924"/>
    <w:rsid w:val="27CC6EA4"/>
    <w:rsid w:val="2BA34C55"/>
    <w:rsid w:val="2F88AB6C"/>
    <w:rsid w:val="374EAE74"/>
    <w:rsid w:val="37CA5A9A"/>
    <w:rsid w:val="3D4BF726"/>
    <w:rsid w:val="427E9C12"/>
    <w:rsid w:val="43A38AC7"/>
    <w:rsid w:val="4A50B29B"/>
    <w:rsid w:val="4CF81871"/>
    <w:rsid w:val="511AC45B"/>
    <w:rsid w:val="568EDEE7"/>
    <w:rsid w:val="57DBF975"/>
    <w:rsid w:val="5ABE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49DE"/>
  <w15:chartTrackingRefBased/>
  <w15:docId w15:val="{856180CC-000A-4928-9EC0-0E24F597EB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2446418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2025-09-16T20:58:59.9733147Z</dcterms:created>
  <dcterms:modified xsi:type="dcterms:W3CDTF">2025-09-19T00:31:06.0880274Z</dcterms:modified>
  <dc:creator>Dennis Clement</dc:creator>
  <lastModifiedBy>Dennis Clement</lastModifiedBy>
</coreProperties>
</file>