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/>
      </w:r>
      <w:r>
        <w:rPr>
          <w:b w:val="true"/>
        </w:rPr>
        <w:t xml:space="preserve">Table 4: Fisher-Type Panel Unit-Root Test for Log Real GDP per Capita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Test statistic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Statistic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p-value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Inverse chi-squared P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72.745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0.996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Inverse normal Z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5.286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1.000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Inverse logit L*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5.486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1.000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Modified inverse chi-squared Pm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-2.399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  <w:jc w:val="right"/>
            </w:pPr>
            <w:r>
              <w:t xml:space="preserve">    0.992</w:t>
            </w:r>
          </w:p>
        </w:tc>
      </w:tr>
    </w:tbl>
    <w:p>
      <w:r>
        <w:t/>
      </w:r>
    </w:p>
    <w:p>
      <w:r>
        <w:t/>
      </w:r>
      <w:r>
        <w:rPr>
          <w:b w:val="true"/>
        </w:rPr>
        <w:t xml:space="preserve">Notes: </w:t>
      </w:r>
      <w:r>
        <w:t xml:space="preserve">Notes: The test fails to reject the null hypothesis that all panels contain unit roots.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