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A5340"/>
          <w:sz w:val="96"/>
          <w:szCs w:val="96"/>
        </w:rPr>
        <w:t xml:space="preserve">HCM360</w:t>
      </w:r>
    </w:p>
    <w:p>
      <w:pPr>
        <w:spacing w:after="200"/>
        <w:jc w:val="center"/>
      </w:pPr>
      <w:r>
        <w:rPr>
          <w:rFonts w:ascii="Calibri" w:cs="Calibri" w:eastAsia="Calibri" w:hAnsi="Calibri"/>
          <w:b/>
          <w:bCs/>
          <w:color w:val="374151"/>
          <w:sz w:val="44"/>
          <w:szCs w:val="44"/>
        </w:rPr>
        <w:t xml:space="preserve">User Documentation Guide</w:t>
      </w:r>
    </w:p>
    <w:p>
      <w:pPr>
        <w:spacing w:after="1200"/>
        <w:jc w:val="center"/>
      </w:pPr>
      <w:r>
        <w:rPr>
          <w:rFonts w:ascii="Calibri" w:cs="Calibri" w:eastAsia="Calibri" w:hAnsi="Calibri"/>
          <w:i/>
          <w:iCs/>
          <w:color w:val="6B7280"/>
          <w:sz w:val="22"/>
          <w:szCs w:val="22"/>
        </w:rPr>
        <w:t xml:space="preserve">Municipality of Mariveles, Bataan  ·  Metadata-driven HR platform</w:t>
      </w:r>
    </w:p>
    <w:p>
      <w:pPr>
        <w:pBdr>
          <w:bottom w:val="single" w:color="0F7A5A" w:sz="12" w:space="1"/>
        </w:pBdr>
      </w:pPr>
      <w:r>
        <w:rPr>
          <w:rFonts w:ascii="Calibri" w:cs="Calibri" w:eastAsia="Calibri" w:hAnsi="Calibri"/>
        </w:rPr>
        <w:t xml:space="preserve"/>
      </w:r>
    </w:p>
    <w:p>
      <w:pPr>
        <w:spacing w:after="100" w:before="400"/>
        <w:jc w:val="center"/>
      </w:pPr>
      <w:r>
        <w:rPr>
          <w:rFonts w:ascii="Calibri" w:cs="Calibri" w:eastAsia="Calibri" w:hAnsi="Calibri"/>
          <w:b/>
          <w:bCs/>
          <w:color w:val="111827"/>
          <w:sz w:val="26"/>
          <w:szCs w:val="26"/>
        </w:rPr>
        <w:t xml:space="preserve">Volume 2  —  Recruitment, Selection, and Placement</w:t>
      </w:r>
    </w:p>
    <w:p>
      <w:pPr>
        <w:spacing w:after="1600"/>
        <w:jc w:val="center"/>
      </w:pPr>
      <w:r>
        <w:rPr>
          <w:rFonts w:ascii="Calibri" w:cs="Calibri" w:eastAsia="Calibri" w:hAnsi="Calibri"/>
          <w:color w:val="374151"/>
          <w:sz w:val="20"/>
          <w:szCs w:val="20"/>
        </w:rPr>
        <w:t xml:space="preserve">All roles: Employee · Manager · HR Admin · Super Admin</w:t>
      </w:r>
    </w:p>
    <w:p>
      <w:pPr>
        <w:spacing w:after="100"/>
        <w:jc w:val="center"/>
      </w:pPr>
      <w:r>
        <w:rPr>
          <w:rFonts w:ascii="Calibri" w:cs="Calibri" w:eastAsia="Calibri" w:hAnsi="Calibri"/>
          <w:b/>
          <w:bCs/>
          <w:color w:val="0A5340"/>
          <w:sz w:val="20"/>
          <w:szCs w:val="20"/>
        </w:rPr>
        <w:t xml:space="preserve">Version 1.7  ·  April 2026</w:t>
      </w:r>
    </w:p>
    <w:p>
      <w:pPr>
        <w:pStyle w:val="Heading1"/>
        <w:pageBreakBefore/>
        <w:spacing w:after="240" w:before="240"/>
      </w:pPr>
      <w:r>
        <w:rPr>
          <w:rFonts w:ascii="Calibri" w:cs="Calibri" w:eastAsia="Calibri" w:hAnsi="Calibri"/>
          <w:b/>
          <w:bCs/>
          <w:color w:val="0A5340"/>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240"/>
      </w:pPr>
      <w:r>
        <w:rPr>
          <w:rFonts w:ascii="Calibri" w:cs="Calibri" w:eastAsia="Calibri" w:hAnsi="Calibri"/>
          <w:b/>
          <w:bCs/>
          <w:color w:val="0A5340"/>
          <w:sz w:val="36"/>
          <w:szCs w:val="36"/>
        </w:rPr>
        <w:t xml:space="preserve">1.  Overview</w:t>
      </w:r>
    </w:p>
    <w:p>
      <w:pPr>
        <w:spacing w:after="120" w:line="300"/>
      </w:pPr>
      <w:r>
        <w:rPr>
          <w:rFonts w:ascii="Calibri" w:cs="Calibri" w:eastAsia="Calibri" w:hAnsi="Calibri"/>
        </w:rPr>
        <w:t xml:space="preserve">Recruitment, Selection, and Placement (RSP) is the lifecycle that takes a vacant plantilla position from internal request through posting, application, screening, Personnel Selection Board (PSB) deliberation, appointment, and onboarding. HCM360 implements every step in compliance with CSC MC 24, s. 2017 (RA 7041) and the LGU's locally-approved merit selection plan.</w:t>
      </w:r>
    </w:p>
    <w:p>
      <w:pPr>
        <w:pStyle w:val="Heading2"/>
        <w:spacing w:after="160" w:before="320"/>
      </w:pPr>
      <w:r>
        <w:rPr>
          <w:rFonts w:ascii="Calibri" w:cs="Calibri" w:eastAsia="Calibri" w:hAnsi="Calibri"/>
          <w:b/>
          <w:bCs/>
          <w:color w:val="111827"/>
          <w:sz w:val="28"/>
          <w:szCs w:val="28"/>
        </w:rPr>
        <w:t xml:space="preserve">The 6 stages,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360"/>
        <w:gridCol w:w="1200"/>
      </w:tblGrid>
      <w:tr>
        <w:trPr>
          <w:tblHeader/>
        </w:trPr>
        <w:tc>
          <w:tcPr>
            <w:tcW w:type="dxa" w:w="6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w:t>
            </w:r>
          </w:p>
        </w:tc>
        <w:tc>
          <w:tcPr>
            <w:tcW w:type="dxa" w:w="22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Stage</w:t>
            </w:r>
          </w:p>
        </w:tc>
        <w:tc>
          <w:tcPr>
            <w:tcW w:type="dxa" w:w="536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What happens</w:t>
            </w:r>
          </w:p>
        </w:tc>
        <w:tc>
          <w:tcPr>
            <w:tcW w:type="dxa" w:w="12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Reference</w:t>
            </w:r>
          </w:p>
        </w:tc>
      </w:tr>
      <w:tr>
        <w:tc>
          <w:tcPr>
            <w:tcW w:type="dxa" w:w="600"/>
            <w:shd w:fill="FFFFFF" w:val="clear"/>
            <w:tcMar>
              <w:top w:type="dxa" w:w="80"/>
              <w:left w:type="dxa" w:w="120"/>
              <w:bottom w:type="dxa" w:w="80"/>
              <w:right w:type="dxa" w:w="120"/>
            </w:tcMar>
          </w:tcPr>
          <w:p>
            <w:r>
              <w:rPr>
                <w:rFonts w:ascii="Calibri" w:cs="Calibri" w:eastAsia="Calibri" w:hAnsi="Calibri"/>
                <w:sz w:val="18"/>
                <w:szCs w:val="18"/>
              </w:rPr>
              <w:t xml:space="preserve">1</w:t>
            </w:r>
          </w:p>
        </w:tc>
        <w:tc>
          <w:tcPr>
            <w:tcW w:type="dxa" w:w="2200"/>
            <w:shd w:fill="FFFFFF" w:val="clear"/>
            <w:tcMar>
              <w:top w:type="dxa" w:w="80"/>
              <w:left w:type="dxa" w:w="120"/>
              <w:bottom w:type="dxa" w:w="80"/>
              <w:right w:type="dxa" w:w="120"/>
            </w:tcMar>
          </w:tcPr>
          <w:p>
            <w:r>
              <w:rPr>
                <w:rFonts w:ascii="Calibri" w:cs="Calibri" w:eastAsia="Calibri" w:hAnsi="Calibri"/>
                <w:sz w:val="18"/>
                <w:szCs w:val="18"/>
              </w:rPr>
              <w:t xml:space="preserve">Requisition</w:t>
            </w:r>
          </w:p>
        </w:tc>
        <w:tc>
          <w:tcPr>
            <w:tcW w:type="dxa" w:w="5360"/>
            <w:shd w:fill="FFFFFF" w:val="clear"/>
            <w:tcMar>
              <w:top w:type="dxa" w:w="80"/>
              <w:left w:type="dxa" w:w="120"/>
              <w:bottom w:type="dxa" w:w="80"/>
              <w:right w:type="dxa" w:w="120"/>
            </w:tcMar>
          </w:tcPr>
          <w:p>
            <w:r>
              <w:rPr>
                <w:rFonts w:ascii="Calibri" w:cs="Calibri" w:eastAsia="Calibri" w:hAnsi="Calibri"/>
                <w:sz w:val="18"/>
                <w:szCs w:val="18"/>
              </w:rPr>
              <w:t xml:space="preserve">Department head requests a fill; HR validates the plantilla.</w:t>
            </w:r>
          </w:p>
        </w:tc>
        <w:tc>
          <w:tcPr>
            <w:tcW w:type="dxa" w:w="1200"/>
            <w:shd w:fill="FFFFFF" w:val="clear"/>
            <w:tcMar>
              <w:top w:type="dxa" w:w="80"/>
              <w:left w:type="dxa" w:w="120"/>
              <w:bottom w:type="dxa" w:w="80"/>
              <w:right w:type="dxa" w:w="120"/>
            </w:tcMar>
          </w:tcPr>
          <w:p>
            <w:r>
              <w:rPr>
                <w:rFonts w:ascii="Calibri" w:cs="Calibri" w:eastAsia="Calibri" w:hAnsi="Calibri"/>
                <w:sz w:val="18"/>
                <w:szCs w:val="18"/>
              </w:rPr>
              <w:t xml:space="preserve">RA 7160 §12</w:t>
            </w:r>
          </w:p>
        </w:tc>
      </w:tr>
      <w:tr>
        <w:tc>
          <w:tcPr>
            <w:tcW w:type="dxa" w:w="600"/>
            <w:shd w:fill="F9FAFB" w:val="clear"/>
            <w:tcMar>
              <w:top w:type="dxa" w:w="80"/>
              <w:left w:type="dxa" w:w="120"/>
              <w:bottom w:type="dxa" w:w="80"/>
              <w:right w:type="dxa" w:w="120"/>
            </w:tcMar>
          </w:tcPr>
          <w:p>
            <w:r>
              <w:rPr>
                <w:rFonts w:ascii="Calibri" w:cs="Calibri" w:eastAsia="Calibri" w:hAnsi="Calibri"/>
                <w:sz w:val="18"/>
                <w:szCs w:val="18"/>
              </w:rPr>
              <w:t xml:space="preserve">2</w:t>
            </w:r>
          </w:p>
        </w:tc>
        <w:tc>
          <w:tcPr>
            <w:tcW w:type="dxa" w:w="2200"/>
            <w:shd w:fill="F9FAFB" w:val="clear"/>
            <w:tcMar>
              <w:top w:type="dxa" w:w="80"/>
              <w:left w:type="dxa" w:w="120"/>
              <w:bottom w:type="dxa" w:w="80"/>
              <w:right w:type="dxa" w:w="120"/>
            </w:tcMar>
          </w:tcPr>
          <w:p>
            <w:r>
              <w:rPr>
                <w:rFonts w:ascii="Calibri" w:cs="Calibri" w:eastAsia="Calibri" w:hAnsi="Calibri"/>
                <w:sz w:val="18"/>
                <w:szCs w:val="18"/>
              </w:rPr>
              <w:t xml:space="preserve">Vacancy posting</w:t>
            </w:r>
          </w:p>
        </w:tc>
        <w:tc>
          <w:tcPr>
            <w:tcW w:type="dxa" w:w="5360"/>
            <w:shd w:fill="F9FAFB" w:val="clear"/>
            <w:tcMar>
              <w:top w:type="dxa" w:w="80"/>
              <w:left w:type="dxa" w:w="120"/>
              <w:bottom w:type="dxa" w:w="80"/>
              <w:right w:type="dxa" w:w="120"/>
            </w:tcMar>
          </w:tcPr>
          <w:p>
            <w:r>
              <w:rPr>
                <w:rFonts w:ascii="Calibri" w:cs="Calibri" w:eastAsia="Calibri" w:hAnsi="Calibri"/>
                <w:sz w:val="18"/>
                <w:szCs w:val="18"/>
              </w:rPr>
              <w:t xml:space="preserve">Position published internally and on CSC bulletin / website.</w:t>
            </w:r>
          </w:p>
        </w:tc>
        <w:tc>
          <w:tcPr>
            <w:tcW w:type="dxa" w:w="1200"/>
            <w:shd w:fill="F9FAFB" w:val="clear"/>
            <w:tcMar>
              <w:top w:type="dxa" w:w="80"/>
              <w:left w:type="dxa" w:w="120"/>
              <w:bottom w:type="dxa" w:w="80"/>
              <w:right w:type="dxa" w:w="120"/>
            </w:tcMar>
          </w:tcPr>
          <w:p>
            <w:r>
              <w:rPr>
                <w:rFonts w:ascii="Calibri" w:cs="Calibri" w:eastAsia="Calibri" w:hAnsi="Calibri"/>
                <w:sz w:val="18"/>
                <w:szCs w:val="18"/>
              </w:rPr>
              <w:t xml:space="preserve">CSC MC 24, s. 2017</w:t>
            </w:r>
          </w:p>
        </w:tc>
      </w:tr>
      <w:tr>
        <w:tc>
          <w:tcPr>
            <w:tcW w:type="dxa" w:w="600"/>
            <w:shd w:fill="FFFFFF" w:val="clear"/>
            <w:tcMar>
              <w:top w:type="dxa" w:w="80"/>
              <w:left w:type="dxa" w:w="120"/>
              <w:bottom w:type="dxa" w:w="80"/>
              <w:right w:type="dxa" w:w="120"/>
            </w:tcMar>
          </w:tcPr>
          <w:p>
            <w:r>
              <w:rPr>
                <w:rFonts w:ascii="Calibri" w:cs="Calibri" w:eastAsia="Calibri" w:hAnsi="Calibri"/>
                <w:sz w:val="18"/>
                <w:szCs w:val="18"/>
              </w:rPr>
              <w:t xml:space="preserve">3</w:t>
            </w:r>
          </w:p>
        </w:tc>
        <w:tc>
          <w:tcPr>
            <w:tcW w:type="dxa" w:w="2200"/>
            <w:shd w:fill="FFFFFF" w:val="clear"/>
            <w:tcMar>
              <w:top w:type="dxa" w:w="80"/>
              <w:left w:type="dxa" w:w="120"/>
              <w:bottom w:type="dxa" w:w="80"/>
              <w:right w:type="dxa" w:w="120"/>
            </w:tcMar>
          </w:tcPr>
          <w:p>
            <w:r>
              <w:rPr>
                <w:rFonts w:ascii="Calibri" w:cs="Calibri" w:eastAsia="Calibri" w:hAnsi="Calibri"/>
                <w:sz w:val="18"/>
                <w:szCs w:val="18"/>
              </w:rPr>
              <w:t xml:space="preserve">Application</w:t>
            </w:r>
          </w:p>
        </w:tc>
        <w:tc>
          <w:tcPr>
            <w:tcW w:type="dxa" w:w="5360"/>
            <w:shd w:fill="FFFFFF" w:val="clear"/>
            <w:tcMar>
              <w:top w:type="dxa" w:w="80"/>
              <w:left w:type="dxa" w:w="120"/>
              <w:bottom w:type="dxa" w:w="80"/>
              <w:right w:type="dxa" w:w="120"/>
            </w:tcMar>
          </w:tcPr>
          <w:p>
            <w:r>
              <w:rPr>
                <w:rFonts w:ascii="Calibri" w:cs="Calibri" w:eastAsia="Calibri" w:hAnsi="Calibri"/>
                <w:sz w:val="18"/>
                <w:szCs w:val="18"/>
              </w:rPr>
              <w:t xml:space="preserve">Applicants apply, submit PDS and supporting documents.</w:t>
            </w:r>
          </w:p>
        </w:tc>
        <w:tc>
          <w:tcPr>
            <w:tcW w:type="dxa" w:w="1200"/>
            <w:shd w:fill="FFFFFF" w:val="clear"/>
            <w:tcMar>
              <w:top w:type="dxa" w:w="80"/>
              <w:left w:type="dxa" w:w="120"/>
              <w:bottom w:type="dxa" w:w="80"/>
              <w:right w:type="dxa" w:w="120"/>
            </w:tcMar>
          </w:tcPr>
          <w:p>
            <w:r>
              <w:rPr>
                <w:rFonts w:ascii="Calibri" w:cs="Calibri" w:eastAsia="Calibri" w:hAnsi="Calibri"/>
                <w:sz w:val="18"/>
                <w:szCs w:val="18"/>
              </w:rPr>
              <w:t xml:space="preserve">CS Form 212</w:t>
            </w:r>
          </w:p>
        </w:tc>
      </w:tr>
      <w:tr>
        <w:tc>
          <w:tcPr>
            <w:tcW w:type="dxa" w:w="600"/>
            <w:shd w:fill="F9FAFB" w:val="clear"/>
            <w:tcMar>
              <w:top w:type="dxa" w:w="80"/>
              <w:left w:type="dxa" w:w="120"/>
              <w:bottom w:type="dxa" w:w="80"/>
              <w:right w:type="dxa" w:w="120"/>
            </w:tcMar>
          </w:tcPr>
          <w:p>
            <w:r>
              <w:rPr>
                <w:rFonts w:ascii="Calibri" w:cs="Calibri" w:eastAsia="Calibri" w:hAnsi="Calibri"/>
                <w:sz w:val="18"/>
                <w:szCs w:val="18"/>
              </w:rPr>
              <w:t xml:space="preserve">4</w:t>
            </w:r>
          </w:p>
        </w:tc>
        <w:tc>
          <w:tcPr>
            <w:tcW w:type="dxa" w:w="2200"/>
            <w:shd w:fill="F9FAFB" w:val="clear"/>
            <w:tcMar>
              <w:top w:type="dxa" w:w="80"/>
              <w:left w:type="dxa" w:w="120"/>
              <w:bottom w:type="dxa" w:w="80"/>
              <w:right w:type="dxa" w:w="120"/>
            </w:tcMar>
          </w:tcPr>
          <w:p>
            <w:r>
              <w:rPr>
                <w:rFonts w:ascii="Calibri" w:cs="Calibri" w:eastAsia="Calibri" w:hAnsi="Calibri"/>
                <w:sz w:val="18"/>
                <w:szCs w:val="18"/>
              </w:rPr>
              <w:t xml:space="preserve">Screening &amp; Eligibility</w:t>
            </w:r>
          </w:p>
        </w:tc>
        <w:tc>
          <w:tcPr>
            <w:tcW w:type="dxa" w:w="5360"/>
            <w:shd w:fill="F9FAFB" w:val="clear"/>
            <w:tcMar>
              <w:top w:type="dxa" w:w="80"/>
              <w:left w:type="dxa" w:w="120"/>
              <w:bottom w:type="dxa" w:w="80"/>
              <w:right w:type="dxa" w:w="120"/>
            </w:tcMar>
          </w:tcPr>
          <w:p>
            <w:r>
              <w:rPr>
                <w:rFonts w:ascii="Calibri" w:cs="Calibri" w:eastAsia="Calibri" w:hAnsi="Calibri"/>
                <w:sz w:val="18"/>
                <w:szCs w:val="18"/>
              </w:rPr>
              <w:t xml:space="preserve">HR validates eligibility against CSC, PRC, DICT registries.</w:t>
            </w:r>
          </w:p>
        </w:tc>
        <w:tc>
          <w:tcPr>
            <w:tcW w:type="dxa" w:w="1200"/>
            <w:shd w:fill="F9FAFB" w:val="clear"/>
            <w:tcMar>
              <w:top w:type="dxa" w:w="80"/>
              <w:left w:type="dxa" w:w="120"/>
              <w:bottom w:type="dxa" w:w="80"/>
              <w:right w:type="dxa" w:w="120"/>
            </w:tcMar>
          </w:tcPr>
          <w:p>
            <w:r>
              <w:rPr>
                <w:rFonts w:ascii="Calibri" w:cs="Calibri" w:eastAsia="Calibri" w:hAnsi="Calibri"/>
                <w:sz w:val="18"/>
                <w:szCs w:val="18"/>
              </w:rPr>
              <w:t xml:space="preserve">RA 1080, RA 8981</w:t>
            </w:r>
          </w:p>
        </w:tc>
      </w:tr>
      <w:tr>
        <w:tc>
          <w:tcPr>
            <w:tcW w:type="dxa" w:w="600"/>
            <w:shd w:fill="FFFFFF" w:val="clear"/>
            <w:tcMar>
              <w:top w:type="dxa" w:w="80"/>
              <w:left w:type="dxa" w:w="120"/>
              <w:bottom w:type="dxa" w:w="80"/>
              <w:right w:type="dxa" w:w="120"/>
            </w:tcMar>
          </w:tcPr>
          <w:p>
            <w:r>
              <w:rPr>
                <w:rFonts w:ascii="Calibri" w:cs="Calibri" w:eastAsia="Calibri" w:hAnsi="Calibri"/>
                <w:sz w:val="18"/>
                <w:szCs w:val="18"/>
              </w:rPr>
              <w:t xml:space="preserve">5</w:t>
            </w:r>
          </w:p>
        </w:tc>
        <w:tc>
          <w:tcPr>
            <w:tcW w:type="dxa" w:w="2200"/>
            <w:shd w:fill="FFFFFF" w:val="clear"/>
            <w:tcMar>
              <w:top w:type="dxa" w:w="80"/>
              <w:left w:type="dxa" w:w="120"/>
              <w:bottom w:type="dxa" w:w="80"/>
              <w:right w:type="dxa" w:w="120"/>
            </w:tcMar>
          </w:tcPr>
          <w:p>
            <w:r>
              <w:rPr>
                <w:rFonts w:ascii="Calibri" w:cs="Calibri" w:eastAsia="Calibri" w:hAnsi="Calibri"/>
                <w:sz w:val="18"/>
                <w:szCs w:val="18"/>
              </w:rPr>
              <w:t xml:space="preserve">PSB Deliberation</w:t>
            </w:r>
          </w:p>
        </w:tc>
        <w:tc>
          <w:tcPr>
            <w:tcW w:type="dxa" w:w="5360"/>
            <w:shd w:fill="FFFFFF" w:val="clear"/>
            <w:tcMar>
              <w:top w:type="dxa" w:w="80"/>
              <w:left w:type="dxa" w:w="120"/>
              <w:bottom w:type="dxa" w:w="80"/>
              <w:right w:type="dxa" w:w="120"/>
            </w:tcMar>
          </w:tcPr>
          <w:p>
            <w:r>
              <w:rPr>
                <w:rFonts w:ascii="Calibri" w:cs="Calibri" w:eastAsia="Calibri" w:hAnsi="Calibri"/>
                <w:sz w:val="18"/>
                <w:szCs w:val="18"/>
              </w:rPr>
              <w:t xml:space="preserve">Personnel Selection Board interviews and ranks the shortlist.</w:t>
            </w:r>
          </w:p>
        </w:tc>
        <w:tc>
          <w:tcPr>
            <w:tcW w:type="dxa" w:w="1200"/>
            <w:shd w:fill="FFFFFF" w:val="clear"/>
            <w:tcMar>
              <w:top w:type="dxa" w:w="80"/>
              <w:left w:type="dxa" w:w="120"/>
              <w:bottom w:type="dxa" w:w="80"/>
              <w:right w:type="dxa" w:w="120"/>
            </w:tcMar>
          </w:tcPr>
          <w:p>
            <w:r>
              <w:rPr>
                <w:rFonts w:ascii="Calibri" w:cs="Calibri" w:eastAsia="Calibri" w:hAnsi="Calibri"/>
                <w:sz w:val="18"/>
                <w:szCs w:val="18"/>
              </w:rPr>
              <w:t xml:space="preserve">Local PSB Resolution</w:t>
            </w:r>
          </w:p>
        </w:tc>
      </w:tr>
      <w:tr>
        <w:tc>
          <w:tcPr>
            <w:tcW w:type="dxa" w:w="600"/>
            <w:shd w:fill="F9FAFB" w:val="clear"/>
            <w:tcMar>
              <w:top w:type="dxa" w:w="80"/>
              <w:left w:type="dxa" w:w="120"/>
              <w:bottom w:type="dxa" w:w="80"/>
              <w:right w:type="dxa" w:w="120"/>
            </w:tcMar>
          </w:tcPr>
          <w:p>
            <w:r>
              <w:rPr>
                <w:rFonts w:ascii="Calibri" w:cs="Calibri" w:eastAsia="Calibri" w:hAnsi="Calibri"/>
                <w:sz w:val="18"/>
                <w:szCs w:val="18"/>
              </w:rPr>
              <w:t xml:space="preserve">6</w:t>
            </w:r>
          </w:p>
        </w:tc>
        <w:tc>
          <w:tcPr>
            <w:tcW w:type="dxa" w:w="2200"/>
            <w:shd w:fill="F9FAFB" w:val="clear"/>
            <w:tcMar>
              <w:top w:type="dxa" w:w="80"/>
              <w:left w:type="dxa" w:w="120"/>
              <w:bottom w:type="dxa" w:w="80"/>
              <w:right w:type="dxa" w:w="120"/>
            </w:tcMar>
          </w:tcPr>
          <w:p>
            <w:r>
              <w:rPr>
                <w:rFonts w:ascii="Calibri" w:cs="Calibri" w:eastAsia="Calibri" w:hAnsi="Calibri"/>
                <w:sz w:val="18"/>
                <w:szCs w:val="18"/>
              </w:rPr>
              <w:t xml:space="preserve">Appointment &amp; Onboarding</w:t>
            </w:r>
          </w:p>
        </w:tc>
        <w:tc>
          <w:tcPr>
            <w:tcW w:type="dxa" w:w="5360"/>
            <w:shd w:fill="F9FAFB" w:val="clear"/>
            <w:tcMar>
              <w:top w:type="dxa" w:w="80"/>
              <w:left w:type="dxa" w:w="120"/>
              <w:bottom w:type="dxa" w:w="80"/>
              <w:right w:type="dxa" w:w="120"/>
            </w:tcMar>
          </w:tcPr>
          <w:p>
            <w:r>
              <w:rPr>
                <w:rFonts w:ascii="Calibri" w:cs="Calibri" w:eastAsia="Calibri" w:hAnsi="Calibri"/>
                <w:sz w:val="18"/>
                <w:szCs w:val="18"/>
              </w:rPr>
              <w:t xml:space="preserve">Mayor signs CS Form 33; onboarding checklist starts.</w:t>
            </w:r>
          </w:p>
        </w:tc>
        <w:tc>
          <w:tcPr>
            <w:tcW w:type="dxa" w:w="1200"/>
            <w:shd w:fill="F9FAFB" w:val="clear"/>
            <w:tcMar>
              <w:top w:type="dxa" w:w="80"/>
              <w:left w:type="dxa" w:w="120"/>
              <w:bottom w:type="dxa" w:w="80"/>
              <w:right w:type="dxa" w:w="120"/>
            </w:tcMar>
          </w:tcPr>
          <w:p>
            <w:r>
              <w:rPr>
                <w:rFonts w:ascii="Calibri" w:cs="Calibri" w:eastAsia="Calibri" w:hAnsi="Calibri"/>
                <w:sz w:val="18"/>
                <w:szCs w:val="18"/>
              </w:rPr>
              <w:t xml:space="preserve">CSC MC 24, s. 2017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D4ED8" w:val="clear"/>
          </w:tcPr>
          <w:p>
            <w:r>
              <w:rPr>
                <w:rFonts w:ascii="Calibri" w:cs="Calibri" w:eastAsia="Calibri" w:hAnsi="Calibri"/>
              </w:rPr>
              <w:t xml:space="preserve"> </w:t>
            </w:r>
          </w:p>
        </w:tc>
        <w:tc>
          <w:tcPr>
            <w:tcW w:type="dxa" w:w="9240"/>
            <w:tcBorders>
              <w:top w:val="none" w:color="FFFFFF" w:sz="0"/>
              <w:left w:val="none" w:color="FFFFFF" w:sz="0"/>
              <w:bottom w:val="none" w:color="FFFFFF" w:sz="0"/>
              <w:right w:val="none" w:color="FFFFFF" w:sz="0"/>
            </w:tcBorders>
            <w:shd w:fill="EFF6FF" w:val="clear"/>
            <w:tcMar>
              <w:top w:type="dxa" w:w="120"/>
              <w:left w:type="dxa" w:w="220"/>
              <w:bottom w:type="dxa" w:w="120"/>
              <w:right w:type="dxa" w:w="220"/>
            </w:tcMar>
          </w:tcPr>
          <w:p>
            <w:pPr>
              <w:spacing w:after="60"/>
            </w:pPr>
            <w:r>
              <w:rPr>
                <w:rFonts w:ascii="Calibri" w:cs="Calibri" w:eastAsia="Calibri" w:hAnsi="Calibri"/>
                <w:b/>
                <w:bCs/>
                <w:color w:val="1D4ED8"/>
                <w:sz w:val="22"/>
                <w:szCs w:val="22"/>
              </w:rPr>
              <w:t xml:space="preserve">🛡  CSC compliance</w:t>
            </w:r>
          </w:p>
          <w:p>
            <w:r>
              <w:rPr>
                <w:rFonts w:ascii="Calibri" w:cs="Calibri" w:eastAsia="Calibri" w:hAnsi="Calibri"/>
                <w:color w:val="374151"/>
                <w:sz w:val="20"/>
                <w:szCs w:val="20"/>
              </w:rPr>
              <w:t xml:space="preserve">Every step writes an audit trail with timestamps and the role that performed the action. The CSC Audit pack — every form, signature, and decision — can be exported in one click from the requisition's audit drawer.</w:t>
            </w:r>
          </w:p>
        </w:tc>
      </w:tr>
    </w:tbl>
    <w:p>
      <w:pPr>
        <w:pStyle w:val="Heading1"/>
        <w:pageBreakBefore/>
        <w:spacing w:after="240" w:before="240"/>
      </w:pPr>
      <w:r>
        <w:rPr>
          <w:rFonts w:ascii="Calibri" w:cs="Calibri" w:eastAsia="Calibri" w:hAnsi="Calibri"/>
          <w:b/>
          <w:bCs/>
          <w:color w:val="0A5340"/>
          <w:sz w:val="36"/>
          <w:szCs w:val="36"/>
        </w:rPr>
        <w:t xml:space="preserve">2.  Requisition workflow</w:t>
      </w:r>
    </w:p>
    <w:p>
      <w:pPr>
        <w:spacing w:after="120" w:line="300"/>
      </w:pPr>
      <w:r>
        <w:rPr>
          <w:rFonts w:ascii="Calibri" w:cs="Calibri" w:eastAsia="Calibri" w:hAnsi="Calibri"/>
        </w:rPr>
        <w:t xml:space="preserve">A requisition is the formal request to fill a vacant plantilla position. Every requisition flows through three approval gates: Department Head → HRMO → Mayor's Office. Status is visible at a glance through the four KPI cards and the status pills on the list view.</w:t>
      </w:r>
    </w:p>
    <w:p>
      <w:pPr>
        <w:spacing w:after="120" w:before="120"/>
        <w:jc w:val="center"/>
      </w:pPr>
      <w:r>
        <w:drawing>
          <wp:inline distT="0" distB="0" distL="0" distR="0">
            <wp:extent cx="5715000" cy="3676650"/>
            <wp:effectExtent t="0" r="0" b="0" l="0"/>
            <wp:docPr id="1" name="10_requisitions.png" descr="10_requisitions.png" title="10_requis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Job Requisitions — KPIs, status filter pills, and prioritised list.</w:t>
      </w:r>
    </w:p>
    <w:p>
      <w:pPr>
        <w:pStyle w:val="Heading2"/>
        <w:spacing w:after="160" w:before="320"/>
      </w:pPr>
      <w:r>
        <w:rPr>
          <w:rFonts w:ascii="Calibri" w:cs="Calibri" w:eastAsia="Calibri" w:hAnsi="Calibri"/>
          <w:b/>
          <w:bCs/>
          <w:color w:val="111827"/>
          <w:sz w:val="28"/>
          <w:szCs w:val="28"/>
        </w:rPr>
        <w:t xml:space="preserve">2.1  Filing a new requisition  ·  🛡 HR Admin or 👥 Department Head</w:t>
      </w:r>
    </w:p>
    <w:p>
      <w:pPr>
        <w:pStyle w:val="ListParagraph"/>
        <w:numPr>
          <w:ilvl w:val="0"/>
          <w:numId w:val="2"/>
        </w:numPr>
        <w:spacing w:after="80" w:line="280"/>
      </w:pPr>
      <w:r>
        <w:rPr>
          <w:rFonts w:ascii="Calibri" w:cs="Calibri" w:eastAsia="Calibri" w:hAnsi="Calibri"/>
        </w:rPr>
        <w:t xml:space="preserve">From the sidebar, open Recruitment → Requisitions, then click + New Requisition.</w:t>
      </w:r>
    </w:p>
    <w:p>
      <w:pPr>
        <w:pStyle w:val="ListParagraph"/>
        <w:numPr>
          <w:ilvl w:val="0"/>
          <w:numId w:val="2"/>
        </w:numPr>
        <w:spacing w:after="80" w:line="280"/>
      </w:pPr>
      <w:r>
        <w:rPr>
          <w:rFonts w:ascii="Calibri" w:cs="Calibri" w:eastAsia="Calibri" w:hAnsi="Calibri"/>
        </w:rPr>
        <w:t xml:space="preserve">Pick the plantilla position. The system auto-loads salary grade, qualification standards, eligibility, and the funding source.</w:t>
      </w:r>
    </w:p>
    <w:p>
      <w:pPr>
        <w:pStyle w:val="ListParagraph"/>
        <w:numPr>
          <w:ilvl w:val="0"/>
          <w:numId w:val="2"/>
        </w:numPr>
        <w:spacing w:after="80" w:line="280"/>
      </w:pPr>
      <w:r>
        <w:rPr>
          <w:rFonts w:ascii="Calibri" w:cs="Calibri" w:eastAsia="Calibri" w:hAnsi="Calibri"/>
        </w:rPr>
        <w:t xml:space="preserve">Provide the justification: replacement, expansion, or temporary (e.g., maternity coverage).</w:t>
      </w:r>
    </w:p>
    <w:p>
      <w:pPr>
        <w:pStyle w:val="ListParagraph"/>
        <w:numPr>
          <w:ilvl w:val="0"/>
          <w:numId w:val="2"/>
        </w:numPr>
        <w:spacing w:after="80" w:line="280"/>
      </w:pPr>
      <w:r>
        <w:rPr>
          <w:rFonts w:ascii="Calibri" w:cs="Calibri" w:eastAsia="Calibri" w:hAnsi="Calibri"/>
        </w:rPr>
        <w:t xml:space="preserve">Set priority (LOW · NORMAL · HIGH) and the desired posting date.</w:t>
      </w:r>
    </w:p>
    <w:p>
      <w:pPr>
        <w:pStyle w:val="ListParagraph"/>
        <w:numPr>
          <w:ilvl w:val="0"/>
          <w:numId w:val="2"/>
        </w:numPr>
        <w:spacing w:after="80" w:line="280"/>
      </w:pPr>
      <w:r>
        <w:rPr>
          <w:rFonts w:ascii="Calibri" w:cs="Calibri" w:eastAsia="Calibri" w:hAnsi="Calibri"/>
        </w:rPr>
        <w:t xml:space="preserve">Attach supporting docs: budget certification (LBP Form), department memo, organisational chart annotation.</w:t>
      </w:r>
    </w:p>
    <w:p>
      <w:pPr>
        <w:pStyle w:val="ListParagraph"/>
        <w:numPr>
          <w:ilvl w:val="0"/>
          <w:numId w:val="2"/>
        </w:numPr>
        <w:spacing w:after="80" w:line="280"/>
      </w:pPr>
      <w:r>
        <w:rPr>
          <w:rFonts w:ascii="Calibri" w:cs="Calibri" w:eastAsia="Calibri" w:hAnsi="Calibri"/>
        </w:rPr>
        <w:t xml:space="preserve">Click Save as Draft to keep working, or Submit for Approval to start the workflow.</w:t>
      </w:r>
    </w:p>
    <w:p>
      <w:pPr>
        <w:pStyle w:val="Heading2"/>
        <w:spacing w:after="160" w:before="320"/>
      </w:pPr>
      <w:r>
        <w:rPr>
          <w:rFonts w:ascii="Calibri" w:cs="Calibri" w:eastAsia="Calibri" w:hAnsi="Calibri"/>
          <w:b/>
          <w:bCs/>
          <w:color w:val="111827"/>
          <w:sz w:val="28"/>
          <w:szCs w:val="28"/>
        </w:rPr>
        <w:t xml:space="preserve">2.2  Approval workflow</w:t>
      </w:r>
    </w:p>
    <w:p>
      <w:pPr>
        <w:spacing w:after="120" w:line="300"/>
      </w:pPr>
      <w:r>
        <w:rPr>
          <w:rFonts w:ascii="Calibri" w:cs="Calibri" w:eastAsia="Calibri" w:hAnsi="Calibri"/>
        </w:rPr>
        <w:t xml:space="preserve">Once submitted, the requisition routes automatically to:</w:t>
      </w:r>
    </w:p>
    <w:p>
      <w:pPr>
        <w:pStyle w:val="ListParagraph"/>
        <w:numPr>
          <w:ilvl w:val="0"/>
          <w:numId w:val="3"/>
        </w:numPr>
        <w:spacing w:after="80" w:line="280"/>
      </w:pPr>
      <w:r>
        <w:rPr>
          <w:rFonts w:ascii="Calibri" w:cs="Calibri" w:eastAsia="Calibri" w:hAnsi="Calibri"/>
        </w:rPr>
        <w:t xml:space="preserve">Department Head — endorsement of the operational need.</w:t>
      </w:r>
    </w:p>
    <w:p>
      <w:pPr>
        <w:pStyle w:val="ListParagraph"/>
        <w:numPr>
          <w:ilvl w:val="0"/>
          <w:numId w:val="3"/>
        </w:numPr>
        <w:spacing w:after="80" w:line="280"/>
      </w:pPr>
      <w:r>
        <w:rPr>
          <w:rFonts w:ascii="Calibri" w:cs="Calibri" w:eastAsia="Calibri" w:hAnsi="Calibri"/>
        </w:rPr>
        <w:t xml:space="preserve">HRMO — validation against the plantilla, qualification standards, and the LGU's merit plan.</w:t>
      </w:r>
    </w:p>
    <w:p>
      <w:pPr>
        <w:pStyle w:val="ListParagraph"/>
        <w:numPr>
          <w:ilvl w:val="0"/>
          <w:numId w:val="3"/>
        </w:numPr>
        <w:spacing w:after="80" w:line="280"/>
      </w:pPr>
      <w:r>
        <w:rPr>
          <w:rFonts w:ascii="Calibri" w:cs="Calibri" w:eastAsia="Calibri" w:hAnsi="Calibri"/>
        </w:rPr>
        <w:t xml:space="preserve">Mayor's Office — final approval and authority to post.</w:t>
      </w:r>
    </w:p>
    <w:p>
      <w:pPr>
        <w:spacing w:after="120" w:line="300"/>
      </w:pPr>
      <w:r>
        <w:rPr>
          <w:rFonts w:ascii="Calibri" w:cs="Calibri" w:eastAsia="Calibri" w:hAnsi="Calibri"/>
        </w:rPr>
        <w:t xml:space="preserve">Each approver can ✓ Approve, ↩ Send Back (with mandatory comment), or ✖ Reject. If sent back, the originator receives a task in My Inbox to revise. Decisions and comments are timestamped and form part of the requisition's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45309" w:val="clear"/>
          </w:tcPr>
          <w:p>
            <w:r>
              <w:rPr>
                <w:rFonts w:ascii="Calibri" w:cs="Calibri" w:eastAsia="Calibri" w:hAnsi="Calibri"/>
              </w:rPr>
              <w:t xml:space="preserve"> </w:t>
            </w:r>
          </w:p>
        </w:tc>
        <w:tc>
          <w:tcPr>
            <w:tcW w:type="dxa" w:w="9240"/>
            <w:tcBorders>
              <w:top w:val="none" w:color="FFFFFF" w:sz="0"/>
              <w:left w:val="none" w:color="FFFFFF" w:sz="0"/>
              <w:bottom w:val="none" w:color="FFFFFF" w:sz="0"/>
              <w:right w:val="none" w:color="FFFFFF" w:sz="0"/>
            </w:tcBorders>
            <w:shd w:fill="FFFBEB" w:val="clear"/>
            <w:tcMar>
              <w:top w:type="dxa" w:w="120"/>
              <w:left w:type="dxa" w:w="220"/>
              <w:bottom w:type="dxa" w:w="120"/>
              <w:right w:type="dxa" w:w="220"/>
            </w:tcMar>
          </w:tcPr>
          <w:p>
            <w:pPr>
              <w:spacing w:after="60"/>
            </w:pPr>
            <w:r>
              <w:rPr>
                <w:rFonts w:ascii="Calibri" w:cs="Calibri" w:eastAsia="Calibri" w:hAnsi="Calibri"/>
                <w:b/>
                <w:bCs/>
                <w:color w:val="B45309"/>
                <w:sz w:val="22"/>
                <w:szCs w:val="22"/>
              </w:rPr>
              <w:t xml:space="preserve">⚠  SLA: 5 business days at each gate</w:t>
            </w:r>
          </w:p>
          <w:p>
            <w:r>
              <w:rPr>
                <w:rFonts w:ascii="Calibri" w:cs="Calibri" w:eastAsia="Calibri" w:hAnsi="Calibri"/>
                <w:color w:val="374151"/>
                <w:sz w:val="20"/>
                <w:szCs w:val="20"/>
              </w:rPr>
              <w:t xml:space="preserve">If a gate exceeds 5 business days, the requisition is highlighted in red on the dashboard and the next-level approver is automatically notified. ARIA's daily Alarm Scan flags long-pending requisitions in the morning briefing.</w:t>
            </w:r>
          </w:p>
        </w:tc>
      </w:tr>
    </w:tbl>
    <w:p>
      <w:pPr>
        <w:pStyle w:val="Heading2"/>
        <w:spacing w:after="160" w:before="320"/>
      </w:pPr>
      <w:r>
        <w:rPr>
          <w:rFonts w:ascii="Calibri" w:cs="Calibri" w:eastAsia="Calibri" w:hAnsi="Calibri"/>
          <w:b/>
          <w:bCs/>
          <w:color w:val="111827"/>
          <w:sz w:val="28"/>
          <w:szCs w:val="28"/>
        </w:rPr>
        <w:t xml:space="preserve">2.3  Publishing the vacancy</w:t>
      </w:r>
    </w:p>
    <w:p>
      <w:pPr>
        <w:pStyle w:val="ListParagraph"/>
        <w:numPr>
          <w:ilvl w:val="0"/>
          <w:numId w:val="4"/>
        </w:numPr>
        <w:spacing w:after="80" w:line="280"/>
      </w:pPr>
      <w:r>
        <w:rPr>
          <w:rFonts w:ascii="Calibri" w:cs="Calibri" w:eastAsia="Calibri" w:hAnsi="Calibri"/>
        </w:rPr>
        <w:t xml:space="preserve">Once the requisition is APPROVED, click Publish on the requisition detail page.</w:t>
      </w:r>
    </w:p>
    <w:p>
      <w:pPr>
        <w:pStyle w:val="ListParagraph"/>
        <w:numPr>
          <w:ilvl w:val="0"/>
          <w:numId w:val="4"/>
        </w:numPr>
        <w:spacing w:after="80" w:line="280"/>
      </w:pPr>
      <w:r>
        <w:rPr>
          <w:rFonts w:ascii="Calibri" w:cs="Calibri" w:eastAsia="Calibri" w:hAnsi="Calibri"/>
        </w:rPr>
        <w:t xml:space="preserve">Set the closing date (minimum 10 calendar days from publication, per CSC MC 24).</w:t>
      </w:r>
    </w:p>
    <w:p>
      <w:pPr>
        <w:pStyle w:val="ListParagraph"/>
        <w:numPr>
          <w:ilvl w:val="0"/>
          <w:numId w:val="4"/>
        </w:numPr>
        <w:spacing w:after="80" w:line="280"/>
      </w:pPr>
      <w:r>
        <w:rPr>
          <w:rFonts w:ascii="Calibri" w:cs="Calibri" w:eastAsia="Calibri" w:hAnsi="Calibri"/>
        </w:rPr>
        <w:t xml:space="preserve">The system pushes the posting to the LGU public website, the CSC Bulletin, and an internal email digest.</w:t>
      </w:r>
    </w:p>
    <w:p>
      <w:pPr>
        <w:pStyle w:val="ListParagraph"/>
        <w:numPr>
          <w:ilvl w:val="0"/>
          <w:numId w:val="4"/>
        </w:numPr>
        <w:spacing w:after="80" w:line="280"/>
      </w:pPr>
      <w:r>
        <w:rPr>
          <w:rFonts w:ascii="Calibri" w:cs="Calibri" w:eastAsia="Calibri" w:hAnsi="Calibri"/>
        </w:rPr>
        <w:t xml:space="preserve">A unique CSC Reference No. is generated and stamped on every CS Form 9 derived from the posting.</w:t>
      </w:r>
    </w:p>
    <w:p>
      <w:pPr>
        <w:pStyle w:val="Heading1"/>
        <w:pageBreakBefore/>
        <w:spacing w:after="240" w:before="240"/>
      </w:pPr>
      <w:r>
        <w:rPr>
          <w:rFonts w:ascii="Calibri" w:cs="Calibri" w:eastAsia="Calibri" w:hAnsi="Calibri"/>
          <w:b/>
          <w:bCs/>
          <w:color w:val="0A5340"/>
          <w:sz w:val="36"/>
          <w:szCs w:val="36"/>
        </w:rPr>
        <w:t xml:space="preserve">3.  Application pipeline</w:t>
      </w:r>
    </w:p>
    <w:p>
      <w:pPr>
        <w:spacing w:after="120" w:line="300"/>
      </w:pPr>
      <w:r>
        <w:rPr>
          <w:rFonts w:ascii="Calibri" w:cs="Calibri" w:eastAsia="Calibri" w:hAnsi="Calibri"/>
        </w:rPr>
        <w:t xml:space="preserve">The Applicant Pipeline is a Kanban-style board organised into 8 stages: APPLIED, SCREENING, ELIGIBILITY, SHORTLIST, PSB, OFFER, HIRED, REJECTED. Each card shows the candidate's name, position, and current PSB score. Move a card by clicking its action button — the system enforces stage transitions and writes the audit trail.</w:t>
      </w:r>
    </w:p>
    <w:p>
      <w:pPr>
        <w:spacing w:after="120" w:before="120"/>
        <w:jc w:val="center"/>
      </w:pPr>
      <w:r>
        <w:drawing>
          <wp:inline distT="0" distB="0" distL="0" distR="0">
            <wp:extent cx="5715000" cy="4086225"/>
            <wp:effectExtent t="0" r="0" b="0" l="0"/>
            <wp:docPr id="1" name="11_applicants.png" descr="11_applicants.png" title="11_applica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862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Applicant Pipeline — Kanban view by stage.</w:t>
      </w:r>
    </w:p>
    <w:p>
      <w:pPr>
        <w:pStyle w:val="Heading2"/>
        <w:spacing w:after="160" w:before="320"/>
      </w:pPr>
      <w:r>
        <w:rPr>
          <w:rFonts w:ascii="Calibri" w:cs="Calibri" w:eastAsia="Calibri" w:hAnsi="Calibri"/>
          <w:b/>
          <w:bCs/>
          <w:color w:val="111827"/>
          <w:sz w:val="28"/>
          <w:szCs w:val="28"/>
        </w:rPr>
        <w:t xml:space="preserve">3.1  Receiving an application</w:t>
      </w:r>
    </w:p>
    <w:p>
      <w:pPr>
        <w:spacing w:after="120" w:line="300"/>
      </w:pPr>
      <w:r>
        <w:rPr>
          <w:rFonts w:ascii="Calibri" w:cs="Calibri" w:eastAsia="Calibri" w:hAnsi="Calibri"/>
        </w:rPr>
        <w:t xml:space="preserve">Applicants can apply through the public portal or HR can encode a paper application on their behalf. Either way, the candidate's PDS, work experience, training, and eligibility are stored in a structured form for downstream scoring.</w:t>
      </w:r>
    </w:p>
    <w:p>
      <w:pPr>
        <w:pStyle w:val="Heading2"/>
        <w:spacing w:after="160" w:before="320"/>
      </w:pPr>
      <w:r>
        <w:rPr>
          <w:rFonts w:ascii="Calibri" w:cs="Calibri" w:eastAsia="Calibri" w:hAnsi="Calibri"/>
          <w:b/>
          <w:bCs/>
          <w:color w:val="111827"/>
          <w:sz w:val="28"/>
          <w:szCs w:val="28"/>
        </w:rPr>
        <w:t xml:space="preserve">3.2  Screening  ·  🛡 HR Admin</w:t>
      </w:r>
    </w:p>
    <w:p>
      <w:pPr>
        <w:pStyle w:val="ListParagraph"/>
        <w:numPr>
          <w:ilvl w:val="0"/>
          <w:numId w:val="5"/>
        </w:numPr>
        <w:spacing w:after="80" w:line="280"/>
      </w:pPr>
      <w:r>
        <w:rPr>
          <w:rFonts w:ascii="Calibri" w:cs="Calibri" w:eastAsia="Calibri" w:hAnsi="Calibri"/>
        </w:rPr>
        <w:t xml:space="preserve">Click an applicant card to open the detail view.</w:t>
      </w:r>
    </w:p>
    <w:p>
      <w:pPr>
        <w:pStyle w:val="ListParagraph"/>
        <w:numPr>
          <w:ilvl w:val="0"/>
          <w:numId w:val="5"/>
        </w:numPr>
        <w:spacing w:after="80" w:line="280"/>
      </w:pPr>
      <w:r>
        <w:rPr>
          <w:rFonts w:ascii="Calibri" w:cs="Calibri" w:eastAsia="Calibri" w:hAnsi="Calibri"/>
        </w:rPr>
        <w:t xml:space="preserve">Review their PDS, transcripts, and supporting documents on the Documents tab.</w:t>
      </w:r>
    </w:p>
    <w:p>
      <w:pPr>
        <w:pStyle w:val="ListParagraph"/>
        <w:numPr>
          <w:ilvl w:val="0"/>
          <w:numId w:val="5"/>
        </w:numPr>
        <w:spacing w:after="80" w:line="280"/>
      </w:pPr>
      <w:r>
        <w:rPr>
          <w:rFonts w:ascii="Calibri" w:cs="Calibri" w:eastAsia="Calibri" w:hAnsi="Calibri"/>
        </w:rPr>
        <w:t xml:space="preserve">Run the Quick QS Check — the system compares the applicant's claims against the position's qualification standards and flags gaps.</w:t>
      </w:r>
    </w:p>
    <w:p>
      <w:pPr>
        <w:pStyle w:val="ListParagraph"/>
        <w:numPr>
          <w:ilvl w:val="0"/>
          <w:numId w:val="5"/>
        </w:numPr>
        <w:spacing w:after="80" w:line="280"/>
      </w:pPr>
      <w:r>
        <w:rPr>
          <w:rFonts w:ascii="Calibri" w:cs="Calibri" w:eastAsia="Calibri" w:hAnsi="Calibri"/>
        </w:rPr>
        <w:t xml:space="preserve">If the applicant meets the QS, click Move to ELIGIBILITY. Otherwise click Reject with a CSC-aligned reason code.</w:t>
      </w:r>
    </w:p>
    <w:p>
      <w:pPr>
        <w:pStyle w:val="Heading1"/>
        <w:pageBreakBefore/>
        <w:spacing w:after="240" w:before="240"/>
      </w:pPr>
      <w:r>
        <w:rPr>
          <w:rFonts w:ascii="Calibri" w:cs="Calibri" w:eastAsia="Calibri" w:hAnsi="Calibri"/>
          <w:b/>
          <w:bCs/>
          <w:color w:val="0A5340"/>
          <w:sz w:val="36"/>
          <w:szCs w:val="36"/>
        </w:rPr>
        <w:t xml:space="preserve">4.  CSC Eligibility checks</w:t>
      </w:r>
    </w:p>
    <w:p>
      <w:pPr>
        <w:spacing w:after="120" w:line="300"/>
      </w:pPr>
      <w:r>
        <w:rPr>
          <w:rFonts w:ascii="Calibri" w:cs="Calibri" w:eastAsia="Calibri" w:hAnsi="Calibri"/>
        </w:rPr>
        <w:t xml:space="preserve">Civil Service eligibility is a non-negotiable requirement for plantilla appointments. HCM360 verifies eligibility against three sources: the CSC's registry (Career Service Professional, Sub-Professional, and CSC-prescribed special eligibilities), the PRC registry (for licensed professions), and DICT (for ICT eligibilities). The Compliance Matrix shows, at a glance, whether each plantilla position has an incumbent with the right eligibility on file and whether anything is expiring.</w:t>
      </w:r>
    </w:p>
    <w:p>
      <w:pPr>
        <w:spacing w:after="120" w:before="120"/>
        <w:jc w:val="center"/>
      </w:pPr>
      <w:r>
        <w:drawing>
          <wp:inline distT="0" distB="0" distL="0" distR="0">
            <wp:extent cx="5715000" cy="3676650"/>
            <wp:effectExtent t="0" r="0" b="0" l="0"/>
            <wp:docPr id="1" name="13_eligibility.png" descr="13_eligibility.png" title="13_eligi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CSC Eligibility Compliance Matrix — by position, with on-file proof and expiry.</w:t>
      </w:r>
    </w:p>
    <w:p>
      <w:pPr>
        <w:pStyle w:val="Heading2"/>
        <w:spacing w:after="160" w:before="320"/>
      </w:pPr>
      <w:r>
        <w:rPr>
          <w:rFonts w:ascii="Calibri" w:cs="Calibri" w:eastAsia="Calibri" w:hAnsi="Calibri"/>
          <w:b/>
          <w:bCs/>
          <w:color w:val="111827"/>
          <w:sz w:val="28"/>
          <w:szCs w:val="28"/>
        </w:rPr>
        <w:t xml:space="preserve">4.1  Eligibility kinds tracked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Eligibility</w:t>
            </w:r>
          </w:p>
        </w:tc>
        <w:tc>
          <w:tcPr>
            <w:tcW w:type="dxa" w:w="22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Source registry</w:t>
            </w:r>
          </w:p>
        </w:tc>
        <w:tc>
          <w:tcPr>
            <w:tcW w:type="dxa" w:w="416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Typical positions</w:t>
            </w:r>
          </w:p>
        </w:tc>
      </w:tr>
      <w:tr>
        <w:tc>
          <w:tcPr>
            <w:tcW w:type="dxa" w:w="3000"/>
            <w:shd w:fill="FFFFFF" w:val="clear"/>
            <w:tcMar>
              <w:top w:type="dxa" w:w="80"/>
              <w:left w:type="dxa" w:w="120"/>
              <w:bottom w:type="dxa" w:w="80"/>
              <w:right w:type="dxa" w:w="120"/>
            </w:tcMar>
          </w:tcPr>
          <w:p>
            <w:r>
              <w:rPr>
                <w:rFonts w:ascii="Calibri" w:cs="Calibri" w:eastAsia="Calibri" w:hAnsi="Calibri"/>
                <w:sz w:val="18"/>
                <w:szCs w:val="18"/>
              </w:rPr>
              <w:t xml:space="preserve">Career Service Professional</w:t>
            </w:r>
          </w:p>
        </w:tc>
        <w:tc>
          <w:tcPr>
            <w:tcW w:type="dxa" w:w="2200"/>
            <w:shd w:fill="FFFFFF" w:val="clear"/>
            <w:tcMar>
              <w:top w:type="dxa" w:w="80"/>
              <w:left w:type="dxa" w:w="120"/>
              <w:bottom w:type="dxa" w:w="80"/>
              <w:right w:type="dxa" w:w="120"/>
            </w:tcMar>
          </w:tcPr>
          <w:p>
            <w:r>
              <w:rPr>
                <w:rFonts w:ascii="Calibri" w:cs="Calibri" w:eastAsia="Calibri" w:hAnsi="Calibri"/>
                <w:sz w:val="18"/>
                <w:szCs w:val="18"/>
              </w:rPr>
              <w:t xml:space="preserve">CSC</w:t>
            </w:r>
          </w:p>
        </w:tc>
        <w:tc>
          <w:tcPr>
            <w:tcW w:type="dxa" w:w="4160"/>
            <w:shd w:fill="FFFFFF" w:val="clear"/>
            <w:tcMar>
              <w:top w:type="dxa" w:w="80"/>
              <w:left w:type="dxa" w:w="120"/>
              <w:bottom w:type="dxa" w:w="80"/>
              <w:right w:type="dxa" w:w="120"/>
            </w:tcMar>
          </w:tcPr>
          <w:p>
            <w:r>
              <w:rPr>
                <w:rFonts w:ascii="Calibri" w:cs="Calibri" w:eastAsia="Calibri" w:hAnsi="Calibri"/>
                <w:sz w:val="18"/>
                <w:szCs w:val="18"/>
              </w:rPr>
              <w:t xml:space="preserve">Officer-level positions (SG 11+) requiring 2nd-level eligibility.</w:t>
            </w:r>
          </w:p>
        </w:tc>
      </w:tr>
      <w:tr>
        <w:tc>
          <w:tcPr>
            <w:tcW w:type="dxa" w:w="3000"/>
            <w:shd w:fill="F9FAFB" w:val="clear"/>
            <w:tcMar>
              <w:top w:type="dxa" w:w="80"/>
              <w:left w:type="dxa" w:w="120"/>
              <w:bottom w:type="dxa" w:w="80"/>
              <w:right w:type="dxa" w:w="120"/>
            </w:tcMar>
          </w:tcPr>
          <w:p>
            <w:r>
              <w:rPr>
                <w:rFonts w:ascii="Calibri" w:cs="Calibri" w:eastAsia="Calibri" w:hAnsi="Calibri"/>
                <w:sz w:val="18"/>
                <w:szCs w:val="18"/>
              </w:rPr>
              <w:t xml:space="preserve">Career Service Sub-Professional</w:t>
            </w:r>
          </w:p>
        </w:tc>
        <w:tc>
          <w:tcPr>
            <w:tcW w:type="dxa" w:w="2200"/>
            <w:shd w:fill="F9FAFB" w:val="clear"/>
            <w:tcMar>
              <w:top w:type="dxa" w:w="80"/>
              <w:left w:type="dxa" w:w="120"/>
              <w:bottom w:type="dxa" w:w="80"/>
              <w:right w:type="dxa" w:w="120"/>
            </w:tcMar>
          </w:tcPr>
          <w:p>
            <w:r>
              <w:rPr>
                <w:rFonts w:ascii="Calibri" w:cs="Calibri" w:eastAsia="Calibri" w:hAnsi="Calibri"/>
                <w:sz w:val="18"/>
                <w:szCs w:val="18"/>
              </w:rPr>
              <w:t xml:space="preserve">CSC</w:t>
            </w:r>
          </w:p>
        </w:tc>
        <w:tc>
          <w:tcPr>
            <w:tcW w:type="dxa" w:w="4160"/>
            <w:shd w:fill="F9FAFB" w:val="clear"/>
            <w:tcMar>
              <w:top w:type="dxa" w:w="80"/>
              <w:left w:type="dxa" w:w="120"/>
              <w:bottom w:type="dxa" w:w="80"/>
              <w:right w:type="dxa" w:w="120"/>
            </w:tcMar>
          </w:tcPr>
          <w:p>
            <w:r>
              <w:rPr>
                <w:rFonts w:ascii="Calibri" w:cs="Calibri" w:eastAsia="Calibri" w:hAnsi="Calibri"/>
                <w:sz w:val="18"/>
                <w:szCs w:val="18"/>
              </w:rPr>
              <w:t xml:space="preserve">Clerical and aide positions (SG 1–10).</w:t>
            </w:r>
          </w:p>
        </w:tc>
      </w:tr>
      <w:tr>
        <w:tc>
          <w:tcPr>
            <w:tcW w:type="dxa" w:w="3000"/>
            <w:shd w:fill="FFFFFF" w:val="clear"/>
            <w:tcMar>
              <w:top w:type="dxa" w:w="80"/>
              <w:left w:type="dxa" w:w="120"/>
              <w:bottom w:type="dxa" w:w="80"/>
              <w:right w:type="dxa" w:w="120"/>
            </w:tcMar>
          </w:tcPr>
          <w:p>
            <w:r>
              <w:rPr>
                <w:rFonts w:ascii="Calibri" w:cs="Calibri" w:eastAsia="Calibri" w:hAnsi="Calibri"/>
                <w:sz w:val="18"/>
                <w:szCs w:val="18"/>
              </w:rPr>
              <w:t xml:space="preserve">RA 1080 (Bar / Board)</w:t>
            </w:r>
          </w:p>
        </w:tc>
        <w:tc>
          <w:tcPr>
            <w:tcW w:type="dxa" w:w="2200"/>
            <w:shd w:fill="FFFFFF" w:val="clear"/>
            <w:tcMar>
              <w:top w:type="dxa" w:w="80"/>
              <w:left w:type="dxa" w:w="120"/>
              <w:bottom w:type="dxa" w:w="80"/>
              <w:right w:type="dxa" w:w="120"/>
            </w:tcMar>
          </w:tcPr>
          <w:p>
            <w:r>
              <w:rPr>
                <w:rFonts w:ascii="Calibri" w:cs="Calibri" w:eastAsia="Calibri" w:hAnsi="Calibri"/>
                <w:sz w:val="18"/>
                <w:szCs w:val="18"/>
              </w:rPr>
              <w:t xml:space="preserve">CSC + PRC</w:t>
            </w:r>
          </w:p>
        </w:tc>
        <w:tc>
          <w:tcPr>
            <w:tcW w:type="dxa" w:w="4160"/>
            <w:shd w:fill="FFFFFF" w:val="clear"/>
            <w:tcMar>
              <w:top w:type="dxa" w:w="80"/>
              <w:left w:type="dxa" w:w="120"/>
              <w:bottom w:type="dxa" w:w="80"/>
              <w:right w:type="dxa" w:w="120"/>
            </w:tcMar>
          </w:tcPr>
          <w:p>
            <w:r>
              <w:rPr>
                <w:rFonts w:ascii="Calibri" w:cs="Calibri" w:eastAsia="Calibri" w:hAnsi="Calibri"/>
                <w:sz w:val="18"/>
                <w:szCs w:val="18"/>
              </w:rPr>
              <w:t xml:space="preserve">Lawyers, engineers, accountants, doctors — eligibility derives from the licensure.</w:t>
            </w:r>
          </w:p>
        </w:tc>
      </w:tr>
      <w:tr>
        <w:tc>
          <w:tcPr>
            <w:tcW w:type="dxa" w:w="3000"/>
            <w:shd w:fill="F9FAFB" w:val="clear"/>
            <w:tcMar>
              <w:top w:type="dxa" w:w="80"/>
              <w:left w:type="dxa" w:w="120"/>
              <w:bottom w:type="dxa" w:w="80"/>
              <w:right w:type="dxa" w:w="120"/>
            </w:tcMar>
          </w:tcPr>
          <w:p>
            <w:r>
              <w:rPr>
                <w:rFonts w:ascii="Calibri" w:cs="Calibri" w:eastAsia="Calibri" w:hAnsi="Calibri"/>
                <w:sz w:val="18"/>
                <w:szCs w:val="18"/>
              </w:rPr>
              <w:t xml:space="preserve">RA 6850 (Permanent)</w:t>
            </w:r>
          </w:p>
        </w:tc>
        <w:tc>
          <w:tcPr>
            <w:tcW w:type="dxa" w:w="2200"/>
            <w:shd w:fill="F9FAFB" w:val="clear"/>
            <w:tcMar>
              <w:top w:type="dxa" w:w="80"/>
              <w:left w:type="dxa" w:w="120"/>
              <w:bottom w:type="dxa" w:w="80"/>
              <w:right w:type="dxa" w:w="120"/>
            </w:tcMar>
          </w:tcPr>
          <w:p>
            <w:r>
              <w:rPr>
                <w:rFonts w:ascii="Calibri" w:cs="Calibri" w:eastAsia="Calibri" w:hAnsi="Calibri"/>
                <w:sz w:val="18"/>
                <w:szCs w:val="18"/>
              </w:rPr>
              <w:t xml:space="preserve">CSC</w:t>
            </w:r>
          </w:p>
        </w:tc>
        <w:tc>
          <w:tcPr>
            <w:tcW w:type="dxa" w:w="4160"/>
            <w:shd w:fill="F9FAFB" w:val="clear"/>
            <w:tcMar>
              <w:top w:type="dxa" w:w="80"/>
              <w:left w:type="dxa" w:w="120"/>
              <w:bottom w:type="dxa" w:w="80"/>
              <w:right w:type="dxa" w:w="120"/>
            </w:tcMar>
          </w:tcPr>
          <w:p>
            <w:r>
              <w:rPr>
                <w:rFonts w:ascii="Calibri" w:cs="Calibri" w:eastAsia="Calibri" w:hAnsi="Calibri"/>
                <w:sz w:val="18"/>
                <w:szCs w:val="18"/>
              </w:rPr>
              <w:t xml:space="preserve">Casuals/temp converted to permanent under RA 6850.</w:t>
            </w:r>
          </w:p>
        </w:tc>
      </w:tr>
      <w:tr>
        <w:tc>
          <w:tcPr>
            <w:tcW w:type="dxa" w:w="3000"/>
            <w:shd w:fill="FFFFFF" w:val="clear"/>
            <w:tcMar>
              <w:top w:type="dxa" w:w="80"/>
              <w:left w:type="dxa" w:w="120"/>
              <w:bottom w:type="dxa" w:w="80"/>
              <w:right w:type="dxa" w:w="120"/>
            </w:tcMar>
          </w:tcPr>
          <w:p>
            <w:r>
              <w:rPr>
                <w:rFonts w:ascii="Calibri" w:cs="Calibri" w:eastAsia="Calibri" w:hAnsi="Calibri"/>
                <w:sz w:val="18"/>
                <w:szCs w:val="18"/>
              </w:rPr>
              <w:t xml:space="preserve">DICT-CSC ICT eligibility</w:t>
            </w:r>
          </w:p>
        </w:tc>
        <w:tc>
          <w:tcPr>
            <w:tcW w:type="dxa" w:w="2200"/>
            <w:shd w:fill="FFFFFF" w:val="clear"/>
            <w:tcMar>
              <w:top w:type="dxa" w:w="80"/>
              <w:left w:type="dxa" w:w="120"/>
              <w:bottom w:type="dxa" w:w="80"/>
              <w:right w:type="dxa" w:w="120"/>
            </w:tcMar>
          </w:tcPr>
          <w:p>
            <w:r>
              <w:rPr>
                <w:rFonts w:ascii="Calibri" w:cs="Calibri" w:eastAsia="Calibri" w:hAnsi="Calibri"/>
                <w:sz w:val="18"/>
                <w:szCs w:val="18"/>
              </w:rPr>
              <w:t xml:space="preserve">DICT</w:t>
            </w:r>
          </w:p>
        </w:tc>
        <w:tc>
          <w:tcPr>
            <w:tcW w:type="dxa" w:w="4160"/>
            <w:shd w:fill="FFFFFF" w:val="clear"/>
            <w:tcMar>
              <w:top w:type="dxa" w:w="80"/>
              <w:left w:type="dxa" w:w="120"/>
              <w:bottom w:type="dxa" w:w="80"/>
              <w:right w:type="dxa" w:w="120"/>
            </w:tcMar>
          </w:tcPr>
          <w:p>
            <w:r>
              <w:rPr>
                <w:rFonts w:ascii="Calibri" w:cs="Calibri" w:eastAsia="Calibri" w:hAnsi="Calibri"/>
                <w:sz w:val="18"/>
                <w:szCs w:val="18"/>
              </w:rPr>
              <w:t xml:space="preserve">ICT-related positions in IT/MIS.</w:t>
            </w:r>
          </w:p>
        </w:tc>
      </w:tr>
      <w:tr>
        <w:tc>
          <w:tcPr>
            <w:tcW w:type="dxa" w:w="3000"/>
            <w:shd w:fill="F9FAFB" w:val="clear"/>
            <w:tcMar>
              <w:top w:type="dxa" w:w="80"/>
              <w:left w:type="dxa" w:w="120"/>
              <w:bottom w:type="dxa" w:w="80"/>
              <w:right w:type="dxa" w:w="120"/>
            </w:tcMar>
          </w:tcPr>
          <w:p>
            <w:r>
              <w:rPr>
                <w:rFonts w:ascii="Calibri" w:cs="Calibri" w:eastAsia="Calibri" w:hAnsi="Calibri"/>
                <w:sz w:val="18"/>
                <w:szCs w:val="18"/>
              </w:rPr>
              <w:t xml:space="preserve">Sangguniang Kabataan</w:t>
            </w:r>
          </w:p>
        </w:tc>
        <w:tc>
          <w:tcPr>
            <w:tcW w:type="dxa" w:w="2200"/>
            <w:shd w:fill="F9FAFB" w:val="clear"/>
            <w:tcMar>
              <w:top w:type="dxa" w:w="80"/>
              <w:left w:type="dxa" w:w="120"/>
              <w:bottom w:type="dxa" w:w="80"/>
              <w:right w:type="dxa" w:w="120"/>
            </w:tcMar>
          </w:tcPr>
          <w:p>
            <w:r>
              <w:rPr>
                <w:rFonts w:ascii="Calibri" w:cs="Calibri" w:eastAsia="Calibri" w:hAnsi="Calibri"/>
                <w:sz w:val="18"/>
                <w:szCs w:val="18"/>
              </w:rPr>
              <w:t xml:space="preserve">CSC</w:t>
            </w:r>
          </w:p>
        </w:tc>
        <w:tc>
          <w:tcPr>
            <w:tcW w:type="dxa" w:w="4160"/>
            <w:shd w:fill="F9FAFB" w:val="clear"/>
            <w:tcMar>
              <w:top w:type="dxa" w:w="80"/>
              <w:left w:type="dxa" w:w="120"/>
              <w:bottom w:type="dxa" w:w="80"/>
              <w:right w:type="dxa" w:w="120"/>
            </w:tcMar>
          </w:tcPr>
          <w:p>
            <w:r>
              <w:rPr>
                <w:rFonts w:ascii="Calibri" w:cs="Calibri" w:eastAsia="Calibri" w:hAnsi="Calibri"/>
                <w:sz w:val="18"/>
                <w:szCs w:val="18"/>
              </w:rPr>
              <w:t xml:space="preserve">SK-related officers.</w:t>
            </w:r>
          </w:p>
        </w:tc>
      </w:tr>
      <w:tr>
        <w:tc>
          <w:tcPr>
            <w:tcW w:type="dxa" w:w="3000"/>
            <w:shd w:fill="FFFFFF" w:val="clear"/>
            <w:tcMar>
              <w:top w:type="dxa" w:w="80"/>
              <w:left w:type="dxa" w:w="120"/>
              <w:bottom w:type="dxa" w:w="80"/>
              <w:right w:type="dxa" w:w="120"/>
            </w:tcMar>
          </w:tcPr>
          <w:p>
            <w:r>
              <w:rPr>
                <w:rFonts w:ascii="Calibri" w:cs="Calibri" w:eastAsia="Calibri" w:hAnsi="Calibri"/>
                <w:sz w:val="18"/>
                <w:szCs w:val="18"/>
              </w:rPr>
              <w:t xml:space="preserve">Honor Graduate (PD 907)</w:t>
            </w:r>
          </w:p>
        </w:tc>
        <w:tc>
          <w:tcPr>
            <w:tcW w:type="dxa" w:w="2200"/>
            <w:shd w:fill="FFFFFF" w:val="clear"/>
            <w:tcMar>
              <w:top w:type="dxa" w:w="80"/>
              <w:left w:type="dxa" w:w="120"/>
              <w:bottom w:type="dxa" w:w="80"/>
              <w:right w:type="dxa" w:w="120"/>
            </w:tcMar>
          </w:tcPr>
          <w:p>
            <w:r>
              <w:rPr>
                <w:rFonts w:ascii="Calibri" w:cs="Calibri" w:eastAsia="Calibri" w:hAnsi="Calibri"/>
                <w:sz w:val="18"/>
                <w:szCs w:val="18"/>
              </w:rPr>
              <w:t xml:space="preserve">CSC + School Registrar</w:t>
            </w:r>
          </w:p>
        </w:tc>
        <w:tc>
          <w:tcPr>
            <w:tcW w:type="dxa" w:w="4160"/>
            <w:shd w:fill="FFFFFF" w:val="clear"/>
            <w:tcMar>
              <w:top w:type="dxa" w:w="80"/>
              <w:left w:type="dxa" w:w="120"/>
              <w:bottom w:type="dxa" w:w="80"/>
              <w:right w:type="dxa" w:w="120"/>
            </w:tcMar>
          </w:tcPr>
          <w:p>
            <w:r>
              <w:rPr>
                <w:rFonts w:ascii="Calibri" w:cs="Calibri" w:eastAsia="Calibri" w:hAnsi="Calibri"/>
                <w:sz w:val="18"/>
                <w:szCs w:val="18"/>
              </w:rPr>
              <w:t xml:space="preserve">Government scholars / honour graduates.</w:t>
            </w:r>
          </w:p>
        </w:tc>
      </w:tr>
      <w:tr>
        <w:tc>
          <w:tcPr>
            <w:tcW w:type="dxa" w:w="3000"/>
            <w:shd w:fill="F9FAFB" w:val="clear"/>
            <w:tcMar>
              <w:top w:type="dxa" w:w="80"/>
              <w:left w:type="dxa" w:w="120"/>
              <w:bottom w:type="dxa" w:w="80"/>
              <w:right w:type="dxa" w:w="120"/>
            </w:tcMar>
          </w:tcPr>
          <w:p>
            <w:r>
              <w:rPr>
                <w:rFonts w:ascii="Calibri" w:cs="Calibri" w:eastAsia="Calibri" w:hAnsi="Calibri"/>
                <w:sz w:val="18"/>
                <w:szCs w:val="18"/>
              </w:rPr>
              <w:t xml:space="preserve">Veteran Preference</w:t>
            </w:r>
          </w:p>
        </w:tc>
        <w:tc>
          <w:tcPr>
            <w:tcW w:type="dxa" w:w="2200"/>
            <w:shd w:fill="F9FAFB" w:val="clear"/>
            <w:tcMar>
              <w:top w:type="dxa" w:w="80"/>
              <w:left w:type="dxa" w:w="120"/>
              <w:bottom w:type="dxa" w:w="80"/>
              <w:right w:type="dxa" w:w="120"/>
            </w:tcMar>
          </w:tcPr>
          <w:p>
            <w:r>
              <w:rPr>
                <w:rFonts w:ascii="Calibri" w:cs="Calibri" w:eastAsia="Calibri" w:hAnsi="Calibri"/>
                <w:sz w:val="18"/>
                <w:szCs w:val="18"/>
              </w:rPr>
              <w:t xml:space="preserve">PVAO</w:t>
            </w:r>
          </w:p>
        </w:tc>
        <w:tc>
          <w:tcPr>
            <w:tcW w:type="dxa" w:w="4160"/>
            <w:shd w:fill="F9FAFB" w:val="clear"/>
            <w:tcMar>
              <w:top w:type="dxa" w:w="80"/>
              <w:left w:type="dxa" w:w="120"/>
              <w:bottom w:type="dxa" w:w="80"/>
              <w:right w:type="dxa" w:w="120"/>
            </w:tcMar>
          </w:tcPr>
          <w:p>
            <w:r>
              <w:rPr>
                <w:rFonts w:ascii="Calibri" w:cs="Calibri" w:eastAsia="Calibri" w:hAnsi="Calibri"/>
                <w:sz w:val="18"/>
                <w:szCs w:val="18"/>
              </w:rPr>
              <w:t xml:space="preserve">Eligible veterans applying to LGU positions.</w:t>
            </w:r>
          </w:p>
        </w:tc>
      </w:tr>
    </w:tbl>
    <w:p>
      <w:pPr>
        <w:pStyle w:val="Heading2"/>
        <w:spacing w:after="160" w:before="320"/>
      </w:pPr>
      <w:r>
        <w:rPr>
          <w:rFonts w:ascii="Calibri" w:cs="Calibri" w:eastAsia="Calibri" w:hAnsi="Calibri"/>
          <w:b/>
          <w:bCs/>
          <w:color w:val="111827"/>
          <w:sz w:val="28"/>
          <w:szCs w:val="28"/>
        </w:rPr>
        <w:t xml:space="preserve">4.2  How an eligibility check is run</w:t>
      </w:r>
    </w:p>
    <w:p>
      <w:pPr>
        <w:pStyle w:val="ListParagraph"/>
        <w:numPr>
          <w:ilvl w:val="0"/>
          <w:numId w:val="6"/>
        </w:numPr>
        <w:spacing w:after="80" w:line="280"/>
      </w:pPr>
      <w:r>
        <w:rPr>
          <w:rFonts w:ascii="Calibri" w:cs="Calibri" w:eastAsia="Calibri" w:hAnsi="Calibri"/>
        </w:rPr>
        <w:t xml:space="preserve">On the applicant's detail page, scroll to the Eligibility section.</w:t>
      </w:r>
    </w:p>
    <w:p>
      <w:pPr>
        <w:pStyle w:val="ListParagraph"/>
        <w:numPr>
          <w:ilvl w:val="0"/>
          <w:numId w:val="6"/>
        </w:numPr>
        <w:spacing w:after="80" w:line="280"/>
      </w:pPr>
      <w:r>
        <w:rPr>
          <w:rFonts w:ascii="Calibri" w:cs="Calibri" w:eastAsia="Calibri" w:hAnsi="Calibri"/>
        </w:rPr>
        <w:t xml:space="preserve">Click 🔍 Verify with CSC Registry. The system calls the CSC API and returns one of three states: ✓ Verified, ⚠ Found but Expired, or ✗ Not Found.</w:t>
      </w:r>
    </w:p>
    <w:p>
      <w:pPr>
        <w:pStyle w:val="ListParagraph"/>
        <w:numPr>
          <w:ilvl w:val="0"/>
          <w:numId w:val="6"/>
        </w:numPr>
        <w:spacing w:after="80" w:line="280"/>
      </w:pPr>
      <w:r>
        <w:rPr>
          <w:rFonts w:ascii="Calibri" w:cs="Calibri" w:eastAsia="Calibri" w:hAnsi="Calibri"/>
        </w:rPr>
        <w:t xml:space="preserve">If the eligibility is licence-based (RA 1080), the system auto-calls PRC. The PRC reference, board passing date, and validity are imported.</w:t>
      </w:r>
    </w:p>
    <w:p>
      <w:pPr>
        <w:pStyle w:val="ListParagraph"/>
        <w:numPr>
          <w:ilvl w:val="0"/>
          <w:numId w:val="6"/>
        </w:numPr>
        <w:spacing w:after="80" w:line="280"/>
      </w:pPr>
      <w:r>
        <w:rPr>
          <w:rFonts w:ascii="Calibri" w:cs="Calibri" w:eastAsia="Calibri" w:hAnsi="Calibri"/>
        </w:rPr>
        <w:t xml:space="preserve">Verified results are stamped with the source registry, the timestamp, and the HR officer's user ID.</w:t>
      </w:r>
    </w:p>
    <w:p>
      <w:pPr>
        <w:pStyle w:val="ListParagraph"/>
        <w:numPr>
          <w:ilvl w:val="0"/>
          <w:numId w:val="6"/>
        </w:numPr>
        <w:spacing w:after="80" w:line="280"/>
      </w:pPr>
      <w:r>
        <w:rPr>
          <w:rFonts w:ascii="Calibri" w:cs="Calibri" w:eastAsia="Calibri" w:hAnsi="Calibri"/>
        </w:rPr>
        <w:t xml:space="preserve">If a registry call fails (network or registry outage), HR can attach a scanned copy of the certificate and tag it as Manually Verified — this is allowed but flagged in the audit log for periodic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D4ED8" w:val="clear"/>
          </w:tcPr>
          <w:p>
            <w:r>
              <w:rPr>
                <w:rFonts w:ascii="Calibri" w:cs="Calibri" w:eastAsia="Calibri" w:hAnsi="Calibri"/>
              </w:rPr>
              <w:t xml:space="preserve"> </w:t>
            </w:r>
          </w:p>
        </w:tc>
        <w:tc>
          <w:tcPr>
            <w:tcW w:type="dxa" w:w="9240"/>
            <w:tcBorders>
              <w:top w:val="none" w:color="FFFFFF" w:sz="0"/>
              <w:left w:val="none" w:color="FFFFFF" w:sz="0"/>
              <w:bottom w:val="none" w:color="FFFFFF" w:sz="0"/>
              <w:right w:val="none" w:color="FFFFFF" w:sz="0"/>
            </w:tcBorders>
            <w:shd w:fill="EFF6FF" w:val="clear"/>
            <w:tcMar>
              <w:top w:type="dxa" w:w="120"/>
              <w:left w:type="dxa" w:w="220"/>
              <w:bottom w:type="dxa" w:w="120"/>
              <w:right w:type="dxa" w:w="220"/>
            </w:tcMar>
          </w:tcPr>
          <w:p>
            <w:pPr>
              <w:spacing w:after="60"/>
            </w:pPr>
            <w:r>
              <w:rPr>
                <w:rFonts w:ascii="Calibri" w:cs="Calibri" w:eastAsia="Calibri" w:hAnsi="Calibri"/>
                <w:b/>
                <w:bCs/>
                <w:color w:val="1D4ED8"/>
                <w:sz w:val="22"/>
                <w:szCs w:val="22"/>
              </w:rPr>
              <w:t xml:space="preserve">🛡  Eligibility kinds the LGU must verify</w:t>
            </w:r>
          </w:p>
          <w:p>
            <w:r>
              <w:rPr>
                <w:rFonts w:ascii="Calibri" w:cs="Calibri" w:eastAsia="Calibri" w:hAnsi="Calibri"/>
                <w:color w:val="374151"/>
                <w:sz w:val="20"/>
                <w:szCs w:val="20"/>
              </w:rPr>
              <w:t xml:space="preserve">Per CSC MC 11, s. 1996, all permanent appointments require eligibility appropriate to the position. Temporary / coterminous / casual appointments may be filled by non-eligibles subject to specific rules — HCM360 enforces these distinctions on the appointment form.</w:t>
            </w:r>
          </w:p>
        </w:tc>
      </w:tr>
    </w:tbl>
    <w:p>
      <w:pPr>
        <w:pStyle w:val="Heading2"/>
        <w:spacing w:after="160" w:before="320"/>
      </w:pPr>
      <w:r>
        <w:rPr>
          <w:rFonts w:ascii="Calibri" w:cs="Calibri" w:eastAsia="Calibri" w:hAnsi="Calibri"/>
          <w:b/>
          <w:bCs/>
          <w:color w:val="111827"/>
          <w:sz w:val="28"/>
          <w:szCs w:val="28"/>
        </w:rPr>
        <w:t xml:space="preserve">4.3  Compliance matrix views</w:t>
      </w:r>
    </w:p>
    <w:p>
      <w:pPr>
        <w:pStyle w:val="ListParagraph"/>
        <w:numPr>
          <w:ilvl w:val="0"/>
          <w:numId w:val="3"/>
        </w:numPr>
        <w:spacing w:after="80" w:line="280"/>
      </w:pPr>
      <w:r>
        <w:rPr>
          <w:rFonts w:ascii="Calibri" w:cs="Calibri" w:eastAsia="Calibri" w:hAnsi="Calibri"/>
        </w:rPr>
        <w:t xml:space="preserve">By Position — every plantilla item with its incumbent, required eligibility, and on-file proof.</w:t>
      </w:r>
    </w:p>
    <w:p>
      <w:pPr>
        <w:pStyle w:val="ListParagraph"/>
        <w:numPr>
          <w:ilvl w:val="0"/>
          <w:numId w:val="3"/>
        </w:numPr>
        <w:spacing w:after="80" w:line="280"/>
      </w:pPr>
      <w:r>
        <w:rPr>
          <w:rFonts w:ascii="Calibri" w:cs="Calibri" w:eastAsia="Calibri" w:hAnsi="Calibri"/>
        </w:rPr>
        <w:t xml:space="preserve">By Employee — pivot to see what each employee has and what's expiring.</w:t>
      </w:r>
    </w:p>
    <w:p>
      <w:pPr>
        <w:pStyle w:val="ListParagraph"/>
        <w:numPr>
          <w:ilvl w:val="0"/>
          <w:numId w:val="3"/>
        </w:numPr>
        <w:spacing w:after="80" w:line="280"/>
      </w:pPr>
      <w:r>
        <w:rPr>
          <w:rFonts w:ascii="Calibri" w:cs="Calibri" w:eastAsia="Calibri" w:hAnsi="Calibri"/>
        </w:rPr>
        <w:t xml:space="preserve">By Eligibility — count of incumbents per eligibility kind, useful for projections.</w:t>
      </w:r>
    </w:p>
    <w:p>
      <w:pPr>
        <w:pStyle w:val="ListParagraph"/>
        <w:numPr>
          <w:ilvl w:val="0"/>
          <w:numId w:val="3"/>
        </w:numPr>
        <w:spacing w:after="80" w:line="280"/>
      </w:pPr>
      <w:r>
        <w:rPr>
          <w:rFonts w:ascii="Calibri" w:cs="Calibri" w:eastAsia="Calibri" w:hAnsi="Calibri"/>
        </w:rPr>
        <w:t xml:space="preserve">Gaps — only positions with missing or expired eligibilities. This is the action queue HR works.</w:t>
      </w:r>
    </w:p>
    <w:p>
      <w:pPr>
        <w:pStyle w:val="Heading1"/>
        <w:pageBreakBefore/>
        <w:spacing w:after="240" w:before="240"/>
      </w:pPr>
      <w:r>
        <w:rPr>
          <w:rFonts w:ascii="Calibri" w:cs="Calibri" w:eastAsia="Calibri" w:hAnsi="Calibri"/>
          <w:b/>
          <w:bCs/>
          <w:color w:val="0A5340"/>
          <w:sz w:val="36"/>
          <w:szCs w:val="36"/>
        </w:rPr>
        <w:t xml:space="preserve">5.  Personnel Selection Board (PSB)</w:t>
      </w:r>
    </w:p>
    <w:p>
      <w:pPr>
        <w:spacing w:after="120" w:line="300"/>
      </w:pPr>
      <w:r>
        <w:rPr>
          <w:rFonts w:ascii="Calibri" w:cs="Calibri" w:eastAsia="Calibri" w:hAnsi="Calibri"/>
        </w:rPr>
        <w:t xml:space="preserve">The PSB is the deliberative body that interviews shortlisted candidates and ranks them by composite score across five criteria: Education, Experience, Training, Performance (if internal), and Interview. HCM360 produces the PSB Score Sheet, the Comparative Assessment table, and the PSB Resolution PDF for signatures.</w:t>
      </w:r>
    </w:p>
    <w:p>
      <w:pPr>
        <w:spacing w:after="120" w:before="120"/>
        <w:jc w:val="center"/>
      </w:pPr>
      <w:r>
        <w:drawing>
          <wp:inline distT="0" distB="0" distL="0" distR="0">
            <wp:extent cx="5715000" cy="3676650"/>
            <wp:effectExtent t="0" r="0" b="0" l="0"/>
            <wp:docPr id="1" name="12_psb_scores.png" descr="12_psb_scores.png" title="12_psb_sc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PSB Score Sheet with comparative ranking and recommendation.</w:t>
      </w:r>
    </w:p>
    <w:p>
      <w:pPr>
        <w:pStyle w:val="Heading2"/>
        <w:spacing w:after="160" w:before="320"/>
      </w:pPr>
      <w:r>
        <w:rPr>
          <w:rFonts w:ascii="Calibri" w:cs="Calibri" w:eastAsia="Calibri" w:hAnsi="Calibri"/>
          <w:b/>
          <w:bCs/>
          <w:color w:val="111827"/>
          <w:sz w:val="28"/>
          <w:szCs w:val="28"/>
        </w:rPr>
        <w:t xml:space="preserve">5.1  Scoring criteria and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Criterion</w:t>
            </w:r>
          </w:p>
        </w:tc>
        <w:tc>
          <w:tcPr>
            <w:tcW w:type="dxa" w:w="15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Max points</w:t>
            </w:r>
          </w:p>
        </w:tc>
        <w:tc>
          <w:tcPr>
            <w:tcW w:type="dxa" w:w="546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Source</w:t>
            </w:r>
          </w:p>
        </w:tc>
      </w:tr>
      <w:tr>
        <w:tc>
          <w:tcPr>
            <w:tcW w:type="dxa" w:w="2400"/>
            <w:shd w:fill="FFFFFF" w:val="clear"/>
            <w:tcMar>
              <w:top w:type="dxa" w:w="80"/>
              <w:left w:type="dxa" w:w="120"/>
              <w:bottom w:type="dxa" w:w="80"/>
              <w:right w:type="dxa" w:w="120"/>
            </w:tcMar>
          </w:tcPr>
          <w:p>
            <w:r>
              <w:rPr>
                <w:rFonts w:ascii="Calibri" w:cs="Calibri" w:eastAsia="Calibri" w:hAnsi="Calibri"/>
                <w:sz w:val="18"/>
                <w:szCs w:val="18"/>
              </w:rPr>
              <w:t xml:space="preserve">Education</w:t>
            </w:r>
          </w:p>
        </w:tc>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20</w:t>
            </w:r>
          </w:p>
        </w:tc>
        <w:tc>
          <w:tcPr>
            <w:tcW w:type="dxa" w:w="5460"/>
            <w:shd w:fill="FFFFFF" w:val="clear"/>
            <w:tcMar>
              <w:top w:type="dxa" w:w="80"/>
              <w:left w:type="dxa" w:w="120"/>
              <w:bottom w:type="dxa" w:w="80"/>
              <w:right w:type="dxa" w:w="120"/>
            </w:tcMar>
          </w:tcPr>
          <w:p>
            <w:r>
              <w:rPr>
                <w:rFonts w:ascii="Calibri" w:cs="Calibri" w:eastAsia="Calibri" w:hAnsi="Calibri"/>
                <w:sz w:val="18"/>
                <w:szCs w:val="18"/>
              </w:rPr>
              <w:t xml:space="preserve">Highest relevant degree completed.</w:t>
            </w:r>
          </w:p>
        </w:tc>
      </w:tr>
      <w:tr>
        <w:tc>
          <w:tcPr>
            <w:tcW w:type="dxa" w:w="2400"/>
            <w:shd w:fill="F9FAFB" w:val="clear"/>
            <w:tcMar>
              <w:top w:type="dxa" w:w="80"/>
              <w:left w:type="dxa" w:w="120"/>
              <w:bottom w:type="dxa" w:w="80"/>
              <w:right w:type="dxa" w:w="120"/>
            </w:tcMar>
          </w:tcPr>
          <w:p>
            <w:r>
              <w:rPr>
                <w:rFonts w:ascii="Calibri" w:cs="Calibri" w:eastAsia="Calibri" w:hAnsi="Calibri"/>
                <w:sz w:val="18"/>
                <w:szCs w:val="18"/>
              </w:rPr>
              <w:t xml:space="preserve">Experience</w:t>
            </w:r>
          </w:p>
        </w:tc>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25</w:t>
            </w:r>
          </w:p>
        </w:tc>
        <w:tc>
          <w:tcPr>
            <w:tcW w:type="dxa" w:w="5460"/>
            <w:shd w:fill="F9FAFB" w:val="clear"/>
            <w:tcMar>
              <w:top w:type="dxa" w:w="80"/>
              <w:left w:type="dxa" w:w="120"/>
              <w:bottom w:type="dxa" w:w="80"/>
              <w:right w:type="dxa" w:w="120"/>
            </w:tcMar>
          </w:tcPr>
          <w:p>
            <w:r>
              <w:rPr>
                <w:rFonts w:ascii="Calibri" w:cs="Calibri" w:eastAsia="Calibri" w:hAnsi="Calibri"/>
                <w:sz w:val="18"/>
                <w:szCs w:val="18"/>
              </w:rPr>
              <w:t xml:space="preserve">Years of relevant work experience, with a multiplier for direct relevance.</w:t>
            </w:r>
          </w:p>
        </w:tc>
      </w:tr>
      <w:tr>
        <w:tc>
          <w:tcPr>
            <w:tcW w:type="dxa" w:w="2400"/>
            <w:shd w:fill="FFFFFF" w:val="clear"/>
            <w:tcMar>
              <w:top w:type="dxa" w:w="80"/>
              <w:left w:type="dxa" w:w="120"/>
              <w:bottom w:type="dxa" w:w="80"/>
              <w:right w:type="dxa" w:w="120"/>
            </w:tcMar>
          </w:tcPr>
          <w:p>
            <w:r>
              <w:rPr>
                <w:rFonts w:ascii="Calibri" w:cs="Calibri" w:eastAsia="Calibri" w:hAnsi="Calibri"/>
                <w:sz w:val="18"/>
                <w:szCs w:val="18"/>
              </w:rPr>
              <w:t xml:space="preserve">Training</w:t>
            </w:r>
          </w:p>
        </w:tc>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20</w:t>
            </w:r>
          </w:p>
        </w:tc>
        <w:tc>
          <w:tcPr>
            <w:tcW w:type="dxa" w:w="5460"/>
            <w:shd w:fill="FFFFFF" w:val="clear"/>
            <w:tcMar>
              <w:top w:type="dxa" w:w="80"/>
              <w:left w:type="dxa" w:w="120"/>
              <w:bottom w:type="dxa" w:w="80"/>
              <w:right w:type="dxa" w:w="120"/>
            </w:tcMar>
          </w:tcPr>
          <w:p>
            <w:r>
              <w:rPr>
                <w:rFonts w:ascii="Calibri" w:cs="Calibri" w:eastAsia="Calibri" w:hAnsi="Calibri"/>
                <w:sz w:val="18"/>
                <w:szCs w:val="18"/>
              </w:rPr>
              <w:t xml:space="preserve">Training hours in the last 5 years that match the position's competency map.</w:t>
            </w:r>
          </w:p>
        </w:tc>
      </w:tr>
      <w:tr>
        <w:tc>
          <w:tcPr>
            <w:tcW w:type="dxa" w:w="2400"/>
            <w:shd w:fill="F9FAFB" w:val="clear"/>
            <w:tcMar>
              <w:top w:type="dxa" w:w="80"/>
              <w:left w:type="dxa" w:w="120"/>
              <w:bottom w:type="dxa" w:w="80"/>
              <w:right w:type="dxa" w:w="120"/>
            </w:tcMar>
          </w:tcPr>
          <w:p>
            <w:r>
              <w:rPr>
                <w:rFonts w:ascii="Calibri" w:cs="Calibri" w:eastAsia="Calibri" w:hAnsi="Calibri"/>
                <w:sz w:val="18"/>
                <w:szCs w:val="18"/>
              </w:rPr>
              <w:t xml:space="preserve">Performance</w:t>
            </w:r>
          </w:p>
        </w:tc>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15</w:t>
            </w:r>
          </w:p>
        </w:tc>
        <w:tc>
          <w:tcPr>
            <w:tcW w:type="dxa" w:w="5460"/>
            <w:shd w:fill="F9FAFB" w:val="clear"/>
            <w:tcMar>
              <w:top w:type="dxa" w:w="80"/>
              <w:left w:type="dxa" w:w="120"/>
              <w:bottom w:type="dxa" w:w="80"/>
              <w:right w:type="dxa" w:w="120"/>
            </w:tcMar>
          </w:tcPr>
          <w:p>
            <w:r>
              <w:rPr>
                <w:rFonts w:ascii="Calibri" w:cs="Calibri" w:eastAsia="Calibri" w:hAnsi="Calibri"/>
                <w:sz w:val="18"/>
                <w:szCs w:val="18"/>
              </w:rPr>
              <w:t xml:space="preserve">Most recent IPCR rating (internal applicants only); applicants from outside LGU receive proxy points.</w:t>
            </w:r>
          </w:p>
        </w:tc>
      </w:tr>
      <w:tr>
        <w:tc>
          <w:tcPr>
            <w:tcW w:type="dxa" w:w="2400"/>
            <w:shd w:fill="FFFFFF" w:val="clear"/>
            <w:tcMar>
              <w:top w:type="dxa" w:w="80"/>
              <w:left w:type="dxa" w:w="120"/>
              <w:bottom w:type="dxa" w:w="80"/>
              <w:right w:type="dxa" w:w="120"/>
            </w:tcMar>
          </w:tcPr>
          <w:p>
            <w:r>
              <w:rPr>
                <w:rFonts w:ascii="Calibri" w:cs="Calibri" w:eastAsia="Calibri" w:hAnsi="Calibri"/>
                <w:sz w:val="18"/>
                <w:szCs w:val="18"/>
              </w:rPr>
              <w:t xml:space="preserve">Interview</w:t>
            </w:r>
          </w:p>
        </w:tc>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20</w:t>
            </w:r>
          </w:p>
        </w:tc>
        <w:tc>
          <w:tcPr>
            <w:tcW w:type="dxa" w:w="5460"/>
            <w:shd w:fill="FFFFFF" w:val="clear"/>
            <w:tcMar>
              <w:top w:type="dxa" w:w="80"/>
              <w:left w:type="dxa" w:w="120"/>
              <w:bottom w:type="dxa" w:w="80"/>
              <w:right w:type="dxa" w:w="120"/>
            </w:tcMar>
          </w:tcPr>
          <w:p>
            <w:r>
              <w:rPr>
                <w:rFonts w:ascii="Calibri" w:cs="Calibri" w:eastAsia="Calibri" w:hAnsi="Calibri"/>
                <w:sz w:val="18"/>
                <w:szCs w:val="18"/>
              </w:rPr>
              <w:t xml:space="preserve">Average of PSB members' interview ratings.</w:t>
            </w:r>
          </w:p>
        </w:tc>
      </w:tr>
    </w:tbl>
    <w:p>
      <w:pPr>
        <w:spacing w:after="120" w:line="300"/>
      </w:pPr>
      <w:r>
        <w:rPr>
          <w:rFonts w:ascii="Calibri" w:cs="Calibri" w:eastAsia="Calibri" w:hAnsi="Calibri"/>
        </w:rPr>
        <w:t xml:space="preserve">The composite total caps at 100. The top-ranked candidate is endorsed for appointment; the next two ranked candidates are kept as alternates.</w:t>
      </w:r>
    </w:p>
    <w:p>
      <w:pPr>
        <w:pStyle w:val="Heading2"/>
        <w:spacing w:after="160" w:before="320"/>
      </w:pPr>
      <w:r>
        <w:rPr>
          <w:rFonts w:ascii="Calibri" w:cs="Calibri" w:eastAsia="Calibri" w:hAnsi="Calibri"/>
          <w:b/>
          <w:bCs/>
          <w:color w:val="111827"/>
          <w:sz w:val="28"/>
          <w:szCs w:val="28"/>
        </w:rPr>
        <w:t xml:space="preserve">5.2  Running a PSB session  ·  PSB Chair (Mayor or designate)</w:t>
      </w:r>
    </w:p>
    <w:p>
      <w:pPr>
        <w:pStyle w:val="ListParagraph"/>
        <w:numPr>
          <w:ilvl w:val="0"/>
          <w:numId w:val="7"/>
        </w:numPr>
        <w:spacing w:after="80" w:line="280"/>
      </w:pPr>
      <w:r>
        <w:rPr>
          <w:rFonts w:ascii="Calibri" w:cs="Calibri" w:eastAsia="Calibri" w:hAnsi="Calibri"/>
        </w:rPr>
        <w:t xml:space="preserve">Open Recruitment → PSB Deliberations and pick the requisition.</w:t>
      </w:r>
    </w:p>
    <w:p>
      <w:pPr>
        <w:pStyle w:val="ListParagraph"/>
        <w:numPr>
          <w:ilvl w:val="0"/>
          <w:numId w:val="7"/>
        </w:numPr>
        <w:spacing w:after="80" w:line="280"/>
      </w:pPr>
      <w:r>
        <w:rPr>
          <w:rFonts w:ascii="Calibri" w:cs="Calibri" w:eastAsia="Calibri" w:hAnsi="Calibri"/>
        </w:rPr>
        <w:t xml:space="preserve">Add PSB members for the session: Chair (Mayor), Vice-Chair, HRMO, Department Head of the requesting office, Union Rep, NGO Rep.</w:t>
      </w:r>
    </w:p>
    <w:p>
      <w:pPr>
        <w:pStyle w:val="ListParagraph"/>
        <w:numPr>
          <w:ilvl w:val="0"/>
          <w:numId w:val="7"/>
        </w:numPr>
        <w:spacing w:after="80" w:line="280"/>
      </w:pPr>
      <w:r>
        <w:rPr>
          <w:rFonts w:ascii="Calibri" w:cs="Calibri" w:eastAsia="Calibri" w:hAnsi="Calibri"/>
        </w:rPr>
        <w:t xml:space="preserve">For each shortlisted applicant, members enter their interview scores. The system blocks final lock-in until every member has scored every applicant.</w:t>
      </w:r>
    </w:p>
    <w:p>
      <w:pPr>
        <w:pStyle w:val="ListParagraph"/>
        <w:numPr>
          <w:ilvl w:val="0"/>
          <w:numId w:val="7"/>
        </w:numPr>
        <w:spacing w:after="80" w:line="280"/>
      </w:pPr>
      <w:r>
        <w:rPr>
          <w:rFonts w:ascii="Calibri" w:cs="Calibri" w:eastAsia="Calibri" w:hAnsi="Calibri"/>
        </w:rPr>
        <w:t xml:space="preserve">Once scoring is complete, click Generate PSB Resolution. The PDF is auto-filled and routed for digital signatures.</w:t>
      </w:r>
    </w:p>
    <w:p>
      <w:pPr>
        <w:pStyle w:val="ListParagraph"/>
        <w:numPr>
          <w:ilvl w:val="0"/>
          <w:numId w:val="7"/>
        </w:numPr>
        <w:spacing w:after="80" w:line="280"/>
      </w:pPr>
      <w:r>
        <w:rPr>
          <w:rFonts w:ascii="Calibri" w:cs="Calibri" w:eastAsia="Calibri" w:hAnsi="Calibri"/>
        </w:rPr>
        <w:t xml:space="preserve">On signature completion, the recommended candidate is moved to the OFFER stage.</w:t>
      </w:r>
    </w:p>
    <w:p>
      <w:pPr>
        <w:pStyle w:val="Heading1"/>
        <w:pageBreakBefore/>
        <w:spacing w:after="240" w:before="240"/>
      </w:pPr>
      <w:r>
        <w:rPr>
          <w:rFonts w:ascii="Calibri" w:cs="Calibri" w:eastAsia="Calibri" w:hAnsi="Calibri"/>
          <w:b/>
          <w:bCs/>
          <w:color w:val="0A5340"/>
          <w:sz w:val="36"/>
          <w:szCs w:val="36"/>
        </w:rPr>
        <w:t xml:space="preserve">6.  Appointment &amp; Placement</w:t>
      </w:r>
    </w:p>
    <w:p>
      <w:pPr>
        <w:spacing w:after="120" w:line="300"/>
      </w:pPr>
      <w:r>
        <w:rPr>
          <w:rFonts w:ascii="Calibri" w:cs="Calibri" w:eastAsia="Calibri" w:hAnsi="Calibri"/>
        </w:rPr>
        <w:t xml:space="preserve">Once the PSB endorses a candidate, HR prepares the appointment paperwork. HCM360 auto-fills CS Form 33 (Appointment), CS Form 33-A (Position Description), and Oath of Office (CS Form 32). The Mayor signs digitally; the system locks the position once signed.</w:t>
      </w:r>
    </w:p>
    <w:p>
      <w:pPr>
        <w:pStyle w:val="Heading2"/>
        <w:spacing w:after="160" w:before="320"/>
      </w:pPr>
      <w:r>
        <w:rPr>
          <w:rFonts w:ascii="Calibri" w:cs="Calibri" w:eastAsia="Calibri" w:hAnsi="Calibri"/>
          <w:b/>
          <w:bCs/>
          <w:color w:val="111827"/>
          <w:sz w:val="28"/>
          <w:szCs w:val="28"/>
        </w:rPr>
        <w:t xml:space="preserve">6.1  Drafting the appointment  ·  🛡 HR Admin</w:t>
      </w:r>
    </w:p>
    <w:p>
      <w:pPr>
        <w:pStyle w:val="ListParagraph"/>
        <w:numPr>
          <w:ilvl w:val="0"/>
          <w:numId w:val="8"/>
        </w:numPr>
        <w:spacing w:after="80" w:line="280"/>
      </w:pPr>
      <w:r>
        <w:rPr>
          <w:rFonts w:ascii="Calibri" w:cs="Calibri" w:eastAsia="Calibri" w:hAnsi="Calibri"/>
        </w:rPr>
        <w:t xml:space="preserve">From the OFFER stage card, click Prepare Appointment.</w:t>
      </w:r>
    </w:p>
    <w:p>
      <w:pPr>
        <w:pStyle w:val="ListParagraph"/>
        <w:numPr>
          <w:ilvl w:val="0"/>
          <w:numId w:val="8"/>
        </w:numPr>
        <w:spacing w:after="80" w:line="280"/>
      </w:pPr>
      <w:r>
        <w:rPr>
          <w:rFonts w:ascii="Calibri" w:cs="Calibri" w:eastAsia="Calibri" w:hAnsi="Calibri"/>
        </w:rPr>
        <w:t xml:space="preserve">The form is pre-populated from the requisition, the applicant's PDS, and the PSB resolution.</w:t>
      </w:r>
    </w:p>
    <w:p>
      <w:pPr>
        <w:pStyle w:val="ListParagraph"/>
        <w:numPr>
          <w:ilvl w:val="0"/>
          <w:numId w:val="8"/>
        </w:numPr>
        <w:spacing w:after="80" w:line="280"/>
      </w:pPr>
      <w:r>
        <w:rPr>
          <w:rFonts w:ascii="Calibri" w:cs="Calibri" w:eastAsia="Calibri" w:hAnsi="Calibri"/>
        </w:rPr>
        <w:t xml:space="preserve">Set the appointment kind: Original / Promotion / Reappointment / Transfer / Reemployment / Reclassification.</w:t>
      </w:r>
    </w:p>
    <w:p>
      <w:pPr>
        <w:pStyle w:val="ListParagraph"/>
        <w:numPr>
          <w:ilvl w:val="0"/>
          <w:numId w:val="8"/>
        </w:numPr>
        <w:spacing w:after="80" w:line="280"/>
      </w:pPr>
      <w:r>
        <w:rPr>
          <w:rFonts w:ascii="Calibri" w:cs="Calibri" w:eastAsia="Calibri" w:hAnsi="Calibri"/>
        </w:rPr>
        <w:t xml:space="preserve">Set the status: Permanent / Temporary / Coterminous / Casual / Contractual.</w:t>
      </w:r>
    </w:p>
    <w:p>
      <w:pPr>
        <w:pStyle w:val="ListParagraph"/>
        <w:numPr>
          <w:ilvl w:val="0"/>
          <w:numId w:val="8"/>
        </w:numPr>
        <w:spacing w:after="80" w:line="280"/>
      </w:pPr>
      <w:r>
        <w:rPr>
          <w:rFonts w:ascii="Calibri" w:cs="Calibri" w:eastAsia="Calibri" w:hAnsi="Calibri"/>
        </w:rPr>
        <w:t xml:space="preserve">Click Submit for Mayor's Signature.</w:t>
      </w:r>
    </w:p>
    <w:p>
      <w:pPr>
        <w:pStyle w:val="Heading2"/>
        <w:spacing w:after="160" w:before="320"/>
      </w:pPr>
      <w:r>
        <w:rPr>
          <w:rFonts w:ascii="Calibri" w:cs="Calibri" w:eastAsia="Calibri" w:hAnsi="Calibri"/>
          <w:b/>
          <w:bCs/>
          <w:color w:val="111827"/>
          <w:sz w:val="28"/>
          <w:szCs w:val="28"/>
        </w:rPr>
        <w:t xml:space="preserve">6.2  Mayor's signature  ·  ✦ Super Admin / Mayor</w:t>
      </w:r>
    </w:p>
    <w:p>
      <w:pPr>
        <w:spacing w:after="120" w:line="300"/>
      </w:pPr>
      <w:r>
        <w:rPr>
          <w:rFonts w:ascii="Calibri" w:cs="Calibri" w:eastAsia="Calibri" w:hAnsi="Calibri"/>
        </w:rPr>
        <w:t xml:space="preserve">The Mayor or an authorised signatory reviews the appointment in the Mayor's Inbox (/me/inbox?role=MAYOR). On signature, the system stamps a SHA-256 hash and a digital seal on the PDF. The signed appointment becomes the source of truth for the new employee record.</w:t>
      </w:r>
    </w:p>
    <w:p>
      <w:pPr>
        <w:pStyle w:val="Heading2"/>
        <w:spacing w:after="160" w:before="320"/>
      </w:pPr>
      <w:r>
        <w:rPr>
          <w:rFonts w:ascii="Calibri" w:cs="Calibri" w:eastAsia="Calibri" w:hAnsi="Calibri"/>
          <w:b/>
          <w:bCs/>
          <w:color w:val="111827"/>
          <w:sz w:val="28"/>
          <w:szCs w:val="28"/>
        </w:rPr>
        <w:t xml:space="preserve">6.3  Publication to CSC</w:t>
      </w:r>
    </w:p>
    <w:p>
      <w:pPr>
        <w:spacing w:after="120" w:line="300"/>
      </w:pPr>
      <w:r>
        <w:rPr>
          <w:rFonts w:ascii="Calibri" w:cs="Calibri" w:eastAsia="Calibri" w:hAnsi="Calibri"/>
        </w:rPr>
        <w:t xml:space="preserve">The signed appointment is bundled with the supporting attachments (PSB resolution, PDS, qualification proof, eligibility verification result) and submitted to the CSC Field Office for attestation. The CSC's response (attested / disapproved / for compliance) is logged on the appointment record.</w:t>
      </w:r>
    </w:p>
    <w:p>
      <w:pPr>
        <w:pStyle w:val="Heading1"/>
        <w:pageBreakBefore/>
        <w:spacing w:after="240" w:before="240"/>
      </w:pPr>
      <w:r>
        <w:rPr>
          <w:rFonts w:ascii="Calibri" w:cs="Calibri" w:eastAsia="Calibri" w:hAnsi="Calibri"/>
          <w:b/>
          <w:bCs/>
          <w:color w:val="0A5340"/>
          <w:sz w:val="36"/>
          <w:szCs w:val="36"/>
        </w:rPr>
        <w:t xml:space="preserve">7.  Placement &amp; Onboarding</w:t>
      </w:r>
    </w:p>
    <w:p>
      <w:pPr>
        <w:spacing w:after="120" w:line="300"/>
      </w:pPr>
      <w:r>
        <w:rPr>
          <w:rFonts w:ascii="Calibri" w:cs="Calibri" w:eastAsia="Calibri" w:hAnsi="Calibri"/>
        </w:rPr>
        <w:t xml:space="preserve">On Day 1 of the appointment effectivity, the new hire moves into Onboarding. HCM360 ships with a 6-stage onboarding pipeline that follows the CSC Onboarding Standard (REQUIREMENTS → WELCOME → TRANSITION → SIGNOFF → READY → ACTIVATED). HR or the buddy advances the stage as items are completed.</w:t>
      </w:r>
    </w:p>
    <w:p>
      <w:pPr>
        <w:spacing w:after="120" w:before="120"/>
        <w:jc w:val="center"/>
      </w:pPr>
      <w:r>
        <w:drawing>
          <wp:inline distT="0" distB="0" distL="0" distR="0">
            <wp:extent cx="5715000" cy="3676650"/>
            <wp:effectExtent t="0" r="0" b="0" l="0"/>
            <wp:docPr id="1" name="14_onboarding.png" descr="14_onboarding.png" title="14_onboar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Onboarding Tracker showing stage progress and current-stage checklist.</w:t>
      </w:r>
    </w:p>
    <w:p>
      <w:pPr>
        <w:pStyle w:val="Heading2"/>
        <w:spacing w:after="160" w:before="320"/>
      </w:pPr>
      <w:r>
        <w:rPr>
          <w:rFonts w:ascii="Calibri" w:cs="Calibri" w:eastAsia="Calibri" w:hAnsi="Calibri"/>
          <w:b/>
          <w:bCs/>
          <w:color w:val="111827"/>
          <w:sz w:val="28"/>
          <w:szCs w:val="28"/>
        </w:rPr>
        <w:t xml:space="preserve">7.1  Onboarding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060"/>
      </w:tblGrid>
      <w:tr>
        <w:trPr>
          <w:tblHeader/>
        </w:trPr>
        <w:tc>
          <w:tcPr>
            <w:tcW w:type="dxa" w:w="13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Stage</w:t>
            </w:r>
          </w:p>
        </w:tc>
        <w:tc>
          <w:tcPr>
            <w:tcW w:type="dxa" w:w="20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Owner</w:t>
            </w:r>
          </w:p>
        </w:tc>
        <w:tc>
          <w:tcPr>
            <w:tcW w:type="dxa" w:w="606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Key checklist items</w:t>
            </w:r>
          </w:p>
        </w:tc>
      </w:tr>
      <w:tr>
        <w:tc>
          <w:tcPr>
            <w:tcW w:type="dxa" w:w="1300"/>
            <w:shd w:fill="FFFFFF" w:val="clear"/>
            <w:tcMar>
              <w:top w:type="dxa" w:w="80"/>
              <w:left w:type="dxa" w:w="120"/>
              <w:bottom w:type="dxa" w:w="80"/>
              <w:right w:type="dxa" w:w="120"/>
            </w:tcMar>
          </w:tcPr>
          <w:p>
            <w:r>
              <w:rPr>
                <w:rFonts w:ascii="Calibri" w:cs="Calibri" w:eastAsia="Calibri" w:hAnsi="Calibri"/>
                <w:sz w:val="18"/>
                <w:szCs w:val="18"/>
              </w:rPr>
              <w:t xml:space="preserve">REQUIREMENTS</w:t>
            </w:r>
          </w:p>
        </w:tc>
        <w:tc>
          <w:tcPr>
            <w:tcW w:type="dxa" w:w="2000"/>
            <w:shd w:fill="FFFFFF" w:val="clear"/>
            <w:tcMar>
              <w:top w:type="dxa" w:w="80"/>
              <w:left w:type="dxa" w:w="120"/>
              <w:bottom w:type="dxa" w:w="80"/>
              <w:right w:type="dxa" w:w="120"/>
            </w:tcMar>
          </w:tcPr>
          <w:p>
            <w:r>
              <w:rPr>
                <w:rFonts w:ascii="Calibri" w:cs="Calibri" w:eastAsia="Calibri" w:hAnsi="Calibri"/>
                <w:sz w:val="18"/>
                <w:szCs w:val="18"/>
              </w:rPr>
              <w:t xml:space="preserve">🛡 HR Admin</w:t>
            </w:r>
          </w:p>
        </w:tc>
        <w:tc>
          <w:tcPr>
            <w:tcW w:type="dxa" w:w="6060"/>
            <w:shd w:fill="FFFFFF" w:val="clear"/>
            <w:tcMar>
              <w:top w:type="dxa" w:w="80"/>
              <w:left w:type="dxa" w:w="120"/>
              <w:bottom w:type="dxa" w:w="80"/>
              <w:right w:type="dxa" w:w="120"/>
            </w:tcMar>
          </w:tcPr>
          <w:p>
            <w:r>
              <w:rPr>
                <w:rFonts w:ascii="Calibri" w:cs="Calibri" w:eastAsia="Calibri" w:hAnsi="Calibri"/>
                <w:sz w:val="18"/>
                <w:szCs w:val="18"/>
              </w:rPr>
              <w:t xml:space="preserve">PDS, Oath of Office (CS 32), pre-employment medical, NBI / police clearance, ITR for tax computation.</w:t>
            </w:r>
          </w:p>
        </w:tc>
      </w:tr>
      <w:tr>
        <w:tc>
          <w:tcPr>
            <w:tcW w:type="dxa" w:w="1300"/>
            <w:shd w:fill="F9FAFB" w:val="clear"/>
            <w:tcMar>
              <w:top w:type="dxa" w:w="80"/>
              <w:left w:type="dxa" w:w="120"/>
              <w:bottom w:type="dxa" w:w="80"/>
              <w:right w:type="dxa" w:w="120"/>
            </w:tcMar>
          </w:tcPr>
          <w:p>
            <w:r>
              <w:rPr>
                <w:rFonts w:ascii="Calibri" w:cs="Calibri" w:eastAsia="Calibri" w:hAnsi="Calibri"/>
                <w:sz w:val="18"/>
                <w:szCs w:val="18"/>
              </w:rPr>
              <w:t xml:space="preserve">WELCOME</w:t>
            </w:r>
          </w:p>
        </w:tc>
        <w:tc>
          <w:tcPr>
            <w:tcW w:type="dxa" w:w="2000"/>
            <w:shd w:fill="F9FAFB" w:val="clear"/>
            <w:tcMar>
              <w:top w:type="dxa" w:w="80"/>
              <w:left w:type="dxa" w:w="120"/>
              <w:bottom w:type="dxa" w:w="80"/>
              <w:right w:type="dxa" w:w="120"/>
            </w:tcMar>
          </w:tcPr>
          <w:p>
            <w:r>
              <w:rPr>
                <w:rFonts w:ascii="Calibri" w:cs="Calibri" w:eastAsia="Calibri" w:hAnsi="Calibri"/>
                <w:sz w:val="18"/>
                <w:szCs w:val="18"/>
              </w:rPr>
              <w:t xml:space="preserve">🛡 HR Admin</w:t>
            </w:r>
          </w:p>
        </w:tc>
        <w:tc>
          <w:tcPr>
            <w:tcW w:type="dxa" w:w="6060"/>
            <w:shd w:fill="F9FAFB" w:val="clear"/>
            <w:tcMar>
              <w:top w:type="dxa" w:w="80"/>
              <w:left w:type="dxa" w:w="120"/>
              <w:bottom w:type="dxa" w:w="80"/>
              <w:right w:type="dxa" w:w="120"/>
            </w:tcMar>
          </w:tcPr>
          <w:p>
            <w:r>
              <w:rPr>
                <w:rFonts w:ascii="Calibri" w:cs="Calibri" w:eastAsia="Calibri" w:hAnsi="Calibri"/>
                <w:sz w:val="18"/>
                <w:szCs w:val="18"/>
              </w:rPr>
              <w:t xml:space="preserve">Issue Government ID and biometric enrolment, employee handbook, orientation schedule.</w:t>
            </w:r>
          </w:p>
        </w:tc>
      </w:tr>
      <w:tr>
        <w:tc>
          <w:tcPr>
            <w:tcW w:type="dxa" w:w="1300"/>
            <w:shd w:fill="FFFFFF" w:val="clear"/>
            <w:tcMar>
              <w:top w:type="dxa" w:w="80"/>
              <w:left w:type="dxa" w:w="120"/>
              <w:bottom w:type="dxa" w:w="80"/>
              <w:right w:type="dxa" w:w="120"/>
            </w:tcMar>
          </w:tcPr>
          <w:p>
            <w:r>
              <w:rPr>
                <w:rFonts w:ascii="Calibri" w:cs="Calibri" w:eastAsia="Calibri" w:hAnsi="Calibri"/>
                <w:sz w:val="18"/>
                <w:szCs w:val="18"/>
              </w:rPr>
              <w:t xml:space="preserve">TRANSITION</w:t>
            </w:r>
          </w:p>
        </w:tc>
        <w:tc>
          <w:tcPr>
            <w:tcW w:type="dxa" w:w="2000"/>
            <w:shd w:fill="FFFFFF" w:val="clear"/>
            <w:tcMar>
              <w:top w:type="dxa" w:w="80"/>
              <w:left w:type="dxa" w:w="120"/>
              <w:bottom w:type="dxa" w:w="80"/>
              <w:right w:type="dxa" w:w="120"/>
            </w:tcMar>
          </w:tcPr>
          <w:p>
            <w:r>
              <w:rPr>
                <w:rFonts w:ascii="Calibri" w:cs="Calibri" w:eastAsia="Calibri" w:hAnsi="Calibri"/>
                <w:sz w:val="18"/>
                <w:szCs w:val="18"/>
              </w:rPr>
              <w:t xml:space="preserve">🛡 HR + 👥 Manager</w:t>
            </w:r>
          </w:p>
        </w:tc>
        <w:tc>
          <w:tcPr>
            <w:tcW w:type="dxa" w:w="6060"/>
            <w:shd w:fill="FFFFFF" w:val="clear"/>
            <w:tcMar>
              <w:top w:type="dxa" w:w="80"/>
              <w:left w:type="dxa" w:w="120"/>
              <w:bottom w:type="dxa" w:w="80"/>
              <w:right w:type="dxa" w:w="120"/>
            </w:tcMar>
          </w:tcPr>
          <w:p>
            <w:r>
              <w:rPr>
                <w:rFonts w:ascii="Calibri" w:cs="Calibri" w:eastAsia="Calibri" w:hAnsi="Calibri"/>
                <w:sz w:val="18"/>
                <w:szCs w:val="18"/>
              </w:rPr>
              <w:t xml:space="preserve">Workstation, network account, code-of-conduct sign-off, department welcome session, buddy assignment.</w:t>
            </w:r>
          </w:p>
        </w:tc>
      </w:tr>
      <w:tr>
        <w:tc>
          <w:tcPr>
            <w:tcW w:type="dxa" w:w="1300"/>
            <w:shd w:fill="F9FAFB" w:val="clear"/>
            <w:tcMar>
              <w:top w:type="dxa" w:w="80"/>
              <w:left w:type="dxa" w:w="120"/>
              <w:bottom w:type="dxa" w:w="80"/>
              <w:right w:type="dxa" w:w="120"/>
            </w:tcMar>
          </w:tcPr>
          <w:p>
            <w:r>
              <w:rPr>
                <w:rFonts w:ascii="Calibri" w:cs="Calibri" w:eastAsia="Calibri" w:hAnsi="Calibri"/>
                <w:sz w:val="18"/>
                <w:szCs w:val="18"/>
              </w:rPr>
              <w:t xml:space="preserve">SIGNOFF</w:t>
            </w:r>
          </w:p>
        </w:tc>
        <w:tc>
          <w:tcPr>
            <w:tcW w:type="dxa" w:w="2000"/>
            <w:shd w:fill="F9FAFB" w:val="clear"/>
            <w:tcMar>
              <w:top w:type="dxa" w:w="80"/>
              <w:left w:type="dxa" w:w="120"/>
              <w:bottom w:type="dxa" w:w="80"/>
              <w:right w:type="dxa" w:w="120"/>
            </w:tcMar>
          </w:tcPr>
          <w:p>
            <w:r>
              <w:rPr>
                <w:rFonts w:ascii="Calibri" w:cs="Calibri" w:eastAsia="Calibri" w:hAnsi="Calibri"/>
                <w:sz w:val="18"/>
                <w:szCs w:val="18"/>
              </w:rPr>
              <w:t xml:space="preserve">🛡 HR Admin</w:t>
            </w:r>
          </w:p>
        </w:tc>
        <w:tc>
          <w:tcPr>
            <w:tcW w:type="dxa" w:w="6060"/>
            <w:shd w:fill="F9FAFB" w:val="clear"/>
            <w:tcMar>
              <w:top w:type="dxa" w:w="80"/>
              <w:left w:type="dxa" w:w="120"/>
              <w:bottom w:type="dxa" w:w="80"/>
              <w:right w:type="dxa" w:w="120"/>
            </w:tcMar>
          </w:tcPr>
          <w:p>
            <w:r>
              <w:rPr>
                <w:rFonts w:ascii="Calibri" w:cs="Calibri" w:eastAsia="Calibri" w:hAnsi="Calibri"/>
                <w:sz w:val="18"/>
                <w:szCs w:val="18"/>
              </w:rPr>
              <w:t xml:space="preserve">Plantilla position description signed; payroll bank details captured.</w:t>
            </w:r>
          </w:p>
        </w:tc>
      </w:tr>
      <w:tr>
        <w:tc>
          <w:tcPr>
            <w:tcW w:type="dxa" w:w="1300"/>
            <w:shd w:fill="FFFFFF" w:val="clear"/>
            <w:tcMar>
              <w:top w:type="dxa" w:w="80"/>
              <w:left w:type="dxa" w:w="120"/>
              <w:bottom w:type="dxa" w:w="80"/>
              <w:right w:type="dxa" w:w="120"/>
            </w:tcMar>
          </w:tcPr>
          <w:p>
            <w:r>
              <w:rPr>
                <w:rFonts w:ascii="Calibri" w:cs="Calibri" w:eastAsia="Calibri" w:hAnsi="Calibri"/>
                <w:sz w:val="18"/>
                <w:szCs w:val="18"/>
              </w:rPr>
              <w:t xml:space="preserve">READY</w:t>
            </w:r>
          </w:p>
        </w:tc>
        <w:tc>
          <w:tcPr>
            <w:tcW w:type="dxa" w:w="2000"/>
            <w:shd w:fill="FFFFFF" w:val="clear"/>
            <w:tcMar>
              <w:top w:type="dxa" w:w="80"/>
              <w:left w:type="dxa" w:w="120"/>
              <w:bottom w:type="dxa" w:w="80"/>
              <w:right w:type="dxa" w:w="120"/>
            </w:tcMar>
          </w:tcPr>
          <w:p>
            <w:r>
              <w:rPr>
                <w:rFonts w:ascii="Calibri" w:cs="Calibri" w:eastAsia="Calibri" w:hAnsi="Calibri"/>
                <w:sz w:val="18"/>
                <w:szCs w:val="18"/>
              </w:rPr>
              <w:t xml:space="preserve">👥 Manager</w:t>
            </w:r>
          </w:p>
        </w:tc>
        <w:tc>
          <w:tcPr>
            <w:tcW w:type="dxa" w:w="6060"/>
            <w:shd w:fill="FFFFFF" w:val="clear"/>
            <w:tcMar>
              <w:top w:type="dxa" w:w="80"/>
              <w:left w:type="dxa" w:w="120"/>
              <w:bottom w:type="dxa" w:w="80"/>
              <w:right w:type="dxa" w:w="120"/>
            </w:tcMar>
          </w:tcPr>
          <w:p>
            <w:r>
              <w:rPr>
                <w:rFonts w:ascii="Calibri" w:cs="Calibri" w:eastAsia="Calibri" w:hAnsi="Calibri"/>
                <w:sz w:val="18"/>
                <w:szCs w:val="18"/>
              </w:rPr>
              <w:t xml:space="preserve">First-week goals discussed; DTR enrolment activated.</w:t>
            </w:r>
          </w:p>
        </w:tc>
      </w:tr>
      <w:tr>
        <w:tc>
          <w:tcPr>
            <w:tcW w:type="dxa" w:w="1300"/>
            <w:shd w:fill="F9FAFB" w:val="clear"/>
            <w:tcMar>
              <w:top w:type="dxa" w:w="80"/>
              <w:left w:type="dxa" w:w="120"/>
              <w:bottom w:type="dxa" w:w="80"/>
              <w:right w:type="dxa" w:w="120"/>
            </w:tcMar>
          </w:tcPr>
          <w:p>
            <w:r>
              <w:rPr>
                <w:rFonts w:ascii="Calibri" w:cs="Calibri" w:eastAsia="Calibri" w:hAnsi="Calibri"/>
                <w:sz w:val="18"/>
                <w:szCs w:val="18"/>
              </w:rPr>
              <w:t xml:space="preserve">ACTIVATED</w:t>
            </w:r>
          </w:p>
        </w:tc>
        <w:tc>
          <w:tcPr>
            <w:tcW w:type="dxa" w:w="2000"/>
            <w:shd w:fill="F9FAFB" w:val="clear"/>
            <w:tcMar>
              <w:top w:type="dxa" w:w="80"/>
              <w:left w:type="dxa" w:w="120"/>
              <w:bottom w:type="dxa" w:w="80"/>
              <w:right w:type="dxa" w:w="120"/>
            </w:tcMar>
          </w:tcPr>
          <w:p>
            <w:r>
              <w:rPr>
                <w:rFonts w:ascii="Calibri" w:cs="Calibri" w:eastAsia="Calibri" w:hAnsi="Calibri"/>
                <w:sz w:val="18"/>
                <w:szCs w:val="18"/>
              </w:rPr>
              <w:t xml:space="preserve">system</w:t>
            </w:r>
          </w:p>
        </w:tc>
        <w:tc>
          <w:tcPr>
            <w:tcW w:type="dxa" w:w="6060"/>
            <w:shd w:fill="F9FAFB" w:val="clear"/>
            <w:tcMar>
              <w:top w:type="dxa" w:w="80"/>
              <w:left w:type="dxa" w:w="120"/>
              <w:bottom w:type="dxa" w:w="80"/>
              <w:right w:type="dxa" w:w="120"/>
            </w:tcMar>
          </w:tcPr>
          <w:p>
            <w:r>
              <w:rPr>
                <w:rFonts w:ascii="Calibri" w:cs="Calibri" w:eastAsia="Calibri" w:hAnsi="Calibri"/>
                <w:sz w:val="18"/>
                <w:szCs w:val="18"/>
              </w:rPr>
              <w:t xml:space="preserve">Status flips to active; first scheduled paydate is enrolled in payroll.</w:t>
            </w:r>
          </w:p>
        </w:tc>
      </w:tr>
    </w:tbl>
    <w:p>
      <w:pPr>
        <w:pStyle w:val="Heading2"/>
        <w:spacing w:after="160" w:before="320"/>
      </w:pPr>
      <w:r>
        <w:rPr>
          <w:rFonts w:ascii="Calibri" w:cs="Calibri" w:eastAsia="Calibri" w:hAnsi="Calibri"/>
          <w:b/>
          <w:bCs/>
          <w:color w:val="111827"/>
          <w:sz w:val="28"/>
          <w:szCs w:val="28"/>
        </w:rPr>
        <w:t xml:space="preserve">7.2  Advancing a stage</w:t>
      </w:r>
    </w:p>
    <w:p>
      <w:pPr>
        <w:pStyle w:val="ListParagraph"/>
        <w:numPr>
          <w:ilvl w:val="0"/>
          <w:numId w:val="9"/>
        </w:numPr>
        <w:spacing w:after="80" w:line="280"/>
      </w:pPr>
      <w:r>
        <w:rPr>
          <w:rFonts w:ascii="Calibri" w:cs="Calibri" w:eastAsia="Calibri" w:hAnsi="Calibri"/>
        </w:rPr>
        <w:t xml:space="preserve">Open Recruitment → Onboarding from the sidebar.</w:t>
      </w:r>
    </w:p>
    <w:p>
      <w:pPr>
        <w:pStyle w:val="ListParagraph"/>
        <w:numPr>
          <w:ilvl w:val="0"/>
          <w:numId w:val="9"/>
        </w:numPr>
        <w:spacing w:after="80" w:line="280"/>
      </w:pPr>
      <w:r>
        <w:rPr>
          <w:rFonts w:ascii="Calibri" w:cs="Calibri" w:eastAsia="Calibri" w:hAnsi="Calibri"/>
        </w:rPr>
        <w:t xml:space="preserve">Pick the new hire to open their tracker.</w:t>
      </w:r>
    </w:p>
    <w:p>
      <w:pPr>
        <w:pStyle w:val="ListParagraph"/>
        <w:numPr>
          <w:ilvl w:val="0"/>
          <w:numId w:val="9"/>
        </w:numPr>
        <w:spacing w:after="80" w:line="280"/>
      </w:pPr>
      <w:r>
        <w:rPr>
          <w:rFonts w:ascii="Calibri" w:cs="Calibri" w:eastAsia="Calibri" w:hAnsi="Calibri"/>
        </w:rPr>
        <w:t xml:space="preserve">Tick checklist items as they are completed; the progress bar updates immediately.</w:t>
      </w:r>
    </w:p>
    <w:p>
      <w:pPr>
        <w:pStyle w:val="ListParagraph"/>
        <w:numPr>
          <w:ilvl w:val="0"/>
          <w:numId w:val="9"/>
        </w:numPr>
        <w:spacing w:after="80" w:line="280"/>
      </w:pPr>
      <w:r>
        <w:rPr>
          <w:rFonts w:ascii="Calibri" w:cs="Calibri" w:eastAsia="Calibri" w:hAnsi="Calibri"/>
        </w:rPr>
        <w:t xml:space="preserve">When all required items in the current stage are ticked, click Advance to Next Stage.</w:t>
      </w:r>
    </w:p>
    <w:p>
      <w:pPr>
        <w:pStyle w:val="ListParagraph"/>
        <w:numPr>
          <w:ilvl w:val="0"/>
          <w:numId w:val="9"/>
        </w:numPr>
        <w:spacing w:after="80" w:line="280"/>
      </w:pPr>
      <w:r>
        <w:rPr>
          <w:rFonts w:ascii="Calibri" w:cs="Calibri" w:eastAsia="Calibri" w:hAnsi="Calibri"/>
        </w:rPr>
        <w:t xml:space="preserve">Once ACTIVATED, the new hire's Self-Service portal opens, ARIA welcomes them, and their first-cycle IPCR scaffold is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5803D" w:val="clear"/>
          </w:tcPr>
          <w:p>
            <w:r>
              <w:rPr>
                <w:rFonts w:ascii="Calibri" w:cs="Calibri" w:eastAsia="Calibri" w:hAnsi="Calibri"/>
              </w:rPr>
              <w:t xml:space="preserve"> </w:t>
            </w:r>
          </w:p>
        </w:tc>
        <w:tc>
          <w:tcPr>
            <w:tcW w:type="dxa" w:w="9240"/>
            <w:tcBorders>
              <w:top w:val="none" w:color="FFFFFF" w:sz="0"/>
              <w:left w:val="none" w:color="FFFFFF" w:sz="0"/>
              <w:bottom w:val="none" w:color="FFFFFF" w:sz="0"/>
              <w:right w:val="none" w:color="FFFFFF" w:sz="0"/>
            </w:tcBorders>
            <w:shd w:fill="ECFDF5" w:val="clear"/>
            <w:tcMar>
              <w:top w:type="dxa" w:w="120"/>
              <w:left w:type="dxa" w:w="220"/>
              <w:bottom w:type="dxa" w:w="120"/>
              <w:right w:type="dxa" w:w="220"/>
            </w:tcMar>
          </w:tcPr>
          <w:p>
            <w:pPr>
              <w:spacing w:after="60"/>
            </w:pPr>
            <w:r>
              <w:rPr>
                <w:rFonts w:ascii="Calibri" w:cs="Calibri" w:eastAsia="Calibri" w:hAnsi="Calibri"/>
                <w:b/>
                <w:bCs/>
                <w:color w:val="15803D"/>
                <w:sz w:val="22"/>
                <w:szCs w:val="22"/>
              </w:rPr>
              <w:t xml:space="preserve">✓  Buddy programme</w:t>
            </w:r>
          </w:p>
          <w:p>
            <w:r>
              <w:rPr>
                <w:rFonts w:ascii="Calibri" w:cs="Calibri" w:eastAsia="Calibri" w:hAnsi="Calibri"/>
                <w:color w:val="374151"/>
                <w:sz w:val="20"/>
                <w:szCs w:val="20"/>
              </w:rPr>
              <w:t xml:space="preserve">We pair every new hire with a buddy for the first 30 days. The buddy receives tasks in their inbox at Day 1, Day 7, Day 14, and Day 30 to check in and submit a short note that becomes part of the new hire's onboarding feedback record.</w:t>
            </w:r>
          </w:p>
        </w:tc>
      </w:tr>
    </w:tbl>
    <w:p>
      <w:pPr>
        <w:pStyle w:val="Heading1"/>
        <w:pageBreakBefore/>
        <w:spacing w:after="240" w:before="240"/>
      </w:pPr>
      <w:r>
        <w:rPr>
          <w:rFonts w:ascii="Calibri" w:cs="Calibri" w:eastAsia="Calibri" w:hAnsi="Calibri"/>
          <w:b/>
          <w:bCs/>
          <w:color w:val="0A5340"/>
          <w:sz w:val="36"/>
          <w:szCs w:val="36"/>
        </w:rPr>
        <w:t xml:space="preserve">8.  Where to go next</w:t>
      </w:r>
    </w:p>
    <w:p>
      <w:pPr>
        <w:pStyle w:val="ListParagraph"/>
        <w:numPr>
          <w:ilvl w:val="0"/>
          <w:numId w:val="3"/>
        </w:numPr>
        <w:spacing w:after="80" w:line="280"/>
      </w:pPr>
      <w:r>
        <w:rPr>
          <w:rFonts w:ascii="Calibri" w:cs="Calibri" w:eastAsia="Calibri" w:hAnsi="Calibri"/>
        </w:rPr>
        <w:t xml:space="preserve">Volume 1 covers the Dashboard, Employee Records, Leave, Payroll, Attendance, Performance Management, and the ARIA AI Assistant.</w:t>
      </w:r>
    </w:p>
    <w:p>
      <w:pPr>
        <w:pStyle w:val="ListParagraph"/>
        <w:numPr>
          <w:ilvl w:val="0"/>
          <w:numId w:val="3"/>
        </w:numPr>
        <w:spacing w:after="80" w:line="280"/>
      </w:pPr>
      <w:r>
        <w:rPr>
          <w:rFonts w:ascii="Calibri" w:cs="Calibri" w:eastAsia="Calibri" w:hAnsi="Calibri"/>
        </w:rPr>
        <w:t xml:space="preserve">Volume 3 covers Learning &amp; Development, Awards &amp; Recognition (PRAISE), and the Discipline &amp; Grievance flow.</w:t>
      </w:r>
    </w:p>
    <w:p>
      <w:pPr>
        <w:pStyle w:val="ListParagraph"/>
        <w:numPr>
          <w:ilvl w:val="0"/>
          <w:numId w:val="3"/>
        </w:numPr>
        <w:spacing w:after="80" w:line="280"/>
      </w:pPr>
      <w:r>
        <w:rPr>
          <w:rFonts w:ascii="Calibri" w:cs="Calibri" w:eastAsia="Calibri" w:hAnsi="Calibri"/>
        </w:rPr>
        <w:t xml:space="preserve">For the technical schema behind requisitions, applicants, eligibilities, and appointments, see doc/technical/.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4338CA" w:val="clear"/>
          </w:tcPr>
          <w:p>
            <w:r>
              <w:rPr>
                <w:rFonts w:ascii="Calibri" w:cs="Calibri" w:eastAsia="Calibri" w:hAnsi="Calibri"/>
              </w:rPr>
              <w:t xml:space="preserve"> </w:t>
            </w:r>
          </w:p>
        </w:tc>
        <w:tc>
          <w:tcPr>
            <w:tcW w:type="dxa" w:w="9240"/>
            <w:tcBorders>
              <w:top w:val="none" w:color="FFFFFF" w:sz="0"/>
              <w:left w:val="none" w:color="FFFFFF" w:sz="0"/>
              <w:bottom w:val="none" w:color="FFFFFF" w:sz="0"/>
              <w:right w:val="none" w:color="FFFFFF" w:sz="0"/>
            </w:tcBorders>
            <w:shd w:fill="EEF2FF" w:val="clear"/>
            <w:tcMar>
              <w:top w:type="dxa" w:w="120"/>
              <w:left w:type="dxa" w:w="220"/>
              <w:bottom w:type="dxa" w:w="120"/>
              <w:right w:type="dxa" w:w="220"/>
            </w:tcMar>
          </w:tcPr>
          <w:p>
            <w:pPr>
              <w:spacing w:after="60"/>
            </w:pPr>
            <w:r>
              <w:rPr>
                <w:rFonts w:ascii="Calibri" w:cs="Calibri" w:eastAsia="Calibri" w:hAnsi="Calibri"/>
                <w:b/>
                <w:bCs/>
                <w:color w:val="4338CA"/>
                <w:sz w:val="22"/>
                <w:szCs w:val="22"/>
              </w:rPr>
              <w:t xml:space="preserve">ℹ  Government forms generated by Volume 2</w:t>
            </w:r>
          </w:p>
          <w:p>
            <w:r>
              <w:rPr>
                <w:rFonts w:ascii="Calibri" w:cs="Calibri" w:eastAsia="Calibri" w:hAnsi="Calibri"/>
                <w:color w:val="374151"/>
                <w:sz w:val="20"/>
                <w:szCs w:val="20"/>
              </w:rPr>
              <w:t xml:space="preserve">CS Form 9 (Vacancy Announcement) · CS Form 12 (Notice of Promotion) · CS Form 32 (Oath of Office) · CS Form 33 / 33-A (Appointment) · CS Form 34 (PSB Resolution) · CSC Attestation Bundle.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Municipality of Mariveles, Bataan  ·  v1.7  ·  </w:t>
    </w:r>
    <w:r>
      <w:rPr>
        <w:rFonts w:ascii="Calibri" w:cs="Calibri" w:eastAsia="Calibri" w:hAnsi="Calibri"/>
        <w:color w:val="6B7280"/>
        <w:sz w:val="18"/>
        <w:szCs w:val="18"/>
      </w:rPr>
      <w:t xml:space="preserve">Page </w:t>
    </w:r>
    <w:r>
      <w:rPr>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A5A" w:sz="6" w:space="6"/>
      </w:pBdr>
      <w:tabs>
        <w:tab w:val="right" w:pos="9026"/>
      </w:tabs>
    </w:pPr>
    <w:r>
      <w:rPr>
        <w:rFonts w:ascii="Calibri" w:cs="Calibri" w:eastAsia="Calibri" w:hAnsi="Calibri"/>
        <w:color w:val="6B7280"/>
        <w:sz w:val="18"/>
        <w:szCs w:val="18"/>
      </w:rPr>
      <w:t xml:space="preserve">HCM360 — User Documentation Guide</w:t>
    </w:r>
    <w:r>
      <w:rPr>
        <w:rFonts w:ascii="Calibri" w:cs="Calibri" w:eastAsia="Calibri" w:hAnsi="Calibri"/>
      </w:rPr>
      <w:t xml:space="preserve">	</w:t>
    </w:r>
    <w:r>
      <w:rPr>
        <w:rFonts w:ascii="Calibri" w:cs="Calibri" w:eastAsia="Calibri" w:hAnsi="Calibri"/>
        <w:i/>
        <w:iCs/>
        <w:color w:val="6B7280"/>
        <w:sz w:val="18"/>
        <w:szCs w:val="18"/>
      </w:rPr>
      <w:t xml:space="preserve">Volume 2  ·  Recruitment, Selection, and Placement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0A5340"/>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11827"/>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A53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d1de2402a57376ffe1245c93d9a011fc5254dad.png"/><Relationship Id="rId10" Type="http://schemas.openxmlformats.org/officeDocument/2006/relationships/image" Target="media/0a2183a52607517dc377041d3b37eb403f911540.png"/><Relationship Id="rId11" Type="http://schemas.openxmlformats.org/officeDocument/2006/relationships/image" Target="media/31d1c4f5f2c6909d0485e0353040d940955cc5ae.png"/><Relationship Id="rId12" Type="http://schemas.openxmlformats.org/officeDocument/2006/relationships/image" Target="media/9004f9a9d62c47a44396c3321990a7acfa8f656e.png"/><Relationship Id="rId13" Type="http://schemas.openxmlformats.org/officeDocument/2006/relationships/image" Target="media/d359d628ea8d8c21b39b0370884ebc254b8d89a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HCM360 User Guide — Volume 2 (RSP)</dc:title>
  <dc:creator>HCM360 Documentation Team</dc:creator>
  <dc:description>Recruitment, Selection, and Placement.</dc:description>
  <cp:lastModifiedBy>Un-named</cp:lastModifiedBy>
  <cp:revision>1</cp:revision>
  <dcterms:created xsi:type="dcterms:W3CDTF">2026-04-29T17:17:02.775Z</dcterms:created>
  <dcterms:modified xsi:type="dcterms:W3CDTF">2026-04-29T17:17:02.832Z</dcterms:modified>
</cp:coreProperties>
</file>

<file path=docProps/custom.xml><?xml version="1.0" encoding="utf-8"?>
<Properties xmlns="http://schemas.openxmlformats.org/officeDocument/2006/custom-properties" xmlns:vt="http://schemas.openxmlformats.org/officeDocument/2006/docPropsVTypes"/>
</file>