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rFonts w:ascii="Calibri" w:cs="Calibri" w:eastAsia="Calibri" w:hAnsi="Calibri"/>
          <w:b/>
          <w:bCs/>
          <w:color w:val="0A5340"/>
          <w:sz w:val="96"/>
          <w:szCs w:val="96"/>
        </w:rPr>
        <w:t xml:space="preserve">HCM360</w:t>
      </w:r>
    </w:p>
    <w:p>
      <w:pPr>
        <w:spacing w:after="200"/>
        <w:jc w:val="center"/>
      </w:pPr>
      <w:r>
        <w:rPr>
          <w:rFonts w:ascii="Calibri" w:cs="Calibri" w:eastAsia="Calibri" w:hAnsi="Calibri"/>
          <w:b/>
          <w:bCs/>
          <w:color w:val="374151"/>
          <w:sz w:val="44"/>
          <w:szCs w:val="44"/>
        </w:rPr>
        <w:t xml:space="preserve">User Documentation Guide</w:t>
      </w:r>
    </w:p>
    <w:p>
      <w:pPr>
        <w:spacing w:after="1200"/>
        <w:jc w:val="center"/>
      </w:pPr>
      <w:r>
        <w:rPr>
          <w:rFonts w:ascii="Calibri" w:cs="Calibri" w:eastAsia="Calibri" w:hAnsi="Calibri"/>
          <w:i/>
          <w:iCs/>
          <w:color w:val="6B7280"/>
          <w:sz w:val="22"/>
          <w:szCs w:val="22"/>
        </w:rPr>
        <w:t xml:space="preserve">Municipality of Mariveles, Bataan  ·  Metadata-driven HR platform</w:t>
      </w:r>
    </w:p>
    <w:p>
      <w:pPr>
        <w:pBdr>
          <w:bottom w:val="single" w:color="0F7A5A" w:sz="12" w:space="1"/>
        </w:pBdr>
      </w:pPr>
      <w:r>
        <w:rPr>
          <w:rFonts w:ascii="Calibri" w:cs="Calibri" w:eastAsia="Calibri" w:hAnsi="Calibri"/>
        </w:rPr>
        <w:t xml:space="preserve"/>
      </w:r>
    </w:p>
    <w:p>
      <w:pPr>
        <w:spacing w:after="100" w:before="400"/>
        <w:jc w:val="center"/>
      </w:pPr>
      <w:r>
        <w:rPr>
          <w:rFonts w:ascii="Calibri" w:cs="Calibri" w:eastAsia="Calibri" w:hAnsi="Calibri"/>
          <w:b/>
          <w:bCs/>
          <w:color w:val="111827"/>
          <w:sz w:val="26"/>
          <w:szCs w:val="26"/>
        </w:rPr>
        <w:t xml:space="preserve">Volume 3  —  Learning · Awards · Discipline</w:t>
      </w:r>
    </w:p>
    <w:p>
      <w:pPr>
        <w:spacing w:after="1600"/>
        <w:jc w:val="center"/>
      </w:pPr>
      <w:r>
        <w:rPr>
          <w:rFonts w:ascii="Calibri" w:cs="Calibri" w:eastAsia="Calibri" w:hAnsi="Calibri"/>
          <w:color w:val="374151"/>
          <w:sz w:val="20"/>
          <w:szCs w:val="20"/>
        </w:rPr>
        <w:t xml:space="preserve">All roles: Employee · Manager · HR Admin · Super Admin</w:t>
      </w:r>
    </w:p>
    <w:p>
      <w:pPr>
        <w:spacing w:after="100"/>
        <w:jc w:val="center"/>
      </w:pPr>
      <w:r>
        <w:rPr>
          <w:rFonts w:ascii="Calibri" w:cs="Calibri" w:eastAsia="Calibri" w:hAnsi="Calibri"/>
          <w:b/>
          <w:bCs/>
          <w:color w:val="0A5340"/>
          <w:sz w:val="20"/>
          <w:szCs w:val="20"/>
        </w:rPr>
        <w:t xml:space="preserve">Version 1.7  ·  April 2026</w:t>
      </w:r>
    </w:p>
    <w:p>
      <w:pPr>
        <w:pStyle w:val="Heading1"/>
        <w:pageBreakBefore/>
        <w:spacing w:after="240" w:before="240"/>
      </w:pPr>
      <w:r>
        <w:rPr>
          <w:rFonts w:ascii="Calibri" w:cs="Calibri" w:eastAsia="Calibri" w:hAnsi="Calibri"/>
          <w:b/>
          <w:bCs/>
          <w:color w:val="0A5340"/>
          <w:sz w:val="36"/>
          <w:szCs w:val="36"/>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pPr>
        <w:pStyle w:val="Heading1"/>
        <w:pageBreakBefore/>
        <w:spacing w:after="240" w:before="240"/>
      </w:pPr>
      <w:r>
        <w:rPr>
          <w:rFonts w:ascii="Calibri" w:cs="Calibri" w:eastAsia="Calibri" w:hAnsi="Calibri"/>
          <w:b/>
          <w:bCs/>
          <w:color w:val="0A5340"/>
          <w:sz w:val="36"/>
          <w:szCs w:val="36"/>
        </w:rPr>
        <w:t xml:space="preserve">1.  Overview</w:t>
      </w:r>
    </w:p>
    <w:p>
      <w:pPr>
        <w:spacing w:after="120" w:line="300"/>
      </w:pPr>
      <w:r>
        <w:rPr>
          <w:rFonts w:ascii="Calibri" w:cs="Calibri" w:eastAsia="Calibri" w:hAnsi="Calibri"/>
        </w:rPr>
        <w:t xml:space="preserve">Volume 3 covers three modules that sit at the intersection of HR development and compliance: Learning &amp; Development (L&amp;D), Awards &amp; Recognition under the PRAISE framework, and the Discipline &amp; Grievance flow. Together they enforce the LGU's obligations under CSC MC 28, s. 2018 (PRAISE) and CSC MC 19, s. 2020 (Rules on Administrative Cases in the Civil Service / 2017 RACCS).</w:t>
      </w:r>
    </w:p>
    <w:p>
      <w:pPr>
        <w:pStyle w:val="Heading1"/>
        <w:pageBreakBefore/>
        <w:spacing w:after="240" w:before="240"/>
      </w:pPr>
      <w:r>
        <w:rPr>
          <w:rFonts w:ascii="Calibri" w:cs="Calibri" w:eastAsia="Calibri" w:hAnsi="Calibri"/>
          <w:b/>
          <w:bCs/>
          <w:color w:val="0A5340"/>
          <w:sz w:val="36"/>
          <w:szCs w:val="36"/>
        </w:rPr>
        <w:t xml:space="preserve">2.  Learning &amp; Development</w:t>
      </w:r>
    </w:p>
    <w:p>
      <w:pPr>
        <w:spacing w:after="120" w:line="300"/>
      </w:pPr>
      <w:r>
        <w:rPr>
          <w:rFonts w:ascii="Calibri" w:cs="Calibri" w:eastAsia="Calibri" w:hAnsi="Calibri"/>
        </w:rPr>
        <w:t xml:space="preserve">L&amp;D centralises the LGU's training catalog, scholarships, training need analysis (TNA), session scheduling, attendance, and post-training narrative reports. Programs can be flagged as CSC-accredited or mandatory. Training hours feed forward into the IPCR's Training points (PSB Volume 2 §5.1) and into the PRAISE eligibility calculations (this volume §6).</w:t>
      </w:r>
    </w:p>
    <w:p>
      <w:pPr>
        <w:pStyle w:val="Heading2"/>
        <w:spacing w:after="160" w:before="320"/>
      </w:pPr>
      <w:r>
        <w:rPr>
          <w:rFonts w:ascii="Calibri" w:cs="Calibri" w:eastAsia="Calibri" w:hAnsi="Calibri"/>
          <w:b/>
          <w:bCs/>
          <w:color w:val="111827"/>
          <w:sz w:val="28"/>
          <w:szCs w:val="28"/>
        </w:rPr>
        <w:t xml:space="preserve">2.1  Training Catalog</w:t>
      </w:r>
    </w:p>
    <w:p>
      <w:pPr>
        <w:spacing w:after="120" w:before="120"/>
        <w:jc w:val="center"/>
      </w:pPr>
      <w:r>
        <w:drawing>
          <wp:inline distT="0" distB="0" distL="0" distR="0">
            <wp:extent cx="5715000" cy="3676650"/>
            <wp:effectExtent t="0" r="0" b="0" l="0"/>
            <wp:docPr id="1" name="20_training_catalog.png" descr="20_training_catalog.png" title="20_training_catalo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3676650"/>
                    </a:xfrm>
                    <a:prstGeom prst="rect">
                      <a:avLst/>
                    </a:prstGeom>
                  </pic:spPr>
                </pic:pic>
              </a:graphicData>
            </a:graphic>
          </wp:inline>
        </w:drawing>
      </w:r>
    </w:p>
    <w:p>
      <w:pPr>
        <w:spacing w:after="240"/>
        <w:jc w:val="center"/>
      </w:pPr>
      <w:r>
        <w:rPr>
          <w:rFonts w:ascii="Calibri" w:cs="Calibri" w:eastAsia="Calibri" w:hAnsi="Calibri"/>
          <w:i/>
          <w:iCs/>
          <w:color w:val="6B7280"/>
          <w:sz w:val="18"/>
          <w:szCs w:val="18"/>
        </w:rPr>
        <w:t xml:space="preserve">Figure: Training Catalog — programs grouped as cards; CSC and Mandatory badges.</w:t>
      </w:r>
    </w:p>
    <w:p>
      <w:pPr>
        <w:spacing w:after="120" w:line="300"/>
      </w:pPr>
      <w:r>
        <w:rPr>
          <w:rFonts w:ascii="Calibri" w:cs="Calibri" w:eastAsia="Calibri" w:hAnsi="Calibri"/>
        </w:rPr>
        <w:t xml:space="preserve">The catalog is the master list of programs available to LGU staff. Each program card shows the title, category, duration, provider, and the count of upcoming sessions and current enrolments.</w:t>
      </w:r>
    </w:p>
    <w:p>
      <w:pPr>
        <w:pStyle w:val="Heading3"/>
        <w:spacing w:after="100" w:before="200"/>
      </w:pPr>
      <w:r>
        <w:rPr>
          <w:rFonts w:ascii="Calibri" w:cs="Calibri" w:eastAsia="Calibri" w:hAnsi="Calibri"/>
          <w:b/>
          <w:bCs/>
          <w:color w:val="0A5340"/>
          <w:sz w:val="22"/>
          <w:szCs w:val="22"/>
        </w:rPr>
        <w:t xml:space="preserve">Adding a program  ·  🛡 HR Admin / Learning Officer</w:t>
      </w:r>
    </w:p>
    <w:p>
      <w:pPr>
        <w:pStyle w:val="ListParagraph"/>
        <w:numPr>
          <w:ilvl w:val="0"/>
          <w:numId w:val="2"/>
        </w:numPr>
        <w:spacing w:after="80" w:line="280"/>
      </w:pPr>
      <w:r>
        <w:rPr>
          <w:rFonts w:ascii="Calibri" w:cs="Calibri" w:eastAsia="Calibri" w:hAnsi="Calibri"/>
        </w:rPr>
        <w:t xml:space="preserve">Open Learning → Programs and click + New Program.</w:t>
      </w:r>
    </w:p>
    <w:p>
      <w:pPr>
        <w:pStyle w:val="ListParagraph"/>
        <w:numPr>
          <w:ilvl w:val="0"/>
          <w:numId w:val="2"/>
        </w:numPr>
        <w:spacing w:after="80" w:line="280"/>
      </w:pPr>
      <w:r>
        <w:rPr>
          <w:rFonts w:ascii="Calibri" w:cs="Calibri" w:eastAsia="Calibri" w:hAnsi="Calibri"/>
        </w:rPr>
        <w:t xml:space="preserve">Fill in title, category (HR Skills, Compliance, Finance, etc.), and total duration in hours.</w:t>
      </w:r>
    </w:p>
    <w:p>
      <w:pPr>
        <w:pStyle w:val="ListParagraph"/>
        <w:numPr>
          <w:ilvl w:val="0"/>
          <w:numId w:val="2"/>
        </w:numPr>
        <w:spacing w:after="80" w:line="280"/>
      </w:pPr>
      <w:r>
        <w:rPr>
          <w:rFonts w:ascii="Calibri" w:cs="Calibri" w:eastAsia="Calibri" w:hAnsi="Calibri"/>
        </w:rPr>
        <w:t xml:space="preserve">Pick the Learning Service Provider (LSP). Tick CSC-accredited if the program is on the CSC's accredited list.</w:t>
      </w:r>
    </w:p>
    <w:p>
      <w:pPr>
        <w:pStyle w:val="ListParagraph"/>
        <w:numPr>
          <w:ilvl w:val="0"/>
          <w:numId w:val="2"/>
        </w:numPr>
        <w:spacing w:after="80" w:line="280"/>
      </w:pPr>
      <w:r>
        <w:rPr>
          <w:rFonts w:ascii="Calibri" w:cs="Calibri" w:eastAsia="Calibri" w:hAnsi="Calibri"/>
        </w:rPr>
        <w:t xml:space="preserve">Tick Mandatory if every employee in scope must complete the program (e.g., Anti-Red Tape, Code of Conduct).</w:t>
      </w:r>
    </w:p>
    <w:p>
      <w:pPr>
        <w:pStyle w:val="ListParagraph"/>
        <w:numPr>
          <w:ilvl w:val="0"/>
          <w:numId w:val="2"/>
        </w:numPr>
        <w:spacing w:after="80" w:line="280"/>
      </w:pPr>
      <w:r>
        <w:rPr>
          <w:rFonts w:ascii="Calibri" w:cs="Calibri" w:eastAsia="Calibri" w:hAnsi="Calibri"/>
        </w:rPr>
        <w:t xml:space="preserve">Click Save. The program appears on the catalog and is selectable when scheduling sessions.</w:t>
      </w:r>
    </w:p>
    <w:p>
      <w:pPr>
        <w:pStyle w:val="Heading2"/>
        <w:spacing w:after="160" w:before="320"/>
      </w:pPr>
      <w:r>
        <w:rPr>
          <w:rFonts w:ascii="Calibri" w:cs="Calibri" w:eastAsia="Calibri" w:hAnsi="Calibri"/>
          <w:b/>
          <w:bCs/>
          <w:color w:val="111827"/>
          <w:sz w:val="28"/>
          <w:szCs w:val="28"/>
        </w:rPr>
        <w:t xml:space="preserve">2.2  Sessions</w:t>
      </w:r>
    </w:p>
    <w:p>
      <w:pPr>
        <w:spacing w:after="120" w:before="120"/>
        <w:jc w:val="center"/>
      </w:pPr>
      <w:r>
        <w:drawing>
          <wp:inline distT="0" distB="0" distL="0" distR="0">
            <wp:extent cx="5715000" cy="3676650"/>
            <wp:effectExtent t="0" r="0" b="0" l="0"/>
            <wp:docPr id="1" name="21_training_sessions.png" descr="21_training_sessions.png" title="21_training_sess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3676650"/>
                    </a:xfrm>
                    <a:prstGeom prst="rect">
                      <a:avLst/>
                    </a:prstGeom>
                  </pic:spPr>
                </pic:pic>
              </a:graphicData>
            </a:graphic>
          </wp:inline>
        </w:drawing>
      </w:r>
    </w:p>
    <w:p>
      <w:pPr>
        <w:spacing w:after="240"/>
        <w:jc w:val="center"/>
      </w:pPr>
      <w:r>
        <w:rPr>
          <w:rFonts w:ascii="Calibri" w:cs="Calibri" w:eastAsia="Calibri" w:hAnsi="Calibri"/>
          <w:i/>
          <w:iCs/>
          <w:color w:val="6B7280"/>
          <w:sz w:val="18"/>
          <w:szCs w:val="18"/>
        </w:rPr>
        <w:t xml:space="preserve">Figure: Training Sessions list — status pills, venue, facilitator, and attendance link.</w:t>
      </w:r>
    </w:p>
    <w:p>
      <w:pPr>
        <w:spacing w:after="120" w:line="300"/>
      </w:pPr>
      <w:r>
        <w:rPr>
          <w:rFonts w:ascii="Calibri" w:cs="Calibri" w:eastAsia="Calibri" w:hAnsi="Calibri"/>
        </w:rPr>
        <w:t xml:space="preserve">A session is a concrete instance of a program — a date range, a venue, a facilitator, and an enrolment list. A program can have many sessions (cohorts). Sessions move through SCHEDULED → ONGOING → COMPLETED.</w:t>
      </w:r>
    </w:p>
    <w:p>
      <w:pPr>
        <w:pStyle w:val="Heading3"/>
        <w:spacing w:after="100" w:before="200"/>
      </w:pPr>
      <w:r>
        <w:rPr>
          <w:rFonts w:ascii="Calibri" w:cs="Calibri" w:eastAsia="Calibri" w:hAnsi="Calibri"/>
          <w:b/>
          <w:bCs/>
          <w:color w:val="0A5340"/>
          <w:sz w:val="22"/>
          <w:szCs w:val="22"/>
        </w:rPr>
        <w:t xml:space="preserve">Scheduling a session  ·  🛡 HR Admin</w:t>
      </w:r>
    </w:p>
    <w:p>
      <w:pPr>
        <w:pStyle w:val="ListParagraph"/>
        <w:numPr>
          <w:ilvl w:val="0"/>
          <w:numId w:val="3"/>
        </w:numPr>
        <w:spacing w:after="80" w:line="280"/>
      </w:pPr>
      <w:r>
        <w:rPr>
          <w:rFonts w:ascii="Calibri" w:cs="Calibri" w:eastAsia="Calibri" w:hAnsi="Calibri"/>
        </w:rPr>
        <w:t xml:space="preserve">From the program detail page, click + New Session.</w:t>
      </w:r>
    </w:p>
    <w:p>
      <w:pPr>
        <w:pStyle w:val="ListParagraph"/>
        <w:numPr>
          <w:ilvl w:val="0"/>
          <w:numId w:val="3"/>
        </w:numPr>
        <w:spacing w:after="80" w:line="280"/>
      </w:pPr>
      <w:r>
        <w:rPr>
          <w:rFonts w:ascii="Calibri" w:cs="Calibri" w:eastAsia="Calibri" w:hAnsi="Calibri"/>
        </w:rPr>
        <w:t xml:space="preserve">Set the start and end dates, the venue, and the facilitator.</w:t>
      </w:r>
    </w:p>
    <w:p>
      <w:pPr>
        <w:pStyle w:val="ListParagraph"/>
        <w:numPr>
          <w:ilvl w:val="0"/>
          <w:numId w:val="3"/>
        </w:numPr>
        <w:spacing w:after="80" w:line="280"/>
      </w:pPr>
      <w:r>
        <w:rPr>
          <w:rFonts w:ascii="Calibri" w:cs="Calibri" w:eastAsia="Calibri" w:hAnsi="Calibri"/>
        </w:rPr>
        <w:t xml:space="preserve">Set the maximum participants. The system enforces this cap during enrolment.</w:t>
      </w:r>
    </w:p>
    <w:p>
      <w:pPr>
        <w:pStyle w:val="ListParagraph"/>
        <w:numPr>
          <w:ilvl w:val="0"/>
          <w:numId w:val="3"/>
        </w:numPr>
        <w:spacing w:after="80" w:line="280"/>
      </w:pPr>
      <w:r>
        <w:rPr>
          <w:rFonts w:ascii="Calibri" w:cs="Calibri" w:eastAsia="Calibri" w:hAnsi="Calibri"/>
        </w:rPr>
        <w:t xml:space="preserve">Open enrolments — employees can self-enrol, or HR can enrol them in batches by department.</w:t>
      </w:r>
    </w:p>
    <w:p>
      <w:pPr>
        <w:pStyle w:val="ListParagraph"/>
        <w:numPr>
          <w:ilvl w:val="0"/>
          <w:numId w:val="3"/>
        </w:numPr>
        <w:spacing w:after="80" w:line="280"/>
      </w:pPr>
      <w:r>
        <w:rPr>
          <w:rFonts w:ascii="Calibri" w:cs="Calibri" w:eastAsia="Calibri" w:hAnsi="Calibri"/>
        </w:rPr>
        <w:t xml:space="preserve">On the session day, click Open Attendance to record attendance via the Geotag Check-In or manual entry.</w:t>
      </w:r>
    </w:p>
    <w:p>
      <w:pPr>
        <w:pStyle w:val="Heading2"/>
        <w:spacing w:after="160" w:before="320"/>
      </w:pPr>
      <w:r>
        <w:rPr>
          <w:rFonts w:ascii="Calibri" w:cs="Calibri" w:eastAsia="Calibri" w:hAnsi="Calibri"/>
          <w:b/>
          <w:bCs/>
          <w:color w:val="111827"/>
          <w:sz w:val="28"/>
          <w:szCs w:val="28"/>
        </w:rPr>
        <w:t xml:space="preserve">2.3  Training Needs Analysis (TNA)</w:t>
      </w:r>
    </w:p>
    <w:p>
      <w:pPr>
        <w:spacing w:after="120" w:line="300"/>
      </w:pPr>
      <w:r>
        <w:rPr>
          <w:rFonts w:ascii="Calibri" w:cs="Calibri" w:eastAsia="Calibri" w:hAnsi="Calibri"/>
        </w:rPr>
        <w:t xml:space="preserve">TNA is the structured exercise that determines what training each unit needs in the next year. HCM360 builds a TNA matrix from three signals: (a) the gaps between the competency map of each position and the incumbent's recorded skills, (b) IPCR ratings with sub-3 scores on specific MFOs, and (c) self-nominations submitted by employees.</w:t>
      </w:r>
    </w:p>
    <w:p>
      <w:pPr>
        <w:pStyle w:val="Heading3"/>
        <w:spacing w:after="100" w:before="200"/>
      </w:pPr>
      <w:r>
        <w:rPr>
          <w:rFonts w:ascii="Calibri" w:cs="Calibri" w:eastAsia="Calibri" w:hAnsi="Calibri"/>
          <w:b/>
          <w:bCs/>
          <w:color w:val="0A5340"/>
          <w:sz w:val="22"/>
          <w:szCs w:val="22"/>
        </w:rPr>
        <w:t xml:space="preserve">Generating the annual TNA  ·  🛡 HR Admin / L&amp;D Officer</w:t>
      </w:r>
    </w:p>
    <w:p>
      <w:pPr>
        <w:pStyle w:val="ListParagraph"/>
        <w:numPr>
          <w:ilvl w:val="0"/>
          <w:numId w:val="4"/>
        </w:numPr>
        <w:spacing w:after="80" w:line="280"/>
      </w:pPr>
      <w:r>
        <w:rPr>
          <w:rFonts w:ascii="Calibri" w:cs="Calibri" w:eastAsia="Calibri" w:hAnsi="Calibri"/>
        </w:rPr>
        <w:t xml:space="preserve">Open Learning → TNA at the start of Q4 of the preceding year.</w:t>
      </w:r>
    </w:p>
    <w:p>
      <w:pPr>
        <w:pStyle w:val="ListParagraph"/>
        <w:numPr>
          <w:ilvl w:val="0"/>
          <w:numId w:val="4"/>
        </w:numPr>
        <w:spacing w:after="80" w:line="280"/>
      </w:pPr>
      <w:r>
        <w:rPr>
          <w:rFonts w:ascii="Calibri" w:cs="Calibri" w:eastAsia="Calibri" w:hAnsi="Calibri"/>
        </w:rPr>
        <w:t xml:space="preserve">Click Generate Matrix. The system produces a per-department, per-program needs count.</w:t>
      </w:r>
    </w:p>
    <w:p>
      <w:pPr>
        <w:pStyle w:val="ListParagraph"/>
        <w:numPr>
          <w:ilvl w:val="0"/>
          <w:numId w:val="4"/>
        </w:numPr>
        <w:spacing w:after="80" w:line="280"/>
      </w:pPr>
      <w:r>
        <w:rPr>
          <w:rFonts w:ascii="Calibri" w:cs="Calibri" w:eastAsia="Calibri" w:hAnsi="Calibri"/>
        </w:rPr>
        <w:t xml:space="preserve">Department heads receive a task to validate the matrix and add narrative justification.</w:t>
      </w:r>
    </w:p>
    <w:p>
      <w:pPr>
        <w:pStyle w:val="ListParagraph"/>
        <w:numPr>
          <w:ilvl w:val="0"/>
          <w:numId w:val="4"/>
        </w:numPr>
        <w:spacing w:after="80" w:line="280"/>
      </w:pPr>
      <w:r>
        <w:rPr>
          <w:rFonts w:ascii="Calibri" w:cs="Calibri" w:eastAsia="Calibri" w:hAnsi="Calibri"/>
        </w:rPr>
        <w:t xml:space="preserve">Approved TNA is the input into the next year's L&amp;D Plan and budget.</w:t>
      </w:r>
    </w:p>
    <w:p>
      <w:pPr>
        <w:pStyle w:val="Heading2"/>
        <w:spacing w:after="160" w:before="320"/>
      </w:pPr>
      <w:r>
        <w:rPr>
          <w:rFonts w:ascii="Calibri" w:cs="Calibri" w:eastAsia="Calibri" w:hAnsi="Calibri"/>
          <w:b/>
          <w:bCs/>
          <w:color w:val="111827"/>
          <w:sz w:val="28"/>
          <w:szCs w:val="28"/>
        </w:rPr>
        <w:t xml:space="preserve">2.4  Narrative Reports</w:t>
      </w:r>
    </w:p>
    <w:p>
      <w:pPr>
        <w:spacing w:after="120" w:before="120"/>
        <w:jc w:val="center"/>
      </w:pPr>
      <w:r>
        <w:drawing>
          <wp:inline distT="0" distB="0" distL="0" distR="0">
            <wp:extent cx="5715000" cy="3676650"/>
            <wp:effectExtent t="0" r="0" b="0" l="0"/>
            <wp:docPr id="1" name="25_narrative.png" descr="25_narrative.png" title="25_narrativ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3676650"/>
                    </a:xfrm>
                    <a:prstGeom prst="rect">
                      <a:avLst/>
                    </a:prstGeom>
                  </pic:spPr>
                </pic:pic>
              </a:graphicData>
            </a:graphic>
          </wp:inline>
        </w:drawing>
      </w:r>
    </w:p>
    <w:p>
      <w:pPr>
        <w:spacing w:after="240"/>
        <w:jc w:val="center"/>
      </w:pPr>
      <w:r>
        <w:rPr>
          <w:rFonts w:ascii="Calibri" w:cs="Calibri" w:eastAsia="Calibri" w:hAnsi="Calibri"/>
          <w:i/>
          <w:iCs/>
          <w:color w:val="6B7280"/>
          <w:sz w:val="18"/>
          <w:szCs w:val="18"/>
        </w:rPr>
        <w:t xml:space="preserve">Figure: Narrative Report submitted by an attendee after a training event.</w:t>
      </w:r>
    </w:p>
    <w:p>
      <w:pPr>
        <w:spacing w:after="120" w:line="300"/>
      </w:pPr>
      <w:r>
        <w:rPr>
          <w:rFonts w:ascii="Calibri" w:cs="Calibri" w:eastAsia="Calibri" w:hAnsi="Calibri"/>
        </w:rPr>
        <w:t xml:space="preserve">Per CSC and Commission on Audit (COA) requirements, every employee who attends a training paid for from public funds must submit a Narrative Report describing key learnings, an application plan (what they'll do with the learnings within 30 / 60 / 90 days), and recommendations. HCM360's Narrative Report template captures all three and pushes the application plan into the employee's IPCR for the cycle.</w:t>
      </w:r>
    </w:p>
    <w:p>
      <w:pPr>
        <w:pStyle w:val="Heading3"/>
        <w:spacing w:after="100" w:before="200"/>
      </w:pPr>
      <w:r>
        <w:rPr>
          <w:rFonts w:ascii="Calibri" w:cs="Calibri" w:eastAsia="Calibri" w:hAnsi="Calibri"/>
          <w:b/>
          <w:bCs/>
          <w:color w:val="0A5340"/>
          <w:sz w:val="22"/>
          <w:szCs w:val="22"/>
        </w:rPr>
        <w:t xml:space="preserve">Filing a narrative report  ·  👤 Employee</w:t>
      </w:r>
    </w:p>
    <w:p>
      <w:pPr>
        <w:pStyle w:val="ListParagraph"/>
        <w:numPr>
          <w:ilvl w:val="0"/>
          <w:numId w:val="5"/>
        </w:numPr>
        <w:spacing w:after="80" w:line="280"/>
      </w:pPr>
      <w:r>
        <w:rPr>
          <w:rFonts w:ascii="Calibri" w:cs="Calibri" w:eastAsia="Calibri" w:hAnsi="Calibri"/>
        </w:rPr>
        <w:t xml:space="preserve">Open Learning → Narrative Reports → Pending and pick the training session.</w:t>
      </w:r>
    </w:p>
    <w:p>
      <w:pPr>
        <w:pStyle w:val="ListParagraph"/>
        <w:numPr>
          <w:ilvl w:val="0"/>
          <w:numId w:val="5"/>
        </w:numPr>
        <w:spacing w:after="80" w:line="280"/>
      </w:pPr>
      <w:r>
        <w:rPr>
          <w:rFonts w:ascii="Calibri" w:cs="Calibri" w:eastAsia="Calibri" w:hAnsi="Calibri"/>
        </w:rPr>
        <w:t xml:space="preserve">Fill in the three sections: Key Learnings, Application Plan, Recommendations.</w:t>
      </w:r>
    </w:p>
    <w:p>
      <w:pPr>
        <w:pStyle w:val="ListParagraph"/>
        <w:numPr>
          <w:ilvl w:val="0"/>
          <w:numId w:val="5"/>
        </w:numPr>
        <w:spacing w:after="80" w:line="280"/>
      </w:pPr>
      <w:r>
        <w:rPr>
          <w:rFonts w:ascii="Calibri" w:cs="Calibri" w:eastAsia="Calibri" w:hAnsi="Calibri"/>
        </w:rPr>
        <w:t xml:space="preserve">Attach photos / certificates of attendance.</w:t>
      </w:r>
    </w:p>
    <w:p>
      <w:pPr>
        <w:pStyle w:val="ListParagraph"/>
        <w:numPr>
          <w:ilvl w:val="0"/>
          <w:numId w:val="5"/>
        </w:numPr>
        <w:spacing w:after="80" w:line="280"/>
      </w:pPr>
      <w:r>
        <w:rPr>
          <w:rFonts w:ascii="Calibri" w:cs="Calibri" w:eastAsia="Calibri" w:hAnsi="Calibri"/>
        </w:rPr>
        <w:t xml:space="preserve">Submit. The report routes to the L&amp;D Officer for review and is filed in the 201.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
        <w:gridCol w:w="9240"/>
      </w:tblGrid>
      <w:tr>
        <w:tc>
          <w:tcPr>
            <w:tcW w:type="dxa" w:w="120"/>
            <w:tcBorders>
              <w:top w:val="none" w:color="FFFFFF" w:sz="0"/>
              <w:left w:val="none" w:color="FFFFFF" w:sz="0"/>
              <w:bottom w:val="none" w:color="FFFFFF" w:sz="0"/>
              <w:right w:val="none" w:color="FFFFFF" w:sz="0"/>
            </w:tcBorders>
            <w:shd w:fill="B45309" w:val="clear"/>
          </w:tcPr>
          <w:p>
            <w:r>
              <w:rPr>
                <w:rFonts w:ascii="Calibri" w:cs="Calibri" w:eastAsia="Calibri" w:hAnsi="Calibri"/>
              </w:rPr>
              <w:t xml:space="preserve"> </w:t>
            </w:r>
          </w:p>
        </w:tc>
        <w:tc>
          <w:tcPr>
            <w:tcW w:type="dxa" w:w="9240"/>
            <w:tcBorders>
              <w:top w:val="none" w:color="FFFFFF" w:sz="0"/>
              <w:left w:val="none" w:color="FFFFFF" w:sz="0"/>
              <w:bottom w:val="none" w:color="FFFFFF" w:sz="0"/>
              <w:right w:val="none" w:color="FFFFFF" w:sz="0"/>
            </w:tcBorders>
            <w:shd w:fill="FFFBEB" w:val="clear"/>
            <w:tcMar>
              <w:top w:type="dxa" w:w="120"/>
              <w:left w:type="dxa" w:w="220"/>
              <w:bottom w:type="dxa" w:w="120"/>
              <w:right w:type="dxa" w:w="220"/>
            </w:tcMar>
          </w:tcPr>
          <w:p>
            <w:pPr>
              <w:spacing w:after="60"/>
            </w:pPr>
            <w:r>
              <w:rPr>
                <w:rFonts w:ascii="Calibri" w:cs="Calibri" w:eastAsia="Calibri" w:hAnsi="Calibri"/>
                <w:b/>
                <w:bCs/>
                <w:color w:val="B45309"/>
                <w:sz w:val="22"/>
                <w:szCs w:val="22"/>
              </w:rPr>
              <w:t xml:space="preserve">⚠  Within 30 days of attendance</w:t>
            </w:r>
          </w:p>
          <w:p>
            <w:r>
              <w:rPr>
                <w:rFonts w:ascii="Calibri" w:cs="Calibri" w:eastAsia="Calibri" w:hAnsi="Calibri"/>
                <w:color w:val="374151"/>
                <w:sz w:val="20"/>
                <w:szCs w:val="20"/>
              </w:rPr>
              <w:t xml:space="preserve">Per LGU policy, the narrative report is due within 30 days of training completion. Overdue reports show on the L&amp;D Officer's Compliance dashboard and on ARIA's morning Alarm Scan.</w:t>
            </w:r>
          </w:p>
        </w:tc>
      </w:tr>
    </w:tbl>
    <w:p>
      <w:pPr>
        <w:pStyle w:val="Heading2"/>
        <w:spacing w:after="160" w:before="320"/>
      </w:pPr>
      <w:r>
        <w:rPr>
          <w:rFonts w:ascii="Calibri" w:cs="Calibri" w:eastAsia="Calibri" w:hAnsi="Calibri"/>
          <w:b/>
          <w:bCs/>
          <w:color w:val="111827"/>
          <w:sz w:val="28"/>
          <w:szCs w:val="28"/>
        </w:rPr>
        <w:t xml:space="preserve">2.5  Scholarships</w:t>
      </w:r>
    </w:p>
    <w:p>
      <w:pPr>
        <w:spacing w:after="120" w:line="300"/>
      </w:pPr>
      <w:r>
        <w:rPr>
          <w:rFonts w:ascii="Calibri" w:cs="Calibri" w:eastAsia="Calibri" w:hAnsi="Calibri"/>
        </w:rPr>
        <w:t xml:space="preserve">Scholarships (DAP, CSC, foreign-funded programmes) are tracked separately because they carry a service obligation period after completion. The Scholarships register stores the contract amount, the service obligation length, and the obligation balance after each year of post-scholarship service.</w:t>
      </w:r>
    </w:p>
    <w:p>
      <w:pPr>
        <w:pStyle w:val="Heading1"/>
        <w:pageBreakBefore/>
        <w:spacing w:after="240" w:before="240"/>
      </w:pPr>
      <w:r>
        <w:rPr>
          <w:rFonts w:ascii="Calibri" w:cs="Calibri" w:eastAsia="Calibri" w:hAnsi="Calibri"/>
          <w:b/>
          <w:bCs/>
          <w:color w:val="0A5340"/>
          <w:sz w:val="36"/>
          <w:szCs w:val="36"/>
        </w:rPr>
        <w:t xml:space="preserve">3.  Awards &amp; Recognition (PRAISE)</w:t>
      </w:r>
    </w:p>
    <w:p>
      <w:pPr>
        <w:spacing w:after="120" w:line="300"/>
      </w:pPr>
      <w:r>
        <w:rPr>
          <w:rFonts w:ascii="Calibri" w:cs="Calibri" w:eastAsia="Calibri" w:hAnsi="Calibri"/>
        </w:rPr>
        <w:t xml:space="preserve">The Program on Awards and Incentives for Service Excellence (PRAISE) is the LGU's regulator-mandated recognition framework. It runs as a 6-monthly cycle aligned to the IPCR cycle, with categories defined in CSC MC 28, s. 2018. HCM360 manages the nomination workflow, the deliberation, and the awards register.</w:t>
      </w:r>
    </w:p>
    <w:p>
      <w:pPr>
        <w:spacing w:after="120" w:before="120"/>
        <w:jc w:val="center"/>
      </w:pPr>
      <w:r>
        <w:drawing>
          <wp:inline distT="0" distB="0" distL="0" distR="0">
            <wp:extent cx="5715000" cy="3676650"/>
            <wp:effectExtent t="0" r="0" b="0" l="0"/>
            <wp:docPr id="1" name="22_praise.png" descr="22_praise.png" title="22_prais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3676650"/>
                    </a:xfrm>
                    <a:prstGeom prst="rect">
                      <a:avLst/>
                    </a:prstGeom>
                  </pic:spPr>
                </pic:pic>
              </a:graphicData>
            </a:graphic>
          </wp:inline>
        </w:drawing>
      </w:r>
    </w:p>
    <w:p>
      <w:pPr>
        <w:spacing w:after="240"/>
        <w:jc w:val="center"/>
      </w:pPr>
      <w:r>
        <w:rPr>
          <w:rFonts w:ascii="Calibri" w:cs="Calibri" w:eastAsia="Calibri" w:hAnsi="Calibri"/>
          <w:i/>
          <w:iCs/>
          <w:color w:val="6B7280"/>
          <w:sz w:val="18"/>
          <w:szCs w:val="18"/>
        </w:rPr>
        <w:t xml:space="preserve">Figure: PRAISE Nominations — current cycle with status chips and category breakdown.</w:t>
      </w:r>
    </w:p>
    <w:p>
      <w:pPr>
        <w:pStyle w:val="Heading2"/>
        <w:spacing w:after="160" w:before="320"/>
      </w:pPr>
      <w:r>
        <w:rPr>
          <w:rFonts w:ascii="Calibri" w:cs="Calibri" w:eastAsia="Calibri" w:hAnsi="Calibri"/>
          <w:b/>
          <w:bCs/>
          <w:color w:val="111827"/>
          <w:sz w:val="28"/>
          <w:szCs w:val="28"/>
        </w:rPr>
        <w:t xml:space="preserve">3.1  PRAISE categories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4360"/>
        <w:gridCol w:w="2000"/>
      </w:tblGrid>
      <w:tr>
        <w:trPr>
          <w:tblHeader/>
        </w:trPr>
        <w:tc>
          <w:tcPr>
            <w:tcW w:type="dxa" w:w="3000"/>
            <w:shd w:fill="0A5340" w:val="clear"/>
            <w:tcMar>
              <w:top w:type="dxa" w:w="80"/>
              <w:left w:type="dxa" w:w="120"/>
              <w:bottom w:type="dxa" w:w="80"/>
              <w:right w:type="dxa" w:w="120"/>
            </w:tcMar>
          </w:tcPr>
          <w:p>
            <w:r>
              <w:rPr>
                <w:rFonts w:ascii="Calibri" w:cs="Calibri" w:eastAsia="Calibri" w:hAnsi="Calibri"/>
                <w:b/>
                <w:bCs/>
                <w:color w:val="FFFFFF"/>
                <w:sz w:val="18"/>
                <w:szCs w:val="18"/>
              </w:rPr>
              <w:t xml:space="preserve">Category</w:t>
            </w:r>
          </w:p>
        </w:tc>
        <w:tc>
          <w:tcPr>
            <w:tcW w:type="dxa" w:w="4360"/>
            <w:shd w:fill="0A5340" w:val="clear"/>
            <w:tcMar>
              <w:top w:type="dxa" w:w="80"/>
              <w:left w:type="dxa" w:w="120"/>
              <w:bottom w:type="dxa" w:w="80"/>
              <w:right w:type="dxa" w:w="120"/>
            </w:tcMar>
          </w:tcPr>
          <w:p>
            <w:r>
              <w:rPr>
                <w:rFonts w:ascii="Calibri" w:cs="Calibri" w:eastAsia="Calibri" w:hAnsi="Calibri"/>
                <w:b/>
                <w:bCs/>
                <w:color w:val="FFFFFF"/>
                <w:sz w:val="18"/>
                <w:szCs w:val="18"/>
              </w:rPr>
              <w:t xml:space="preserve">Eligibility</w:t>
            </w:r>
          </w:p>
        </w:tc>
        <w:tc>
          <w:tcPr>
            <w:tcW w:type="dxa" w:w="2000"/>
            <w:shd w:fill="0A5340" w:val="clear"/>
            <w:tcMar>
              <w:top w:type="dxa" w:w="80"/>
              <w:left w:type="dxa" w:w="120"/>
              <w:bottom w:type="dxa" w:w="80"/>
              <w:right w:type="dxa" w:w="120"/>
            </w:tcMar>
          </w:tcPr>
          <w:p>
            <w:r>
              <w:rPr>
                <w:rFonts w:ascii="Calibri" w:cs="Calibri" w:eastAsia="Calibri" w:hAnsi="Calibri"/>
                <w:b/>
                <w:bCs/>
                <w:color w:val="FFFFFF"/>
                <w:sz w:val="18"/>
                <w:szCs w:val="18"/>
              </w:rPr>
              <w:t xml:space="preserve">Frequency</w:t>
            </w:r>
          </w:p>
        </w:tc>
      </w:tr>
      <w:tr>
        <w:tc>
          <w:tcPr>
            <w:tcW w:type="dxa" w:w="3000"/>
            <w:shd w:fill="FFFFFF" w:val="clear"/>
            <w:tcMar>
              <w:top w:type="dxa" w:w="80"/>
              <w:left w:type="dxa" w:w="120"/>
              <w:bottom w:type="dxa" w:w="80"/>
              <w:right w:type="dxa" w:w="120"/>
            </w:tcMar>
          </w:tcPr>
          <w:p>
            <w:r>
              <w:rPr>
                <w:rFonts w:ascii="Calibri" w:cs="Calibri" w:eastAsia="Calibri" w:hAnsi="Calibri"/>
                <w:sz w:val="18"/>
                <w:szCs w:val="18"/>
              </w:rPr>
              <w:t xml:space="preserve">Best Employee — Rank-and-File</w:t>
            </w:r>
          </w:p>
        </w:tc>
        <w:tc>
          <w:tcPr>
            <w:tcW w:type="dxa" w:w="4360"/>
            <w:shd w:fill="FFFFFF" w:val="clear"/>
            <w:tcMar>
              <w:top w:type="dxa" w:w="80"/>
              <w:left w:type="dxa" w:w="120"/>
              <w:bottom w:type="dxa" w:w="80"/>
              <w:right w:type="dxa" w:w="120"/>
            </w:tcMar>
          </w:tcPr>
          <w:p>
            <w:r>
              <w:rPr>
                <w:rFonts w:ascii="Calibri" w:cs="Calibri" w:eastAsia="Calibri" w:hAnsi="Calibri"/>
                <w:sz w:val="18"/>
                <w:szCs w:val="18"/>
              </w:rPr>
              <w:t xml:space="preserve">All rank-and-file plantilla, Outstanding IPCR.</w:t>
            </w:r>
          </w:p>
        </w:tc>
        <w:tc>
          <w:tcPr>
            <w:tcW w:type="dxa" w:w="2000"/>
            <w:shd w:fill="FFFFFF" w:val="clear"/>
            <w:tcMar>
              <w:top w:type="dxa" w:w="80"/>
              <w:left w:type="dxa" w:w="120"/>
              <w:bottom w:type="dxa" w:w="80"/>
              <w:right w:type="dxa" w:w="120"/>
            </w:tcMar>
          </w:tcPr>
          <w:p>
            <w:r>
              <w:rPr>
                <w:rFonts w:ascii="Calibri" w:cs="Calibri" w:eastAsia="Calibri" w:hAnsi="Calibri"/>
                <w:sz w:val="18"/>
                <w:szCs w:val="18"/>
              </w:rPr>
              <w:t xml:space="preserve">Annually</w:t>
            </w:r>
          </w:p>
        </w:tc>
      </w:tr>
      <w:tr>
        <w:tc>
          <w:tcPr>
            <w:tcW w:type="dxa" w:w="3000"/>
            <w:shd w:fill="F9FAFB" w:val="clear"/>
            <w:tcMar>
              <w:top w:type="dxa" w:w="80"/>
              <w:left w:type="dxa" w:w="120"/>
              <w:bottom w:type="dxa" w:w="80"/>
              <w:right w:type="dxa" w:w="120"/>
            </w:tcMar>
          </w:tcPr>
          <w:p>
            <w:r>
              <w:rPr>
                <w:rFonts w:ascii="Calibri" w:cs="Calibri" w:eastAsia="Calibri" w:hAnsi="Calibri"/>
                <w:sz w:val="18"/>
                <w:szCs w:val="18"/>
              </w:rPr>
              <w:t xml:space="preserve">Best Employee — Supervisory</w:t>
            </w:r>
          </w:p>
        </w:tc>
        <w:tc>
          <w:tcPr>
            <w:tcW w:type="dxa" w:w="4360"/>
            <w:shd w:fill="F9FAFB" w:val="clear"/>
            <w:tcMar>
              <w:top w:type="dxa" w:w="80"/>
              <w:left w:type="dxa" w:w="120"/>
              <w:bottom w:type="dxa" w:w="80"/>
              <w:right w:type="dxa" w:w="120"/>
            </w:tcMar>
          </w:tcPr>
          <w:p>
            <w:r>
              <w:rPr>
                <w:rFonts w:ascii="Calibri" w:cs="Calibri" w:eastAsia="Calibri" w:hAnsi="Calibri"/>
                <w:sz w:val="18"/>
                <w:szCs w:val="18"/>
              </w:rPr>
              <w:t xml:space="preserve">Supervisory positions, Outstanding IPCR.</w:t>
            </w:r>
          </w:p>
        </w:tc>
        <w:tc>
          <w:tcPr>
            <w:tcW w:type="dxa" w:w="2000"/>
            <w:shd w:fill="F9FAFB" w:val="clear"/>
            <w:tcMar>
              <w:top w:type="dxa" w:w="80"/>
              <w:left w:type="dxa" w:w="120"/>
              <w:bottom w:type="dxa" w:w="80"/>
              <w:right w:type="dxa" w:w="120"/>
            </w:tcMar>
          </w:tcPr>
          <w:p>
            <w:r>
              <w:rPr>
                <w:rFonts w:ascii="Calibri" w:cs="Calibri" w:eastAsia="Calibri" w:hAnsi="Calibri"/>
                <w:sz w:val="18"/>
                <w:szCs w:val="18"/>
              </w:rPr>
              <w:t xml:space="preserve">Annually</w:t>
            </w:r>
          </w:p>
        </w:tc>
      </w:tr>
      <w:tr>
        <w:tc>
          <w:tcPr>
            <w:tcW w:type="dxa" w:w="3000"/>
            <w:shd w:fill="FFFFFF" w:val="clear"/>
            <w:tcMar>
              <w:top w:type="dxa" w:w="80"/>
              <w:left w:type="dxa" w:w="120"/>
              <w:bottom w:type="dxa" w:w="80"/>
              <w:right w:type="dxa" w:w="120"/>
            </w:tcMar>
          </w:tcPr>
          <w:p>
            <w:r>
              <w:rPr>
                <w:rFonts w:ascii="Calibri" w:cs="Calibri" w:eastAsia="Calibri" w:hAnsi="Calibri"/>
                <w:sz w:val="18"/>
                <w:szCs w:val="18"/>
              </w:rPr>
              <w:t xml:space="preserve">Best Department Head</w:t>
            </w:r>
          </w:p>
        </w:tc>
        <w:tc>
          <w:tcPr>
            <w:tcW w:type="dxa" w:w="4360"/>
            <w:shd w:fill="FFFFFF" w:val="clear"/>
            <w:tcMar>
              <w:top w:type="dxa" w:w="80"/>
              <w:left w:type="dxa" w:w="120"/>
              <w:bottom w:type="dxa" w:w="80"/>
              <w:right w:type="dxa" w:w="120"/>
            </w:tcMar>
          </w:tcPr>
          <w:p>
            <w:r>
              <w:rPr>
                <w:rFonts w:ascii="Calibri" w:cs="Calibri" w:eastAsia="Calibri" w:hAnsi="Calibri"/>
                <w:sz w:val="18"/>
                <w:szCs w:val="18"/>
              </w:rPr>
              <w:t xml:space="preserve">Department Heads with team-wide outcomes.</w:t>
            </w:r>
          </w:p>
        </w:tc>
        <w:tc>
          <w:tcPr>
            <w:tcW w:type="dxa" w:w="2000"/>
            <w:shd w:fill="FFFFFF" w:val="clear"/>
            <w:tcMar>
              <w:top w:type="dxa" w:w="80"/>
              <w:left w:type="dxa" w:w="120"/>
              <w:bottom w:type="dxa" w:w="80"/>
              <w:right w:type="dxa" w:w="120"/>
            </w:tcMar>
          </w:tcPr>
          <w:p>
            <w:r>
              <w:rPr>
                <w:rFonts w:ascii="Calibri" w:cs="Calibri" w:eastAsia="Calibri" w:hAnsi="Calibri"/>
                <w:sz w:val="18"/>
                <w:szCs w:val="18"/>
              </w:rPr>
              <w:t xml:space="preserve">Annually</w:t>
            </w:r>
          </w:p>
        </w:tc>
      </w:tr>
      <w:tr>
        <w:tc>
          <w:tcPr>
            <w:tcW w:type="dxa" w:w="3000"/>
            <w:shd w:fill="F9FAFB" w:val="clear"/>
            <w:tcMar>
              <w:top w:type="dxa" w:w="80"/>
              <w:left w:type="dxa" w:w="120"/>
              <w:bottom w:type="dxa" w:w="80"/>
              <w:right w:type="dxa" w:w="120"/>
            </w:tcMar>
          </w:tcPr>
          <w:p>
            <w:r>
              <w:rPr>
                <w:rFonts w:ascii="Calibri" w:cs="Calibri" w:eastAsia="Calibri" w:hAnsi="Calibri"/>
                <w:sz w:val="18"/>
                <w:szCs w:val="18"/>
              </w:rPr>
              <w:t xml:space="preserve">Most Outstanding Government Worker</w:t>
            </w:r>
          </w:p>
        </w:tc>
        <w:tc>
          <w:tcPr>
            <w:tcW w:type="dxa" w:w="4360"/>
            <w:shd w:fill="F9FAFB" w:val="clear"/>
            <w:tcMar>
              <w:top w:type="dxa" w:w="80"/>
              <w:left w:type="dxa" w:w="120"/>
              <w:bottom w:type="dxa" w:w="80"/>
              <w:right w:type="dxa" w:w="120"/>
            </w:tcMar>
          </w:tcPr>
          <w:p>
            <w:r>
              <w:rPr>
                <w:rFonts w:ascii="Calibri" w:cs="Calibri" w:eastAsia="Calibri" w:hAnsi="Calibri"/>
                <w:sz w:val="18"/>
                <w:szCs w:val="18"/>
              </w:rPr>
              <w:t xml:space="preserve">2 consecutive Outstanding IPCRs minimum.</w:t>
            </w:r>
          </w:p>
        </w:tc>
        <w:tc>
          <w:tcPr>
            <w:tcW w:type="dxa" w:w="2000"/>
            <w:shd w:fill="F9FAFB" w:val="clear"/>
            <w:tcMar>
              <w:top w:type="dxa" w:w="80"/>
              <w:left w:type="dxa" w:w="120"/>
              <w:bottom w:type="dxa" w:w="80"/>
              <w:right w:type="dxa" w:w="120"/>
            </w:tcMar>
          </w:tcPr>
          <w:p>
            <w:r>
              <w:rPr>
                <w:rFonts w:ascii="Calibri" w:cs="Calibri" w:eastAsia="Calibri" w:hAnsi="Calibri"/>
                <w:sz w:val="18"/>
                <w:szCs w:val="18"/>
              </w:rPr>
              <w:t xml:space="preserve">Biennially</w:t>
            </w:r>
          </w:p>
        </w:tc>
      </w:tr>
      <w:tr>
        <w:tc>
          <w:tcPr>
            <w:tcW w:type="dxa" w:w="3000"/>
            <w:shd w:fill="FFFFFF" w:val="clear"/>
            <w:tcMar>
              <w:top w:type="dxa" w:w="80"/>
              <w:left w:type="dxa" w:w="120"/>
              <w:bottom w:type="dxa" w:w="80"/>
              <w:right w:type="dxa" w:w="120"/>
            </w:tcMar>
          </w:tcPr>
          <w:p>
            <w:r>
              <w:rPr>
                <w:rFonts w:ascii="Calibri" w:cs="Calibri" w:eastAsia="Calibri" w:hAnsi="Calibri"/>
                <w:sz w:val="18"/>
                <w:szCs w:val="18"/>
              </w:rPr>
              <w:t xml:space="preserve">Best Innovation</w:t>
            </w:r>
          </w:p>
        </w:tc>
        <w:tc>
          <w:tcPr>
            <w:tcW w:type="dxa" w:w="4360"/>
            <w:shd w:fill="FFFFFF" w:val="clear"/>
            <w:tcMar>
              <w:top w:type="dxa" w:w="80"/>
              <w:left w:type="dxa" w:w="120"/>
              <w:bottom w:type="dxa" w:w="80"/>
              <w:right w:type="dxa" w:w="120"/>
            </w:tcMar>
          </w:tcPr>
          <w:p>
            <w:r>
              <w:rPr>
                <w:rFonts w:ascii="Calibri" w:cs="Calibri" w:eastAsia="Calibri" w:hAnsi="Calibri"/>
                <w:sz w:val="18"/>
                <w:szCs w:val="18"/>
              </w:rPr>
              <w:t xml:space="preserve">Documented innovation with measured impact.</w:t>
            </w:r>
          </w:p>
        </w:tc>
        <w:tc>
          <w:tcPr>
            <w:tcW w:type="dxa" w:w="2000"/>
            <w:shd w:fill="FFFFFF" w:val="clear"/>
            <w:tcMar>
              <w:top w:type="dxa" w:w="80"/>
              <w:left w:type="dxa" w:w="120"/>
              <w:bottom w:type="dxa" w:w="80"/>
              <w:right w:type="dxa" w:w="120"/>
            </w:tcMar>
          </w:tcPr>
          <w:p>
            <w:r>
              <w:rPr>
                <w:rFonts w:ascii="Calibri" w:cs="Calibri" w:eastAsia="Calibri" w:hAnsi="Calibri"/>
                <w:sz w:val="18"/>
                <w:szCs w:val="18"/>
              </w:rPr>
              <w:t xml:space="preserve">Annually</w:t>
            </w:r>
          </w:p>
        </w:tc>
      </w:tr>
      <w:tr>
        <w:tc>
          <w:tcPr>
            <w:tcW w:type="dxa" w:w="3000"/>
            <w:shd w:fill="F9FAFB" w:val="clear"/>
            <w:tcMar>
              <w:top w:type="dxa" w:w="80"/>
              <w:left w:type="dxa" w:w="120"/>
              <w:bottom w:type="dxa" w:w="80"/>
              <w:right w:type="dxa" w:w="120"/>
            </w:tcMar>
          </w:tcPr>
          <w:p>
            <w:r>
              <w:rPr>
                <w:rFonts w:ascii="Calibri" w:cs="Calibri" w:eastAsia="Calibri" w:hAnsi="Calibri"/>
                <w:sz w:val="18"/>
                <w:szCs w:val="18"/>
              </w:rPr>
              <w:t xml:space="preserve">Best Team / Tropa</w:t>
            </w:r>
          </w:p>
        </w:tc>
        <w:tc>
          <w:tcPr>
            <w:tcW w:type="dxa" w:w="4360"/>
            <w:shd w:fill="F9FAFB" w:val="clear"/>
            <w:tcMar>
              <w:top w:type="dxa" w:w="80"/>
              <w:left w:type="dxa" w:w="120"/>
              <w:bottom w:type="dxa" w:w="80"/>
              <w:right w:type="dxa" w:w="120"/>
            </w:tcMar>
          </w:tcPr>
          <w:p>
            <w:r>
              <w:rPr>
                <w:rFonts w:ascii="Calibri" w:cs="Calibri" w:eastAsia="Calibri" w:hAnsi="Calibri"/>
                <w:sz w:val="18"/>
                <w:szCs w:val="18"/>
              </w:rPr>
              <w:t xml:space="preserve">Cross-functional teams with shared outcomes.</w:t>
            </w:r>
          </w:p>
        </w:tc>
        <w:tc>
          <w:tcPr>
            <w:tcW w:type="dxa" w:w="2000"/>
            <w:shd w:fill="F9FAFB" w:val="clear"/>
            <w:tcMar>
              <w:top w:type="dxa" w:w="80"/>
              <w:left w:type="dxa" w:w="120"/>
              <w:bottom w:type="dxa" w:w="80"/>
              <w:right w:type="dxa" w:w="120"/>
            </w:tcMar>
          </w:tcPr>
          <w:p>
            <w:r>
              <w:rPr>
                <w:rFonts w:ascii="Calibri" w:cs="Calibri" w:eastAsia="Calibri" w:hAnsi="Calibri"/>
                <w:sz w:val="18"/>
                <w:szCs w:val="18"/>
              </w:rPr>
              <w:t xml:space="preserve">Annually</w:t>
            </w:r>
          </w:p>
        </w:tc>
      </w:tr>
      <w:tr>
        <w:tc>
          <w:tcPr>
            <w:tcW w:type="dxa" w:w="3000"/>
            <w:shd w:fill="FFFFFF" w:val="clear"/>
            <w:tcMar>
              <w:top w:type="dxa" w:w="80"/>
              <w:left w:type="dxa" w:w="120"/>
              <w:bottom w:type="dxa" w:w="80"/>
              <w:right w:type="dxa" w:w="120"/>
            </w:tcMar>
          </w:tcPr>
          <w:p>
            <w:r>
              <w:rPr>
                <w:rFonts w:ascii="Calibri" w:cs="Calibri" w:eastAsia="Calibri" w:hAnsi="Calibri"/>
                <w:sz w:val="18"/>
                <w:szCs w:val="18"/>
              </w:rPr>
              <w:t xml:space="preserve">Loyalty Awards (5 / 10 / 15 / 20 / 25 / 30 / 35 / 40 yrs)</w:t>
            </w:r>
          </w:p>
        </w:tc>
        <w:tc>
          <w:tcPr>
            <w:tcW w:type="dxa" w:w="4360"/>
            <w:shd w:fill="FFFFFF" w:val="clear"/>
            <w:tcMar>
              <w:top w:type="dxa" w:w="80"/>
              <w:left w:type="dxa" w:w="120"/>
              <w:bottom w:type="dxa" w:w="80"/>
              <w:right w:type="dxa" w:w="120"/>
            </w:tcMar>
          </w:tcPr>
          <w:p>
            <w:r>
              <w:rPr>
                <w:rFonts w:ascii="Calibri" w:cs="Calibri" w:eastAsia="Calibri" w:hAnsi="Calibri"/>
                <w:sz w:val="18"/>
                <w:szCs w:val="18"/>
              </w:rPr>
              <w:t xml:space="preserve">Continuous service in government.</w:t>
            </w:r>
          </w:p>
        </w:tc>
        <w:tc>
          <w:tcPr>
            <w:tcW w:type="dxa" w:w="2000"/>
            <w:shd w:fill="FFFFFF" w:val="clear"/>
            <w:tcMar>
              <w:top w:type="dxa" w:w="80"/>
              <w:left w:type="dxa" w:w="120"/>
              <w:bottom w:type="dxa" w:w="80"/>
              <w:right w:type="dxa" w:w="120"/>
            </w:tcMar>
          </w:tcPr>
          <w:p>
            <w:r>
              <w:rPr>
                <w:rFonts w:ascii="Calibri" w:cs="Calibri" w:eastAsia="Calibri" w:hAnsi="Calibri"/>
                <w:sz w:val="18"/>
                <w:szCs w:val="18"/>
              </w:rPr>
              <w:t xml:space="preserve">Continuous · auto-detected</w:t>
            </w:r>
          </w:p>
        </w:tc>
      </w:tr>
      <w:tr>
        <w:tc>
          <w:tcPr>
            <w:tcW w:type="dxa" w:w="3000"/>
            <w:shd w:fill="F9FAFB" w:val="clear"/>
            <w:tcMar>
              <w:top w:type="dxa" w:w="80"/>
              <w:left w:type="dxa" w:w="120"/>
              <w:bottom w:type="dxa" w:w="80"/>
              <w:right w:type="dxa" w:w="120"/>
            </w:tcMar>
          </w:tcPr>
          <w:p>
            <w:r>
              <w:rPr>
                <w:rFonts w:ascii="Calibri" w:cs="Calibri" w:eastAsia="Calibri" w:hAnsi="Calibri"/>
                <w:sz w:val="18"/>
                <w:szCs w:val="18"/>
              </w:rPr>
              <w:t xml:space="preserve">Service Award (retirement)</w:t>
            </w:r>
          </w:p>
        </w:tc>
        <w:tc>
          <w:tcPr>
            <w:tcW w:type="dxa" w:w="4360"/>
            <w:shd w:fill="F9FAFB" w:val="clear"/>
            <w:tcMar>
              <w:top w:type="dxa" w:w="80"/>
              <w:left w:type="dxa" w:w="120"/>
              <w:bottom w:type="dxa" w:w="80"/>
              <w:right w:type="dxa" w:w="120"/>
            </w:tcMar>
          </w:tcPr>
          <w:p>
            <w:r>
              <w:rPr>
                <w:rFonts w:ascii="Calibri" w:cs="Calibri" w:eastAsia="Calibri" w:hAnsi="Calibri"/>
                <w:sz w:val="18"/>
                <w:szCs w:val="18"/>
              </w:rPr>
              <w:t xml:space="preserve">Eligible retirees (compulsory or optional).</w:t>
            </w:r>
          </w:p>
        </w:tc>
        <w:tc>
          <w:tcPr>
            <w:tcW w:type="dxa" w:w="2000"/>
            <w:shd w:fill="F9FAFB" w:val="clear"/>
            <w:tcMar>
              <w:top w:type="dxa" w:w="80"/>
              <w:left w:type="dxa" w:w="120"/>
              <w:bottom w:type="dxa" w:w="80"/>
              <w:right w:type="dxa" w:w="120"/>
            </w:tcMar>
          </w:tcPr>
          <w:p>
            <w:r>
              <w:rPr>
                <w:rFonts w:ascii="Calibri" w:cs="Calibri" w:eastAsia="Calibri" w:hAnsi="Calibri"/>
                <w:sz w:val="18"/>
                <w:szCs w:val="18"/>
              </w:rPr>
              <w:t xml:space="preserve">Continuous · auto-detected</w:t>
            </w:r>
          </w:p>
        </w:tc>
      </w:tr>
    </w:tbl>
    <w:p>
      <w:pPr>
        <w:pStyle w:val="Heading2"/>
        <w:spacing w:after="160" w:before="320"/>
      </w:pPr>
      <w:r>
        <w:rPr>
          <w:rFonts w:ascii="Calibri" w:cs="Calibri" w:eastAsia="Calibri" w:hAnsi="Calibri"/>
          <w:b/>
          <w:bCs/>
          <w:color w:val="111827"/>
          <w:sz w:val="28"/>
          <w:szCs w:val="28"/>
        </w:rPr>
        <w:t xml:space="preserve">3.2  Filing a nomination  ·  any role</w:t>
      </w:r>
    </w:p>
    <w:p>
      <w:pPr>
        <w:pStyle w:val="ListParagraph"/>
        <w:numPr>
          <w:ilvl w:val="0"/>
          <w:numId w:val="6"/>
        </w:numPr>
        <w:spacing w:after="80" w:line="280"/>
      </w:pPr>
      <w:r>
        <w:rPr>
          <w:rFonts w:ascii="Calibri" w:cs="Calibri" w:eastAsia="Calibri" w:hAnsi="Calibri"/>
        </w:rPr>
        <w:t xml:space="preserve">Open Awards → PRAISE Nominations and click + New Nomination.</w:t>
      </w:r>
    </w:p>
    <w:p>
      <w:pPr>
        <w:pStyle w:val="ListParagraph"/>
        <w:numPr>
          <w:ilvl w:val="0"/>
          <w:numId w:val="6"/>
        </w:numPr>
        <w:spacing w:after="80" w:line="280"/>
      </w:pPr>
      <w:r>
        <w:rPr>
          <w:rFonts w:ascii="Calibri" w:cs="Calibri" w:eastAsia="Calibri" w:hAnsi="Calibri"/>
        </w:rPr>
        <w:t xml:space="preserve">Pick the nominee from the employee directory.</w:t>
      </w:r>
    </w:p>
    <w:p>
      <w:pPr>
        <w:pStyle w:val="ListParagraph"/>
        <w:numPr>
          <w:ilvl w:val="0"/>
          <w:numId w:val="6"/>
        </w:numPr>
        <w:spacing w:after="80" w:line="280"/>
      </w:pPr>
      <w:r>
        <w:rPr>
          <w:rFonts w:ascii="Calibri" w:cs="Calibri" w:eastAsia="Calibri" w:hAnsi="Calibri"/>
        </w:rPr>
        <w:t xml:space="preserve">Pick the category and the cycle period.</w:t>
      </w:r>
    </w:p>
    <w:p>
      <w:pPr>
        <w:pStyle w:val="ListParagraph"/>
        <w:numPr>
          <w:ilvl w:val="0"/>
          <w:numId w:val="6"/>
        </w:numPr>
        <w:spacing w:after="80" w:line="280"/>
      </w:pPr>
      <w:r>
        <w:rPr>
          <w:rFonts w:ascii="Calibri" w:cs="Calibri" w:eastAsia="Calibri" w:hAnsi="Calibri"/>
        </w:rPr>
        <w:t xml:space="preserve">Provide the justification (200–500 words). Reference specific outcomes, dates, and beneficiaries.</w:t>
      </w:r>
    </w:p>
    <w:p>
      <w:pPr>
        <w:pStyle w:val="ListParagraph"/>
        <w:numPr>
          <w:ilvl w:val="0"/>
          <w:numId w:val="6"/>
        </w:numPr>
        <w:spacing w:after="80" w:line="280"/>
      </w:pPr>
      <w:r>
        <w:rPr>
          <w:rFonts w:ascii="Calibri" w:cs="Calibri" w:eastAsia="Calibri" w:hAnsi="Calibri"/>
        </w:rPr>
        <w:t xml:space="preserve">Optional: attach supporting evidence — testimonials, photos, output samples.</w:t>
      </w:r>
    </w:p>
    <w:p>
      <w:pPr>
        <w:pStyle w:val="ListParagraph"/>
        <w:numPr>
          <w:ilvl w:val="0"/>
          <w:numId w:val="6"/>
        </w:numPr>
        <w:spacing w:after="80" w:line="280"/>
      </w:pPr>
      <w:r>
        <w:rPr>
          <w:rFonts w:ascii="Calibri" w:cs="Calibri" w:eastAsia="Calibri" w:hAnsi="Calibri"/>
        </w:rPr>
        <w:t xml:space="preserve">Submit. The nomination routes to the PRAISE Committee for deliberation.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
        <w:gridCol w:w="9240"/>
      </w:tblGrid>
      <w:tr>
        <w:tc>
          <w:tcPr>
            <w:tcW w:type="dxa" w:w="120"/>
            <w:tcBorders>
              <w:top w:val="none" w:color="FFFFFF" w:sz="0"/>
              <w:left w:val="none" w:color="FFFFFF" w:sz="0"/>
              <w:bottom w:val="none" w:color="FFFFFF" w:sz="0"/>
              <w:right w:val="none" w:color="FFFFFF" w:sz="0"/>
            </w:tcBorders>
            <w:shd w:fill="4338CA" w:val="clear"/>
          </w:tcPr>
          <w:p>
            <w:r>
              <w:rPr>
                <w:rFonts w:ascii="Calibri" w:cs="Calibri" w:eastAsia="Calibri" w:hAnsi="Calibri"/>
              </w:rPr>
              <w:t xml:space="preserve"> </w:t>
            </w:r>
          </w:p>
        </w:tc>
        <w:tc>
          <w:tcPr>
            <w:tcW w:type="dxa" w:w="9240"/>
            <w:tcBorders>
              <w:top w:val="none" w:color="FFFFFF" w:sz="0"/>
              <w:left w:val="none" w:color="FFFFFF" w:sz="0"/>
              <w:bottom w:val="none" w:color="FFFFFF" w:sz="0"/>
              <w:right w:val="none" w:color="FFFFFF" w:sz="0"/>
            </w:tcBorders>
            <w:shd w:fill="EEF2FF" w:val="clear"/>
            <w:tcMar>
              <w:top w:type="dxa" w:w="120"/>
              <w:left w:type="dxa" w:w="220"/>
              <w:bottom w:type="dxa" w:w="120"/>
              <w:right w:type="dxa" w:w="220"/>
            </w:tcMar>
          </w:tcPr>
          <w:p>
            <w:pPr>
              <w:spacing w:after="60"/>
            </w:pPr>
            <w:r>
              <w:rPr>
                <w:rFonts w:ascii="Calibri" w:cs="Calibri" w:eastAsia="Calibri" w:hAnsi="Calibri"/>
                <w:b/>
                <w:bCs/>
                <w:color w:val="4338CA"/>
                <w:sz w:val="22"/>
                <w:szCs w:val="22"/>
              </w:rPr>
              <w:t xml:space="preserve">ℹ  Self-nomination is allowed — but only for Innovation</w:t>
            </w:r>
          </w:p>
          <w:p>
            <w:r>
              <w:rPr>
                <w:rFonts w:ascii="Calibri" w:cs="Calibri" w:eastAsia="Calibri" w:hAnsi="Calibri"/>
                <w:color w:val="374151"/>
                <w:sz w:val="20"/>
                <w:szCs w:val="20"/>
              </w:rPr>
              <w:t xml:space="preserve">PRAISE allows self-nomination only for the Best Innovation category, where the nominee is presumed to know the innovation best. All other categories require a third-party nominator.</w:t>
            </w:r>
          </w:p>
        </w:tc>
      </w:tr>
    </w:tbl>
    <w:p>
      <w:pPr>
        <w:pStyle w:val="Heading2"/>
        <w:spacing w:after="160" w:before="320"/>
      </w:pPr>
      <w:r>
        <w:rPr>
          <w:rFonts w:ascii="Calibri" w:cs="Calibri" w:eastAsia="Calibri" w:hAnsi="Calibri"/>
          <w:b/>
          <w:bCs/>
          <w:color w:val="111827"/>
          <w:sz w:val="28"/>
          <w:szCs w:val="28"/>
        </w:rPr>
        <w:t xml:space="preserve">3.3  PRAISE Committee deliberation  ·  ✦ Super Admin / PRAISE Chair</w:t>
      </w:r>
    </w:p>
    <w:p>
      <w:pPr>
        <w:spacing w:after="120" w:line="300"/>
      </w:pPr>
      <w:r>
        <w:rPr>
          <w:rFonts w:ascii="Calibri" w:cs="Calibri" w:eastAsia="Calibri" w:hAnsi="Calibri"/>
        </w:rPr>
        <w:t xml:space="preserve">The PRAISE Committee reviews nominations, scores them against published rubrics, and issues a resolution. HCM360 generates the final tally PDF and the awards certificate templates ready for the Mayor's signature.</w:t>
      </w:r>
    </w:p>
    <w:p>
      <w:pPr>
        <w:pStyle w:val="Heading3"/>
        <w:spacing w:after="100" w:before="200"/>
      </w:pPr>
      <w:r>
        <w:rPr>
          <w:rFonts w:ascii="Calibri" w:cs="Calibri" w:eastAsia="Calibri" w:hAnsi="Calibri"/>
          <w:b/>
          <w:bCs/>
          <w:color w:val="0A5340"/>
          <w:sz w:val="22"/>
          <w:szCs w:val="22"/>
        </w:rPr>
        <w:t xml:space="preserve">Deliberation flow</w:t>
      </w:r>
    </w:p>
    <w:p>
      <w:pPr>
        <w:pStyle w:val="ListParagraph"/>
        <w:numPr>
          <w:ilvl w:val="0"/>
          <w:numId w:val="7"/>
        </w:numPr>
        <w:spacing w:after="80" w:line="280"/>
      </w:pPr>
      <w:r>
        <w:rPr>
          <w:rFonts w:ascii="Calibri" w:cs="Calibri" w:eastAsia="Calibri" w:hAnsi="Calibri"/>
        </w:rPr>
        <w:t xml:space="preserve">Open Awards → PRAISE → Deliberations and pick the cycle.</w:t>
      </w:r>
    </w:p>
    <w:p>
      <w:pPr>
        <w:pStyle w:val="ListParagraph"/>
        <w:numPr>
          <w:ilvl w:val="0"/>
          <w:numId w:val="7"/>
        </w:numPr>
        <w:spacing w:after="80" w:line="280"/>
      </w:pPr>
      <w:r>
        <w:rPr>
          <w:rFonts w:ascii="Calibri" w:cs="Calibri" w:eastAsia="Calibri" w:hAnsi="Calibri"/>
        </w:rPr>
        <w:t xml:space="preserve">For each nomination, members enter scores against the four rubric criteria: Performance, Impact, Innovation, Leadership.</w:t>
      </w:r>
    </w:p>
    <w:p>
      <w:pPr>
        <w:pStyle w:val="ListParagraph"/>
        <w:numPr>
          <w:ilvl w:val="0"/>
          <w:numId w:val="7"/>
        </w:numPr>
        <w:spacing w:after="80" w:line="280"/>
      </w:pPr>
      <w:r>
        <w:rPr>
          <w:rFonts w:ascii="Calibri" w:cs="Calibri" w:eastAsia="Calibri" w:hAnsi="Calibri"/>
        </w:rPr>
        <w:t xml:space="preserve">Once all members score every nomination, click Lock &amp; Generate Resolution.</w:t>
      </w:r>
    </w:p>
    <w:p>
      <w:pPr>
        <w:pStyle w:val="ListParagraph"/>
        <w:numPr>
          <w:ilvl w:val="0"/>
          <w:numId w:val="7"/>
        </w:numPr>
        <w:spacing w:after="80" w:line="280"/>
      </w:pPr>
      <w:r>
        <w:rPr>
          <w:rFonts w:ascii="Calibri" w:cs="Calibri" w:eastAsia="Calibri" w:hAnsi="Calibri"/>
        </w:rPr>
        <w:t xml:space="preserve">The system produces the Awards List PDF and per-awardee Certificate of Recognition templates.</w:t>
      </w:r>
    </w:p>
    <w:p>
      <w:pPr>
        <w:pStyle w:val="Heading2"/>
        <w:spacing w:after="160" w:before="320"/>
      </w:pPr>
      <w:r>
        <w:rPr>
          <w:rFonts w:ascii="Calibri" w:cs="Calibri" w:eastAsia="Calibri" w:hAnsi="Calibri"/>
          <w:b/>
          <w:bCs/>
          <w:color w:val="111827"/>
          <w:sz w:val="28"/>
          <w:szCs w:val="28"/>
        </w:rPr>
        <w:t xml:space="preserve">3.4  Loyalty Awards (auto-detected)</w:t>
      </w:r>
    </w:p>
    <w:p>
      <w:pPr>
        <w:spacing w:after="120" w:line="300"/>
      </w:pPr>
      <w:r>
        <w:rPr>
          <w:rFonts w:ascii="Calibri" w:cs="Calibri" w:eastAsia="Calibri" w:hAnsi="Calibri"/>
        </w:rPr>
        <w:t xml:space="preserve">Loyalty awards are computed nightly from the employee's continuous-service date. When an employee crosses a 5-year multiple, HCM360 raises a task on the HR queue to prepare the certificate and incentive (cash gift / leave credit / pin). The Loyalty Awards register is the audit trail for COA review.</w:t>
      </w:r>
    </w:p>
    <w:p>
      <w:pPr>
        <w:pStyle w:val="Heading2"/>
        <w:spacing w:after="160" w:before="320"/>
      </w:pPr>
      <w:r>
        <w:rPr>
          <w:rFonts w:ascii="Calibri" w:cs="Calibri" w:eastAsia="Calibri" w:hAnsi="Calibri"/>
          <w:b/>
          <w:bCs/>
          <w:color w:val="111827"/>
          <w:sz w:val="28"/>
          <w:szCs w:val="28"/>
        </w:rPr>
        <w:t xml:space="preserve">3.5  Other awards &amp; recognition modules</w:t>
      </w:r>
    </w:p>
    <w:p>
      <w:pPr>
        <w:pStyle w:val="ListParagraph"/>
        <w:numPr>
          <w:ilvl w:val="0"/>
          <w:numId w:val="8"/>
        </w:numPr>
        <w:spacing w:after="80" w:line="280"/>
      </w:pPr>
      <w:r>
        <w:rPr>
          <w:rFonts w:ascii="Calibri" w:cs="Calibri" w:eastAsia="Calibri" w:hAnsi="Calibri"/>
        </w:rPr>
        <w:t xml:space="preserve">PBB — Performance-Based Bonus tracking. Computes eligible amounts per the DBM circular.</w:t>
      </w:r>
    </w:p>
    <w:p>
      <w:pPr>
        <w:pStyle w:val="ListParagraph"/>
        <w:numPr>
          <w:ilvl w:val="0"/>
          <w:numId w:val="8"/>
        </w:numPr>
        <w:spacing w:after="80" w:line="280"/>
      </w:pPr>
      <w:r>
        <w:rPr>
          <w:rFonts w:ascii="Calibri" w:cs="Calibri" w:eastAsia="Calibri" w:hAnsi="Calibri"/>
        </w:rPr>
        <w:t xml:space="preserve">Step Increments — Auto-detected at 3-year service intervals; HR confirms before posting.</w:t>
      </w:r>
    </w:p>
    <w:p>
      <w:pPr>
        <w:pStyle w:val="ListParagraph"/>
        <w:numPr>
          <w:ilvl w:val="0"/>
          <w:numId w:val="8"/>
        </w:numPr>
        <w:spacing w:after="80" w:line="280"/>
      </w:pPr>
      <w:r>
        <w:rPr>
          <w:rFonts w:ascii="Calibri" w:cs="Calibri" w:eastAsia="Calibri" w:hAnsi="Calibri"/>
        </w:rPr>
        <w:t xml:space="preserve">Retirement Notices — Auto-generated 12 / 6 / 3 / 1 months before compulsory retirement (CSC RA 8291).</w:t>
      </w:r>
    </w:p>
    <w:p>
      <w:pPr>
        <w:pStyle w:val="ListParagraph"/>
        <w:numPr>
          <w:ilvl w:val="0"/>
          <w:numId w:val="8"/>
        </w:numPr>
        <w:spacing w:after="80" w:line="280"/>
      </w:pPr>
      <w:r>
        <w:rPr>
          <w:rFonts w:ascii="Calibri" w:cs="Calibri" w:eastAsia="Calibri" w:hAnsi="Calibri"/>
        </w:rPr>
        <w:t xml:space="preserve">Salary Standardization Law (SSL) Table — current rates and step values per RA 11466 / DBM circulars.</w:t>
      </w:r>
    </w:p>
    <w:p>
      <w:pPr>
        <w:pStyle w:val="Heading1"/>
        <w:pageBreakBefore/>
        <w:spacing w:after="240" w:before="240"/>
      </w:pPr>
      <w:r>
        <w:rPr>
          <w:rFonts w:ascii="Calibri" w:cs="Calibri" w:eastAsia="Calibri" w:hAnsi="Calibri"/>
          <w:b/>
          <w:bCs/>
          <w:color w:val="0A5340"/>
          <w:sz w:val="36"/>
          <w:szCs w:val="36"/>
        </w:rPr>
        <w:t xml:space="preserve">4.  Discipline &amp; Grievance</w:t>
      </w:r>
    </w:p>
    <w:p>
      <w:pPr>
        <w:spacing w:after="120" w:line="300"/>
      </w:pPr>
      <w:r>
        <w:rPr>
          <w:rFonts w:ascii="Calibri" w:cs="Calibri" w:eastAsia="Calibri" w:hAnsi="Calibri"/>
        </w:rPr>
        <w:t xml:space="preserve">The Discipline module manages the LGU's administrative cases under CSC MC 19, s. 2020 (Rules on Administrative Cases in the Civil Service / RACCS). The module enforces the prescribed timeline (NTE → Answer → Investigation → Formal Charge → Hearing → Decision → Appeal → Closed) and produces the required forms and signatures at every step.</w:t>
      </w:r>
    </w:p>
    <w:p>
      <w:pPr>
        <w:spacing w:after="120" w:before="120"/>
        <w:jc w:val="center"/>
      </w:pPr>
      <w:r>
        <w:drawing>
          <wp:inline distT="0" distB="0" distL="0" distR="0">
            <wp:extent cx="5715000" cy="3676650"/>
            <wp:effectExtent t="0" r="0" b="0" l="0"/>
            <wp:docPr id="1" name="23_discipline.png" descr="23_discipline.png" title="23_disciplin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3676650"/>
                    </a:xfrm>
                    <a:prstGeom prst="rect">
                      <a:avLst/>
                    </a:prstGeom>
                  </pic:spPr>
                </pic:pic>
              </a:graphicData>
            </a:graphic>
          </wp:inline>
        </w:drawing>
      </w:r>
    </w:p>
    <w:p>
      <w:pPr>
        <w:spacing w:after="240"/>
        <w:jc w:val="center"/>
      </w:pPr>
      <w:r>
        <w:rPr>
          <w:rFonts w:ascii="Calibri" w:cs="Calibri" w:eastAsia="Calibri" w:hAnsi="Calibri"/>
          <w:i/>
          <w:iCs/>
          <w:color w:val="6B7280"/>
          <w:sz w:val="18"/>
          <w:szCs w:val="18"/>
        </w:rPr>
        <w:t xml:space="preserve">Figure: Administrative Cases Dashboard — gravity colour-coded, status pills, owner.</w:t>
      </w:r>
    </w:p>
    <w:p>
      <w:pPr>
        <w:pStyle w:val="Heading2"/>
        <w:spacing w:after="160" w:before="320"/>
      </w:pPr>
      <w:r>
        <w:rPr>
          <w:rFonts w:ascii="Calibri" w:cs="Calibri" w:eastAsia="Calibri" w:hAnsi="Calibri"/>
          <w:b/>
          <w:bCs/>
          <w:color w:val="111827"/>
          <w:sz w:val="28"/>
          <w:szCs w:val="28"/>
        </w:rPr>
        <w:t xml:space="preserve">4.1  Offence gravity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5500"/>
        <w:gridCol w:w="2360"/>
      </w:tblGrid>
      <w:tr>
        <w:trPr>
          <w:tblHeader/>
        </w:trPr>
        <w:tc>
          <w:tcPr>
            <w:tcW w:type="dxa" w:w="1500"/>
            <w:shd w:fill="0A5340" w:val="clear"/>
            <w:tcMar>
              <w:top w:type="dxa" w:w="80"/>
              <w:left w:type="dxa" w:w="120"/>
              <w:bottom w:type="dxa" w:w="80"/>
              <w:right w:type="dxa" w:w="120"/>
            </w:tcMar>
          </w:tcPr>
          <w:p>
            <w:r>
              <w:rPr>
                <w:rFonts w:ascii="Calibri" w:cs="Calibri" w:eastAsia="Calibri" w:hAnsi="Calibri"/>
                <w:b/>
                <w:bCs/>
                <w:color w:val="FFFFFF"/>
                <w:sz w:val="18"/>
                <w:szCs w:val="18"/>
              </w:rPr>
              <w:t xml:space="preserve">Gravity</w:t>
            </w:r>
          </w:p>
        </w:tc>
        <w:tc>
          <w:tcPr>
            <w:tcW w:type="dxa" w:w="5500"/>
            <w:shd w:fill="0A5340" w:val="clear"/>
            <w:tcMar>
              <w:top w:type="dxa" w:w="80"/>
              <w:left w:type="dxa" w:w="120"/>
              <w:bottom w:type="dxa" w:w="80"/>
              <w:right w:type="dxa" w:w="120"/>
            </w:tcMar>
          </w:tcPr>
          <w:p>
            <w:r>
              <w:rPr>
                <w:rFonts w:ascii="Calibri" w:cs="Calibri" w:eastAsia="Calibri" w:hAnsi="Calibri"/>
                <w:b/>
                <w:bCs/>
                <w:color w:val="FFFFFF"/>
                <w:sz w:val="18"/>
                <w:szCs w:val="18"/>
              </w:rPr>
              <w:t xml:space="preserve">Examples</w:t>
            </w:r>
          </w:p>
        </w:tc>
        <w:tc>
          <w:tcPr>
            <w:tcW w:type="dxa" w:w="2360"/>
            <w:shd w:fill="0A5340" w:val="clear"/>
            <w:tcMar>
              <w:top w:type="dxa" w:w="80"/>
              <w:left w:type="dxa" w:w="120"/>
              <w:bottom w:type="dxa" w:w="80"/>
              <w:right w:type="dxa" w:w="120"/>
            </w:tcMar>
          </w:tcPr>
          <w:p>
            <w:r>
              <w:rPr>
                <w:rFonts w:ascii="Calibri" w:cs="Calibri" w:eastAsia="Calibri" w:hAnsi="Calibri"/>
                <w:b/>
                <w:bCs/>
                <w:color w:val="FFFFFF"/>
                <w:sz w:val="18"/>
                <w:szCs w:val="18"/>
              </w:rPr>
              <w:t xml:space="preserve">First-instance penalty (RACCS)</w:t>
            </w:r>
          </w:p>
        </w:tc>
      </w:tr>
      <w:tr>
        <w:tc>
          <w:tcPr>
            <w:tcW w:type="dxa" w:w="1500"/>
            <w:shd w:fill="FFFFFF" w:val="clear"/>
            <w:tcMar>
              <w:top w:type="dxa" w:w="80"/>
              <w:left w:type="dxa" w:w="120"/>
              <w:bottom w:type="dxa" w:w="80"/>
              <w:right w:type="dxa" w:w="120"/>
            </w:tcMar>
          </w:tcPr>
          <w:p>
            <w:r>
              <w:rPr>
                <w:rFonts w:ascii="Calibri" w:cs="Calibri" w:eastAsia="Calibri" w:hAnsi="Calibri"/>
                <w:sz w:val="18"/>
                <w:szCs w:val="18"/>
              </w:rPr>
              <w:t xml:space="preserve">GRAVE</w:t>
            </w:r>
          </w:p>
        </w:tc>
        <w:tc>
          <w:tcPr>
            <w:tcW w:type="dxa" w:w="5500"/>
            <w:shd w:fill="FFFFFF" w:val="clear"/>
            <w:tcMar>
              <w:top w:type="dxa" w:w="80"/>
              <w:left w:type="dxa" w:w="120"/>
              <w:bottom w:type="dxa" w:w="80"/>
              <w:right w:type="dxa" w:w="120"/>
            </w:tcMar>
          </w:tcPr>
          <w:p>
            <w:r>
              <w:rPr>
                <w:rFonts w:ascii="Calibri" w:cs="Calibri" w:eastAsia="Calibri" w:hAnsi="Calibri"/>
                <w:sz w:val="18"/>
                <w:szCs w:val="18"/>
              </w:rPr>
              <w:t xml:space="preserve">Dishonesty, grave misconduct, sexual harassment.</w:t>
            </w:r>
          </w:p>
        </w:tc>
        <w:tc>
          <w:tcPr>
            <w:tcW w:type="dxa" w:w="2360"/>
            <w:shd w:fill="FFFFFF" w:val="clear"/>
            <w:tcMar>
              <w:top w:type="dxa" w:w="80"/>
              <w:left w:type="dxa" w:w="120"/>
              <w:bottom w:type="dxa" w:w="80"/>
              <w:right w:type="dxa" w:w="120"/>
            </w:tcMar>
          </w:tcPr>
          <w:p>
            <w:r>
              <w:rPr>
                <w:rFonts w:ascii="Calibri" w:cs="Calibri" w:eastAsia="Calibri" w:hAnsi="Calibri"/>
                <w:sz w:val="18"/>
                <w:szCs w:val="18"/>
              </w:rPr>
              <w:t xml:space="preserve">Dismissal, with forfeiture of benefits.</w:t>
            </w:r>
          </w:p>
        </w:tc>
      </w:tr>
      <w:tr>
        <w:tc>
          <w:tcPr>
            <w:tcW w:type="dxa" w:w="1500"/>
            <w:shd w:fill="F9FAFB" w:val="clear"/>
            <w:tcMar>
              <w:top w:type="dxa" w:w="80"/>
              <w:left w:type="dxa" w:w="120"/>
              <w:bottom w:type="dxa" w:w="80"/>
              <w:right w:type="dxa" w:w="120"/>
            </w:tcMar>
          </w:tcPr>
          <w:p>
            <w:r>
              <w:rPr>
                <w:rFonts w:ascii="Calibri" w:cs="Calibri" w:eastAsia="Calibri" w:hAnsi="Calibri"/>
                <w:sz w:val="18"/>
                <w:szCs w:val="18"/>
              </w:rPr>
              <w:t xml:space="preserve">LESS GRAVE</w:t>
            </w:r>
          </w:p>
        </w:tc>
        <w:tc>
          <w:tcPr>
            <w:tcW w:type="dxa" w:w="5500"/>
            <w:shd w:fill="F9FAFB" w:val="clear"/>
            <w:tcMar>
              <w:top w:type="dxa" w:w="80"/>
              <w:left w:type="dxa" w:w="120"/>
              <w:bottom w:type="dxa" w:w="80"/>
              <w:right w:type="dxa" w:w="120"/>
            </w:tcMar>
          </w:tcPr>
          <w:p>
            <w:r>
              <w:rPr>
                <w:rFonts w:ascii="Calibri" w:cs="Calibri" w:eastAsia="Calibri" w:hAnsi="Calibri"/>
                <w:sz w:val="18"/>
                <w:szCs w:val="18"/>
              </w:rPr>
              <w:t xml:space="preserve">Insubordination, simple misconduct, AWOL &gt; 30 days.</w:t>
            </w:r>
          </w:p>
        </w:tc>
        <w:tc>
          <w:tcPr>
            <w:tcW w:type="dxa" w:w="2360"/>
            <w:shd w:fill="F9FAFB" w:val="clear"/>
            <w:tcMar>
              <w:top w:type="dxa" w:w="80"/>
              <w:left w:type="dxa" w:w="120"/>
              <w:bottom w:type="dxa" w:w="80"/>
              <w:right w:type="dxa" w:w="120"/>
            </w:tcMar>
          </w:tcPr>
          <w:p>
            <w:r>
              <w:rPr>
                <w:rFonts w:ascii="Calibri" w:cs="Calibri" w:eastAsia="Calibri" w:hAnsi="Calibri"/>
                <w:sz w:val="18"/>
                <w:szCs w:val="18"/>
              </w:rPr>
              <w:t xml:space="preserve">Suspension 1 month 1 day to 6 months.</w:t>
            </w:r>
          </w:p>
        </w:tc>
      </w:tr>
      <w:tr>
        <w:tc>
          <w:tcPr>
            <w:tcW w:type="dxa" w:w="1500"/>
            <w:shd w:fill="FFFFFF" w:val="clear"/>
            <w:tcMar>
              <w:top w:type="dxa" w:w="80"/>
              <w:left w:type="dxa" w:w="120"/>
              <w:bottom w:type="dxa" w:w="80"/>
              <w:right w:type="dxa" w:w="120"/>
            </w:tcMar>
          </w:tcPr>
          <w:p>
            <w:r>
              <w:rPr>
                <w:rFonts w:ascii="Calibri" w:cs="Calibri" w:eastAsia="Calibri" w:hAnsi="Calibri"/>
                <w:sz w:val="18"/>
                <w:szCs w:val="18"/>
              </w:rPr>
              <w:t xml:space="preserve">LIGHT</w:t>
            </w:r>
          </w:p>
        </w:tc>
        <w:tc>
          <w:tcPr>
            <w:tcW w:type="dxa" w:w="5500"/>
            <w:shd w:fill="FFFFFF" w:val="clear"/>
            <w:tcMar>
              <w:top w:type="dxa" w:w="80"/>
              <w:left w:type="dxa" w:w="120"/>
              <w:bottom w:type="dxa" w:w="80"/>
              <w:right w:type="dxa" w:w="120"/>
            </w:tcMar>
          </w:tcPr>
          <w:p>
            <w:r>
              <w:rPr>
                <w:rFonts w:ascii="Calibri" w:cs="Calibri" w:eastAsia="Calibri" w:hAnsi="Calibri"/>
                <w:sz w:val="18"/>
                <w:szCs w:val="18"/>
              </w:rPr>
              <w:t xml:space="preserve">Habitual tardiness, simple negligence.</w:t>
            </w:r>
          </w:p>
        </w:tc>
        <w:tc>
          <w:tcPr>
            <w:tcW w:type="dxa" w:w="2360"/>
            <w:shd w:fill="FFFFFF" w:val="clear"/>
            <w:tcMar>
              <w:top w:type="dxa" w:w="80"/>
              <w:left w:type="dxa" w:w="120"/>
              <w:bottom w:type="dxa" w:w="80"/>
              <w:right w:type="dxa" w:w="120"/>
            </w:tcMar>
          </w:tcPr>
          <w:p>
            <w:r>
              <w:rPr>
                <w:rFonts w:ascii="Calibri" w:cs="Calibri" w:eastAsia="Calibri" w:hAnsi="Calibri"/>
                <w:sz w:val="18"/>
                <w:szCs w:val="18"/>
              </w:rPr>
              <w:t xml:space="preserve">Reprimand. Repeat: suspension.</w:t>
            </w:r>
          </w:p>
        </w:tc>
      </w:tr>
    </w:tbl>
    <w:p>
      <w:pPr>
        <w:pStyle w:val="Heading2"/>
        <w:spacing w:after="160" w:before="320"/>
      </w:pPr>
      <w:r>
        <w:rPr>
          <w:rFonts w:ascii="Calibri" w:cs="Calibri" w:eastAsia="Calibri" w:hAnsi="Calibri"/>
          <w:b/>
          <w:bCs/>
          <w:color w:val="111827"/>
          <w:sz w:val="28"/>
          <w:szCs w:val="28"/>
        </w:rPr>
        <w:t xml:space="preserve">4.2  Filing a case  ·  🛡 HR Admin / Department Head / any complainant</w:t>
      </w:r>
    </w:p>
    <w:p>
      <w:pPr>
        <w:pStyle w:val="ListParagraph"/>
        <w:numPr>
          <w:ilvl w:val="0"/>
          <w:numId w:val="9"/>
        </w:numPr>
        <w:spacing w:after="80" w:line="280"/>
      </w:pPr>
      <w:r>
        <w:rPr>
          <w:rFonts w:ascii="Calibri" w:cs="Calibri" w:eastAsia="Calibri" w:hAnsi="Calibri"/>
        </w:rPr>
        <w:t xml:space="preserve">Open Discipline → File New Case.</w:t>
      </w:r>
    </w:p>
    <w:p>
      <w:pPr>
        <w:pStyle w:val="ListParagraph"/>
        <w:numPr>
          <w:ilvl w:val="0"/>
          <w:numId w:val="9"/>
        </w:numPr>
        <w:spacing w:after="80" w:line="280"/>
      </w:pPr>
      <w:r>
        <w:rPr>
          <w:rFonts w:ascii="Calibri" w:cs="Calibri" w:eastAsia="Calibri" w:hAnsi="Calibri"/>
        </w:rPr>
        <w:t xml:space="preserve">Identify the respondent and the offence type. Pick a Legal Basis from the dropdown (RACCS, RA 6713, RA 9485, etc.).</w:t>
      </w:r>
    </w:p>
    <w:p>
      <w:pPr>
        <w:pStyle w:val="ListParagraph"/>
        <w:numPr>
          <w:ilvl w:val="0"/>
          <w:numId w:val="9"/>
        </w:numPr>
        <w:spacing w:after="80" w:line="280"/>
      </w:pPr>
      <w:r>
        <w:rPr>
          <w:rFonts w:ascii="Calibri" w:cs="Calibri" w:eastAsia="Calibri" w:hAnsi="Calibri"/>
        </w:rPr>
        <w:t xml:space="preserve">Provide a detailed offence description with dates, witnesses, and impact.</w:t>
      </w:r>
    </w:p>
    <w:p>
      <w:pPr>
        <w:pStyle w:val="ListParagraph"/>
        <w:numPr>
          <w:ilvl w:val="0"/>
          <w:numId w:val="9"/>
        </w:numPr>
        <w:spacing w:after="80" w:line="280"/>
      </w:pPr>
      <w:r>
        <w:rPr>
          <w:rFonts w:ascii="Calibri" w:cs="Calibri" w:eastAsia="Calibri" w:hAnsi="Calibri"/>
        </w:rPr>
        <w:t xml:space="preserve">Attach evidence: documents, photos, biometric logs, timesheets, complaint letters.</w:t>
      </w:r>
    </w:p>
    <w:p>
      <w:pPr>
        <w:pStyle w:val="ListParagraph"/>
        <w:numPr>
          <w:ilvl w:val="0"/>
          <w:numId w:val="9"/>
        </w:numPr>
        <w:spacing w:after="80" w:line="280"/>
      </w:pPr>
      <w:r>
        <w:rPr>
          <w:rFonts w:ascii="Calibri" w:cs="Calibri" w:eastAsia="Calibri" w:hAnsi="Calibri"/>
        </w:rPr>
        <w:t xml:space="preserve">If the case is sensitive (harassment, whistleblower, minor involved), tick Confidential. The case will be visible only to PRAISE/Discipline officers and the Mayor.</w:t>
      </w:r>
    </w:p>
    <w:p>
      <w:pPr>
        <w:pStyle w:val="ListParagraph"/>
        <w:numPr>
          <w:ilvl w:val="0"/>
          <w:numId w:val="9"/>
        </w:numPr>
        <w:spacing w:after="80" w:line="280"/>
      </w:pPr>
      <w:r>
        <w:rPr>
          <w:rFonts w:ascii="Calibri" w:cs="Calibri" w:eastAsia="Calibri" w:hAnsi="Calibri"/>
        </w:rPr>
        <w:t xml:space="preserve">Submit. The case is assigned a case number (ADM-YYYY-NNN) and routed to the Disciplinary Committee.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
        <w:gridCol w:w="9240"/>
      </w:tblGrid>
      <w:tr>
        <w:tc>
          <w:tcPr>
            <w:tcW w:type="dxa" w:w="120"/>
            <w:tcBorders>
              <w:top w:val="none" w:color="FFFFFF" w:sz="0"/>
              <w:left w:val="none" w:color="FFFFFF" w:sz="0"/>
              <w:bottom w:val="none" w:color="FFFFFF" w:sz="0"/>
              <w:right w:val="none" w:color="FFFFFF" w:sz="0"/>
            </w:tcBorders>
            <w:shd w:fill="B45309" w:val="clear"/>
          </w:tcPr>
          <w:p>
            <w:r>
              <w:rPr>
                <w:rFonts w:ascii="Calibri" w:cs="Calibri" w:eastAsia="Calibri" w:hAnsi="Calibri"/>
              </w:rPr>
              <w:t xml:space="preserve"> </w:t>
            </w:r>
          </w:p>
        </w:tc>
        <w:tc>
          <w:tcPr>
            <w:tcW w:type="dxa" w:w="9240"/>
            <w:tcBorders>
              <w:top w:val="none" w:color="FFFFFF" w:sz="0"/>
              <w:left w:val="none" w:color="FFFFFF" w:sz="0"/>
              <w:bottom w:val="none" w:color="FFFFFF" w:sz="0"/>
              <w:right w:val="none" w:color="FFFFFF" w:sz="0"/>
            </w:tcBorders>
            <w:shd w:fill="FFFBEB" w:val="clear"/>
            <w:tcMar>
              <w:top w:type="dxa" w:w="120"/>
              <w:left w:type="dxa" w:w="220"/>
              <w:bottom w:type="dxa" w:w="120"/>
              <w:right w:type="dxa" w:w="220"/>
            </w:tcMar>
          </w:tcPr>
          <w:p>
            <w:pPr>
              <w:spacing w:after="60"/>
            </w:pPr>
            <w:r>
              <w:rPr>
                <w:rFonts w:ascii="Calibri" w:cs="Calibri" w:eastAsia="Calibri" w:hAnsi="Calibri"/>
                <w:b/>
                <w:bCs/>
                <w:color w:val="B45309"/>
                <w:sz w:val="22"/>
                <w:szCs w:val="22"/>
              </w:rPr>
              <w:t xml:space="preserve">⚠  Confidential cases</w:t>
            </w:r>
          </w:p>
          <w:p>
            <w:r>
              <w:rPr>
                <w:rFonts w:ascii="Calibri" w:cs="Calibri" w:eastAsia="Calibri" w:hAnsi="Calibri"/>
                <w:color w:val="374151"/>
                <w:sz w:val="20"/>
                <w:szCs w:val="20"/>
              </w:rPr>
              <w:t xml:space="preserve">Confidential cases mask the respondent's name and the offence summary on dashboards. Only authorised users (PRAISE / Discipline officers, Mayor's Office) see the full record. All access is logged in the Role-Page Access Audit (RPAA) module.</w:t>
            </w:r>
          </w:p>
        </w:tc>
      </w:tr>
    </w:tbl>
    <w:p>
      <w:pPr>
        <w:pStyle w:val="Heading2"/>
        <w:spacing w:after="160" w:before="320"/>
      </w:pPr>
      <w:r>
        <w:rPr>
          <w:rFonts w:ascii="Calibri" w:cs="Calibri" w:eastAsia="Calibri" w:hAnsi="Calibri"/>
          <w:b/>
          <w:bCs/>
          <w:color w:val="111827"/>
          <w:sz w:val="28"/>
          <w:szCs w:val="28"/>
        </w:rPr>
        <w:t xml:space="preserve">4.3  Case timeline</w:t>
      </w:r>
    </w:p>
    <w:p>
      <w:pPr>
        <w:spacing w:after="120" w:before="120"/>
        <w:jc w:val="center"/>
      </w:pPr>
      <w:r>
        <w:drawing>
          <wp:inline distT="0" distB="0" distL="0" distR="0">
            <wp:extent cx="5715000" cy="4086225"/>
            <wp:effectExtent t="0" r="0" b="0" l="0"/>
            <wp:docPr id="1" name="24_case_detail.png" descr="24_case_detail.png" title="24_case_detai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4086225"/>
                    </a:xfrm>
                    <a:prstGeom prst="rect">
                      <a:avLst/>
                    </a:prstGeom>
                  </pic:spPr>
                </pic:pic>
              </a:graphicData>
            </a:graphic>
          </wp:inline>
        </w:drawing>
      </w:r>
    </w:p>
    <w:p>
      <w:pPr>
        <w:spacing w:after="240"/>
        <w:jc w:val="center"/>
      </w:pPr>
      <w:r>
        <w:rPr>
          <w:rFonts w:ascii="Calibri" w:cs="Calibri" w:eastAsia="Calibri" w:hAnsi="Calibri"/>
          <w:i/>
          <w:iCs/>
          <w:color w:val="6B7280"/>
          <w:sz w:val="18"/>
          <w:szCs w:val="18"/>
        </w:rPr>
        <w:t xml:space="preserve">Figure: Case detail with timeline of complaints, NTE, answer, investigation, charge, and hearing.</w:t>
      </w:r>
    </w:p>
    <w:p>
      <w:pPr>
        <w:spacing w:after="120" w:line="300"/>
      </w:pPr>
      <w:r>
        <w:rPr>
          <w:rFonts w:ascii="Calibri" w:cs="Calibri" w:eastAsia="Calibri" w:hAnsi="Calibri"/>
        </w:rPr>
        <w:t xml:space="preserve">The case detail page shows every event in chronological order. The system enforces the RACCS timeline: 5 days for the NTE, 5 days for the respondent's answer, 30 days for the preliminary investigation, and so on. The countdown is shown next to each open task; overdue items appear in red on the Disciplinary Committee's dashboard.</w:t>
      </w:r>
    </w:p>
    <w:p>
      <w:pPr>
        <w:pStyle w:val="Heading2"/>
        <w:spacing w:after="160" w:before="320"/>
      </w:pPr>
      <w:r>
        <w:rPr>
          <w:rFonts w:ascii="Calibri" w:cs="Calibri" w:eastAsia="Calibri" w:hAnsi="Calibri"/>
          <w:b/>
          <w:bCs/>
          <w:color w:val="111827"/>
          <w:sz w:val="28"/>
          <w:szCs w:val="28"/>
        </w:rPr>
        <w:t xml:space="preserve">4.4  Decision and appeal</w:t>
      </w:r>
    </w:p>
    <w:p>
      <w:pPr>
        <w:pStyle w:val="ListParagraph"/>
        <w:numPr>
          <w:ilvl w:val="0"/>
          <w:numId w:val="10"/>
        </w:numPr>
        <w:spacing w:after="80" w:line="280"/>
      </w:pPr>
      <w:r>
        <w:rPr>
          <w:rFonts w:ascii="Calibri" w:cs="Calibri" w:eastAsia="Calibri" w:hAnsi="Calibri"/>
        </w:rPr>
        <w:t xml:space="preserve">After hearing, the Disciplinary Committee deliberates and drafts a Decision document.</w:t>
      </w:r>
    </w:p>
    <w:p>
      <w:pPr>
        <w:pStyle w:val="ListParagraph"/>
        <w:numPr>
          <w:ilvl w:val="0"/>
          <w:numId w:val="10"/>
        </w:numPr>
        <w:spacing w:after="80" w:line="280"/>
      </w:pPr>
      <w:r>
        <w:rPr>
          <w:rFonts w:ascii="Calibri" w:cs="Calibri" w:eastAsia="Calibri" w:hAnsi="Calibri"/>
        </w:rPr>
        <w:t xml:space="preserve">The Mayor reviews and signs the Decision. The system stamps it with a digital seal.</w:t>
      </w:r>
    </w:p>
    <w:p>
      <w:pPr>
        <w:pStyle w:val="ListParagraph"/>
        <w:numPr>
          <w:ilvl w:val="0"/>
          <w:numId w:val="10"/>
        </w:numPr>
        <w:spacing w:after="80" w:line="280"/>
      </w:pPr>
      <w:r>
        <w:rPr>
          <w:rFonts w:ascii="Calibri" w:cs="Calibri" w:eastAsia="Calibri" w:hAnsi="Calibri"/>
        </w:rPr>
        <w:t xml:space="preserve">The respondent receives the Decision via personal delivery and email; the system generates a proof-of-service record.</w:t>
      </w:r>
    </w:p>
    <w:p>
      <w:pPr>
        <w:pStyle w:val="ListParagraph"/>
        <w:numPr>
          <w:ilvl w:val="0"/>
          <w:numId w:val="10"/>
        </w:numPr>
        <w:spacing w:after="80" w:line="280"/>
      </w:pPr>
      <w:r>
        <w:rPr>
          <w:rFonts w:ascii="Calibri" w:cs="Calibri" w:eastAsia="Calibri" w:hAnsi="Calibri"/>
        </w:rPr>
        <w:t xml:space="preserve">The respondent has 15 calendar days to appeal to the CSC. HCM360 tracks the appeal window.</w:t>
      </w:r>
    </w:p>
    <w:p>
      <w:pPr>
        <w:pStyle w:val="ListParagraph"/>
        <w:numPr>
          <w:ilvl w:val="0"/>
          <w:numId w:val="10"/>
        </w:numPr>
        <w:spacing w:after="80" w:line="280"/>
      </w:pPr>
      <w:r>
        <w:rPr>
          <w:rFonts w:ascii="Calibri" w:cs="Calibri" w:eastAsia="Calibri" w:hAnsi="Calibri"/>
        </w:rPr>
        <w:t xml:space="preserve">On finality of the Decision (no appeal or CSC-final), the case status becomes CLOSED and the penalty is enforced (suspension, salary withholding, or dismissal).</w:t>
      </w:r>
    </w:p>
    <w:p>
      <w:pPr>
        <w:pStyle w:val="Heading2"/>
        <w:spacing w:after="160" w:before="320"/>
      </w:pPr>
      <w:r>
        <w:rPr>
          <w:rFonts w:ascii="Calibri" w:cs="Calibri" w:eastAsia="Calibri" w:hAnsi="Calibri"/>
          <w:b/>
          <w:bCs/>
          <w:color w:val="111827"/>
          <w:sz w:val="28"/>
          <w:szCs w:val="28"/>
        </w:rPr>
        <w:t xml:space="preserve">4.5  Grievance vs. Discipline</w:t>
      </w:r>
    </w:p>
    <w:p>
      <w:pPr>
        <w:spacing w:after="120" w:line="300"/>
      </w:pPr>
      <w:r>
        <w:rPr>
          <w:rFonts w:ascii="Calibri" w:cs="Calibri" w:eastAsia="Calibri" w:hAnsi="Calibri"/>
        </w:rPr>
        <w:t xml:space="preserve">A grievance is initiated by an employee against the LGU or a co-worker; a disciplinary case is initiated against an employee. They share the same workflow engine but use different forms and route to different bodies. Grievances follow CSC MC 02, s. 2001 (Revised Policies on Settlement of Grievances).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4000"/>
        <w:gridCol w:w="3860"/>
      </w:tblGrid>
      <w:tr>
        <w:trPr>
          <w:tblHeader/>
        </w:trPr>
        <w:tc>
          <w:tcPr>
            <w:tcW w:type="dxa" w:w="1500"/>
            <w:shd w:fill="0A5340" w:val="clear"/>
            <w:tcMar>
              <w:top w:type="dxa" w:w="80"/>
              <w:left w:type="dxa" w:w="120"/>
              <w:bottom w:type="dxa" w:w="80"/>
              <w:right w:type="dxa" w:w="120"/>
            </w:tcMar>
          </w:tcPr>
          <w:p>
            <w:r>
              <w:rPr>
                <w:rFonts w:ascii="Calibri" w:cs="Calibri" w:eastAsia="Calibri" w:hAnsi="Calibri"/>
                <w:b/>
                <w:bCs/>
                <w:color w:val="FFFFFF"/>
                <w:sz w:val="18"/>
                <w:szCs w:val="18"/>
              </w:rPr>
              <w:t xml:space="preserve">Aspect</w:t>
            </w:r>
          </w:p>
        </w:tc>
        <w:tc>
          <w:tcPr>
            <w:tcW w:type="dxa" w:w="4000"/>
            <w:shd w:fill="0A5340" w:val="clear"/>
            <w:tcMar>
              <w:top w:type="dxa" w:w="80"/>
              <w:left w:type="dxa" w:w="120"/>
              <w:bottom w:type="dxa" w:w="80"/>
              <w:right w:type="dxa" w:w="120"/>
            </w:tcMar>
          </w:tcPr>
          <w:p>
            <w:r>
              <w:rPr>
                <w:rFonts w:ascii="Calibri" w:cs="Calibri" w:eastAsia="Calibri" w:hAnsi="Calibri"/>
                <w:b/>
                <w:bCs/>
                <w:color w:val="FFFFFF"/>
                <w:sz w:val="18"/>
                <w:szCs w:val="18"/>
              </w:rPr>
              <w:t xml:space="preserve">Grievance</w:t>
            </w:r>
          </w:p>
        </w:tc>
        <w:tc>
          <w:tcPr>
            <w:tcW w:type="dxa" w:w="3860"/>
            <w:shd w:fill="0A5340" w:val="clear"/>
            <w:tcMar>
              <w:top w:type="dxa" w:w="80"/>
              <w:left w:type="dxa" w:w="120"/>
              <w:bottom w:type="dxa" w:w="80"/>
              <w:right w:type="dxa" w:w="120"/>
            </w:tcMar>
          </w:tcPr>
          <w:p>
            <w:r>
              <w:rPr>
                <w:rFonts w:ascii="Calibri" w:cs="Calibri" w:eastAsia="Calibri" w:hAnsi="Calibri"/>
                <w:b/>
                <w:bCs/>
                <w:color w:val="FFFFFF"/>
                <w:sz w:val="18"/>
                <w:szCs w:val="18"/>
              </w:rPr>
              <w:t xml:space="preserve">Discipline</w:t>
            </w:r>
          </w:p>
        </w:tc>
      </w:tr>
      <w:tr>
        <w:tc>
          <w:tcPr>
            <w:tcW w:type="dxa" w:w="1500"/>
            <w:shd w:fill="FFFFFF" w:val="clear"/>
            <w:tcMar>
              <w:top w:type="dxa" w:w="80"/>
              <w:left w:type="dxa" w:w="120"/>
              <w:bottom w:type="dxa" w:w="80"/>
              <w:right w:type="dxa" w:w="120"/>
            </w:tcMar>
          </w:tcPr>
          <w:p>
            <w:r>
              <w:rPr>
                <w:rFonts w:ascii="Calibri" w:cs="Calibri" w:eastAsia="Calibri" w:hAnsi="Calibri"/>
                <w:sz w:val="18"/>
                <w:szCs w:val="18"/>
              </w:rPr>
              <w:t xml:space="preserve">Initiated by</w:t>
            </w:r>
          </w:p>
        </w:tc>
        <w:tc>
          <w:tcPr>
            <w:tcW w:type="dxa" w:w="4000"/>
            <w:shd w:fill="FFFFFF" w:val="clear"/>
            <w:tcMar>
              <w:top w:type="dxa" w:w="80"/>
              <w:left w:type="dxa" w:w="120"/>
              <w:bottom w:type="dxa" w:w="80"/>
              <w:right w:type="dxa" w:w="120"/>
            </w:tcMar>
          </w:tcPr>
          <w:p>
            <w:r>
              <w:rPr>
                <w:rFonts w:ascii="Calibri" w:cs="Calibri" w:eastAsia="Calibri" w:hAnsi="Calibri"/>
                <w:sz w:val="18"/>
                <w:szCs w:val="18"/>
              </w:rPr>
              <w:t xml:space="preserve">Aggrieved employee.</w:t>
            </w:r>
          </w:p>
        </w:tc>
        <w:tc>
          <w:tcPr>
            <w:tcW w:type="dxa" w:w="3860"/>
            <w:shd w:fill="FFFFFF" w:val="clear"/>
            <w:tcMar>
              <w:top w:type="dxa" w:w="80"/>
              <w:left w:type="dxa" w:w="120"/>
              <w:bottom w:type="dxa" w:w="80"/>
              <w:right w:type="dxa" w:w="120"/>
            </w:tcMar>
          </w:tcPr>
          <w:p>
            <w:r>
              <w:rPr>
                <w:rFonts w:ascii="Calibri" w:cs="Calibri" w:eastAsia="Calibri" w:hAnsi="Calibri"/>
                <w:sz w:val="18"/>
                <w:szCs w:val="18"/>
              </w:rPr>
              <w:t xml:space="preserve">HR / Department Head / external complainant.</w:t>
            </w:r>
          </w:p>
        </w:tc>
      </w:tr>
      <w:tr>
        <w:tc>
          <w:tcPr>
            <w:tcW w:type="dxa" w:w="1500"/>
            <w:shd w:fill="F9FAFB" w:val="clear"/>
            <w:tcMar>
              <w:top w:type="dxa" w:w="80"/>
              <w:left w:type="dxa" w:w="120"/>
              <w:bottom w:type="dxa" w:w="80"/>
              <w:right w:type="dxa" w:w="120"/>
            </w:tcMar>
          </w:tcPr>
          <w:p>
            <w:r>
              <w:rPr>
                <w:rFonts w:ascii="Calibri" w:cs="Calibri" w:eastAsia="Calibri" w:hAnsi="Calibri"/>
                <w:sz w:val="18"/>
                <w:szCs w:val="18"/>
              </w:rPr>
              <w:t xml:space="preserve">Routed to</w:t>
            </w:r>
          </w:p>
        </w:tc>
        <w:tc>
          <w:tcPr>
            <w:tcW w:type="dxa" w:w="4000"/>
            <w:shd w:fill="F9FAFB" w:val="clear"/>
            <w:tcMar>
              <w:top w:type="dxa" w:w="80"/>
              <w:left w:type="dxa" w:w="120"/>
              <w:bottom w:type="dxa" w:w="80"/>
              <w:right w:type="dxa" w:w="120"/>
            </w:tcMar>
          </w:tcPr>
          <w:p>
            <w:r>
              <w:rPr>
                <w:rFonts w:ascii="Calibri" w:cs="Calibri" w:eastAsia="Calibri" w:hAnsi="Calibri"/>
                <w:sz w:val="18"/>
                <w:szCs w:val="18"/>
              </w:rPr>
              <w:t xml:space="preserve">Grievance Committee.</w:t>
            </w:r>
          </w:p>
        </w:tc>
        <w:tc>
          <w:tcPr>
            <w:tcW w:type="dxa" w:w="3860"/>
            <w:shd w:fill="F9FAFB" w:val="clear"/>
            <w:tcMar>
              <w:top w:type="dxa" w:w="80"/>
              <w:left w:type="dxa" w:w="120"/>
              <w:bottom w:type="dxa" w:w="80"/>
              <w:right w:type="dxa" w:w="120"/>
            </w:tcMar>
          </w:tcPr>
          <w:p>
            <w:r>
              <w:rPr>
                <w:rFonts w:ascii="Calibri" w:cs="Calibri" w:eastAsia="Calibri" w:hAnsi="Calibri"/>
                <w:sz w:val="18"/>
                <w:szCs w:val="18"/>
              </w:rPr>
              <w:t xml:space="preserve">Disciplinary Committee.</w:t>
            </w:r>
          </w:p>
        </w:tc>
      </w:tr>
      <w:tr>
        <w:tc>
          <w:tcPr>
            <w:tcW w:type="dxa" w:w="1500"/>
            <w:shd w:fill="FFFFFF" w:val="clear"/>
            <w:tcMar>
              <w:top w:type="dxa" w:w="80"/>
              <w:left w:type="dxa" w:w="120"/>
              <w:bottom w:type="dxa" w:w="80"/>
              <w:right w:type="dxa" w:w="120"/>
            </w:tcMar>
          </w:tcPr>
          <w:p>
            <w:r>
              <w:rPr>
                <w:rFonts w:ascii="Calibri" w:cs="Calibri" w:eastAsia="Calibri" w:hAnsi="Calibri"/>
                <w:sz w:val="18"/>
                <w:szCs w:val="18"/>
              </w:rPr>
              <w:t xml:space="preserve">Confidential</w:t>
            </w:r>
          </w:p>
        </w:tc>
        <w:tc>
          <w:tcPr>
            <w:tcW w:type="dxa" w:w="4000"/>
            <w:shd w:fill="FFFFFF" w:val="clear"/>
            <w:tcMar>
              <w:top w:type="dxa" w:w="80"/>
              <w:left w:type="dxa" w:w="120"/>
              <w:bottom w:type="dxa" w:w="80"/>
              <w:right w:type="dxa" w:w="120"/>
            </w:tcMar>
          </w:tcPr>
          <w:p>
            <w:r>
              <w:rPr>
                <w:rFonts w:ascii="Calibri" w:cs="Calibri" w:eastAsia="Calibri" w:hAnsi="Calibri"/>
                <w:sz w:val="18"/>
                <w:szCs w:val="18"/>
              </w:rPr>
              <w:t xml:space="preserve">Yes, by default for the complainant.</w:t>
            </w:r>
          </w:p>
        </w:tc>
        <w:tc>
          <w:tcPr>
            <w:tcW w:type="dxa" w:w="3860"/>
            <w:shd w:fill="FFFFFF" w:val="clear"/>
            <w:tcMar>
              <w:top w:type="dxa" w:w="80"/>
              <w:left w:type="dxa" w:w="120"/>
              <w:bottom w:type="dxa" w:w="80"/>
              <w:right w:type="dxa" w:w="120"/>
            </w:tcMar>
          </w:tcPr>
          <w:p>
            <w:r>
              <w:rPr>
                <w:rFonts w:ascii="Calibri" w:cs="Calibri" w:eastAsia="Calibri" w:hAnsi="Calibri"/>
                <w:sz w:val="18"/>
                <w:szCs w:val="18"/>
              </w:rPr>
              <w:t xml:space="preserve">Optional, based on case sensitivity.</w:t>
            </w:r>
          </w:p>
        </w:tc>
      </w:tr>
      <w:tr>
        <w:tc>
          <w:tcPr>
            <w:tcW w:type="dxa" w:w="1500"/>
            <w:shd w:fill="F9FAFB" w:val="clear"/>
            <w:tcMar>
              <w:top w:type="dxa" w:w="80"/>
              <w:left w:type="dxa" w:w="120"/>
              <w:bottom w:type="dxa" w:w="80"/>
              <w:right w:type="dxa" w:w="120"/>
            </w:tcMar>
          </w:tcPr>
          <w:p>
            <w:r>
              <w:rPr>
                <w:rFonts w:ascii="Calibri" w:cs="Calibri" w:eastAsia="Calibri" w:hAnsi="Calibri"/>
                <w:sz w:val="18"/>
                <w:szCs w:val="18"/>
              </w:rPr>
              <w:t xml:space="preserve">Outcome</w:t>
            </w:r>
          </w:p>
        </w:tc>
        <w:tc>
          <w:tcPr>
            <w:tcW w:type="dxa" w:w="4000"/>
            <w:shd w:fill="F9FAFB" w:val="clear"/>
            <w:tcMar>
              <w:top w:type="dxa" w:w="80"/>
              <w:left w:type="dxa" w:w="120"/>
              <w:bottom w:type="dxa" w:w="80"/>
              <w:right w:type="dxa" w:w="120"/>
            </w:tcMar>
          </w:tcPr>
          <w:p>
            <w:r>
              <w:rPr>
                <w:rFonts w:ascii="Calibri" w:cs="Calibri" w:eastAsia="Calibri" w:hAnsi="Calibri"/>
                <w:sz w:val="18"/>
                <w:szCs w:val="18"/>
              </w:rPr>
              <w:t xml:space="preserve">Conciliation or formal resolution.</w:t>
            </w:r>
          </w:p>
        </w:tc>
        <w:tc>
          <w:tcPr>
            <w:tcW w:type="dxa" w:w="3860"/>
            <w:shd w:fill="F9FAFB" w:val="clear"/>
            <w:tcMar>
              <w:top w:type="dxa" w:w="80"/>
              <w:left w:type="dxa" w:w="120"/>
              <w:bottom w:type="dxa" w:w="80"/>
              <w:right w:type="dxa" w:w="120"/>
            </w:tcMar>
          </w:tcPr>
          <w:p>
            <w:r>
              <w:rPr>
                <w:rFonts w:ascii="Calibri" w:cs="Calibri" w:eastAsia="Calibri" w:hAnsi="Calibri"/>
                <w:sz w:val="18"/>
                <w:szCs w:val="18"/>
              </w:rPr>
              <w:t xml:space="preserve">Penalty (Reprimand / Suspension / Dismissal) or Dismissed.</w:t>
            </w:r>
          </w:p>
        </w:tc>
      </w:tr>
      <w:tr>
        <w:tc>
          <w:tcPr>
            <w:tcW w:type="dxa" w:w="1500"/>
            <w:shd w:fill="FFFFFF" w:val="clear"/>
            <w:tcMar>
              <w:top w:type="dxa" w:w="80"/>
              <w:left w:type="dxa" w:w="120"/>
              <w:bottom w:type="dxa" w:w="80"/>
              <w:right w:type="dxa" w:w="120"/>
            </w:tcMar>
          </w:tcPr>
          <w:p>
            <w:r>
              <w:rPr>
                <w:rFonts w:ascii="Calibri" w:cs="Calibri" w:eastAsia="Calibri" w:hAnsi="Calibri"/>
                <w:sz w:val="18"/>
                <w:szCs w:val="18"/>
              </w:rPr>
              <w:t xml:space="preserve">Appeal venue</w:t>
            </w:r>
          </w:p>
        </w:tc>
        <w:tc>
          <w:tcPr>
            <w:tcW w:type="dxa" w:w="4000"/>
            <w:shd w:fill="FFFFFF" w:val="clear"/>
            <w:tcMar>
              <w:top w:type="dxa" w:w="80"/>
              <w:left w:type="dxa" w:w="120"/>
              <w:bottom w:type="dxa" w:w="80"/>
              <w:right w:type="dxa" w:w="120"/>
            </w:tcMar>
          </w:tcPr>
          <w:p>
            <w:r>
              <w:rPr>
                <w:rFonts w:ascii="Calibri" w:cs="Calibri" w:eastAsia="Calibri" w:hAnsi="Calibri"/>
                <w:sz w:val="18"/>
                <w:szCs w:val="18"/>
              </w:rPr>
              <w:t xml:space="preserve">CSC Regional Office.</w:t>
            </w:r>
          </w:p>
        </w:tc>
        <w:tc>
          <w:tcPr>
            <w:tcW w:type="dxa" w:w="3860"/>
            <w:shd w:fill="FFFFFF" w:val="clear"/>
            <w:tcMar>
              <w:top w:type="dxa" w:w="80"/>
              <w:left w:type="dxa" w:w="120"/>
              <w:bottom w:type="dxa" w:w="80"/>
              <w:right w:type="dxa" w:w="120"/>
            </w:tcMar>
          </w:tcPr>
          <w:p>
            <w:r>
              <w:rPr>
                <w:rFonts w:ascii="Calibri" w:cs="Calibri" w:eastAsia="Calibri" w:hAnsi="Calibri"/>
                <w:sz w:val="18"/>
                <w:szCs w:val="18"/>
              </w:rPr>
              <w:t xml:space="preserve">CSC then Court of Appeals.</w:t>
            </w:r>
          </w:p>
        </w:tc>
      </w:tr>
    </w:tbl>
    <w:p>
      <w:pPr>
        <w:pStyle w:val="Heading2"/>
        <w:spacing w:after="160" w:before="320"/>
      </w:pPr>
      <w:r>
        <w:rPr>
          <w:rFonts w:ascii="Calibri" w:cs="Calibri" w:eastAsia="Calibri" w:hAnsi="Calibri"/>
          <w:b/>
          <w:bCs/>
          <w:color w:val="111827"/>
          <w:sz w:val="28"/>
          <w:szCs w:val="28"/>
        </w:rPr>
        <w:t xml:space="preserve">4.6  Continuous Feedback</w:t>
      </w:r>
    </w:p>
    <w:p>
      <w:pPr>
        <w:spacing w:after="120" w:line="300"/>
      </w:pPr>
      <w:r>
        <w:rPr>
          <w:rFonts w:ascii="Calibri" w:cs="Calibri" w:eastAsia="Calibri" w:hAnsi="Calibri"/>
        </w:rPr>
        <w:t xml:space="preserve">Aside from formal grievance and discipline, HCM360 ships a Continuous Feedback module that supports peer, upward, and downward feedback. Feedback can be requested or volunteered, and is summarised on each employee's Performance tab. Feedback is advisory, not a substitute for formal grievance — but often resolves issues before they escalate.</w:t>
      </w:r>
    </w:p>
    <w:p>
      <w:pPr>
        <w:pStyle w:val="Heading1"/>
        <w:pageBreakBefore/>
        <w:spacing w:after="240" w:before="240"/>
      </w:pPr>
      <w:r>
        <w:rPr>
          <w:rFonts w:ascii="Calibri" w:cs="Calibri" w:eastAsia="Calibri" w:hAnsi="Calibri"/>
          <w:b/>
          <w:bCs/>
          <w:color w:val="0A5340"/>
          <w:sz w:val="36"/>
          <w:szCs w:val="36"/>
        </w:rPr>
        <w:t xml:space="preserve">5.  Where to go next</w:t>
      </w:r>
    </w:p>
    <w:p>
      <w:pPr>
        <w:pStyle w:val="ListParagraph"/>
        <w:numPr>
          <w:ilvl w:val="0"/>
          <w:numId w:val="8"/>
        </w:numPr>
        <w:spacing w:after="80" w:line="280"/>
      </w:pPr>
      <w:r>
        <w:rPr>
          <w:rFonts w:ascii="Calibri" w:cs="Calibri" w:eastAsia="Calibri" w:hAnsi="Calibri"/>
        </w:rPr>
        <w:t xml:space="preserve">Volume 1 covers the Dashboard, Employee Records, Leave, Payroll, Attendance, Performance Management, and the ARIA AI Assistant.</w:t>
      </w:r>
    </w:p>
    <w:p>
      <w:pPr>
        <w:pStyle w:val="ListParagraph"/>
        <w:numPr>
          <w:ilvl w:val="0"/>
          <w:numId w:val="8"/>
        </w:numPr>
        <w:spacing w:after="80" w:line="280"/>
      </w:pPr>
      <w:r>
        <w:rPr>
          <w:rFonts w:ascii="Calibri" w:cs="Calibri" w:eastAsia="Calibri" w:hAnsi="Calibri"/>
        </w:rPr>
        <w:t xml:space="preserve">Volume 2 covers Recruitment, Selection, and Placement — including requisitions and CSC eligibility checks.</w:t>
      </w:r>
    </w:p>
    <w:p>
      <w:pPr>
        <w:pStyle w:val="ListParagraph"/>
        <w:numPr>
          <w:ilvl w:val="0"/>
          <w:numId w:val="8"/>
        </w:numPr>
        <w:spacing w:after="80" w:line="280"/>
      </w:pPr>
      <w:r>
        <w:rPr>
          <w:rFonts w:ascii="Calibri" w:cs="Calibri" w:eastAsia="Calibri" w:hAnsi="Calibri"/>
        </w:rPr>
        <w:t xml:space="preserve">For SSPs (Standard Operating Procedures) on each module, see the companion Process Flows document (07_process_flows.docx).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
        <w:gridCol w:w="9240"/>
      </w:tblGrid>
      <w:tr>
        <w:tc>
          <w:tcPr>
            <w:tcW w:type="dxa" w:w="120"/>
            <w:tcBorders>
              <w:top w:val="none" w:color="FFFFFF" w:sz="0"/>
              <w:left w:val="none" w:color="FFFFFF" w:sz="0"/>
              <w:bottom w:val="none" w:color="FFFFFF" w:sz="0"/>
              <w:right w:val="none" w:color="FFFFFF" w:sz="0"/>
            </w:tcBorders>
            <w:shd w:fill="4338CA" w:val="clear"/>
          </w:tcPr>
          <w:p>
            <w:r>
              <w:rPr>
                <w:rFonts w:ascii="Calibri" w:cs="Calibri" w:eastAsia="Calibri" w:hAnsi="Calibri"/>
              </w:rPr>
              <w:t xml:space="preserve"> </w:t>
            </w:r>
          </w:p>
        </w:tc>
        <w:tc>
          <w:tcPr>
            <w:tcW w:type="dxa" w:w="9240"/>
            <w:tcBorders>
              <w:top w:val="none" w:color="FFFFFF" w:sz="0"/>
              <w:left w:val="none" w:color="FFFFFF" w:sz="0"/>
              <w:bottom w:val="none" w:color="FFFFFF" w:sz="0"/>
              <w:right w:val="none" w:color="FFFFFF" w:sz="0"/>
            </w:tcBorders>
            <w:shd w:fill="EEF2FF" w:val="clear"/>
            <w:tcMar>
              <w:top w:type="dxa" w:w="120"/>
              <w:left w:type="dxa" w:w="220"/>
              <w:bottom w:type="dxa" w:w="120"/>
              <w:right w:type="dxa" w:w="220"/>
            </w:tcMar>
          </w:tcPr>
          <w:p>
            <w:pPr>
              <w:spacing w:after="60"/>
            </w:pPr>
            <w:r>
              <w:rPr>
                <w:rFonts w:ascii="Calibri" w:cs="Calibri" w:eastAsia="Calibri" w:hAnsi="Calibri"/>
                <w:b/>
                <w:bCs/>
                <w:color w:val="4338CA"/>
                <w:sz w:val="22"/>
                <w:szCs w:val="22"/>
              </w:rPr>
              <w:t xml:space="preserve">ℹ  Government forms generated by Volume 3</w:t>
            </w:r>
          </w:p>
          <w:p>
            <w:r>
              <w:rPr>
                <w:rFonts w:ascii="Calibri" w:cs="Calibri" w:eastAsia="Calibri" w:hAnsi="Calibri"/>
                <w:color w:val="374151"/>
                <w:sz w:val="20"/>
                <w:szCs w:val="20"/>
              </w:rPr>
              <w:t xml:space="preserve">L&amp;D — Training Plan (per CSC), Narrative Report, Scholarship Bond. PRAISE — Awards Resolution, Certificate of Recognition, Loyalty Award certificate. Discipline — NTE (Notice to Explain), Formal Charge, Decision, Notice of Penalty, Proof of Service.</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B7280"/>
        <w:sz w:val="18"/>
        <w:szCs w:val="18"/>
      </w:rPr>
      <w:t xml:space="preserve">Municipality of Mariveles, Bataan  ·  v1.7  ·  </w:t>
    </w:r>
    <w:r>
      <w:rPr>
        <w:rFonts w:ascii="Calibri" w:cs="Calibri" w:eastAsia="Calibri" w:hAnsi="Calibri"/>
        <w:color w:val="6B7280"/>
        <w:sz w:val="18"/>
        <w:szCs w:val="18"/>
      </w:rPr>
      <w:t xml:space="preserve">Page </w:t>
    </w:r>
    <w:r>
      <w:rPr>
        <w:color w:val="6B7280"/>
        <w:sz w:val="18"/>
        <w:szCs w:val="18"/>
      </w:rPr>
      <w:fldChar w:fldCharType="begin"/>
      <w:instrText xml:space="preserve">PAGE</w:instrText>
      <w:fldChar w:fldCharType="separate"/>
      <w:fldChar w:fldCharType="end"/>
    </w:r>
    <w:r>
      <w:rPr>
        <w:rFonts w:ascii="Calibri" w:cs="Calibri" w:eastAsia="Calibri" w:hAnsi="Calibri"/>
        <w:color w:val="6B7280"/>
        <w:sz w:val="18"/>
        <w:szCs w:val="18"/>
      </w:rPr>
      <w:t xml:space="preserve"> of </w:t>
    </w:r>
    <w:r>
      <w:rPr>
        <w:color w:val="6B72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F7A5A" w:sz="6" w:space="6"/>
      </w:pBdr>
      <w:tabs>
        <w:tab w:val="right" w:pos="9026"/>
      </w:tabs>
    </w:pPr>
    <w:r>
      <w:rPr>
        <w:rFonts w:ascii="Calibri" w:cs="Calibri" w:eastAsia="Calibri" w:hAnsi="Calibri"/>
        <w:color w:val="6B7280"/>
        <w:sz w:val="18"/>
        <w:szCs w:val="18"/>
      </w:rPr>
      <w:t xml:space="preserve">HCM360 — User Documentation Guide</w:t>
    </w:r>
    <w:r>
      <w:rPr>
        <w:rFonts w:ascii="Calibri" w:cs="Calibri" w:eastAsia="Calibri" w:hAnsi="Calibri"/>
      </w:rPr>
      <w:t xml:space="preserve">	</w:t>
    </w:r>
    <w:r>
      <w:rPr>
        <w:rFonts w:ascii="Calibri" w:cs="Calibri" w:eastAsia="Calibri" w:hAnsi="Calibri"/>
        <w:i/>
        <w:iCs/>
        <w:color w:val="6B7280"/>
        <w:sz w:val="18"/>
        <w:szCs w:val="18"/>
      </w:rPr>
      <w:t xml:space="preserve">Volume 3  ·  Learning · Awards · Discipline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abstractNum w:abstractNumId="11" w15:restartNumberingAfterBreak="0">
    <w:multiLevelType w:val="hybridMultilevel"/>
    <w:lvl w:ilvl="0" w15:tentative="1">
      <w:start w:val="1"/>
      <w:numFmt w:val="decimal"/>
      <w:lvlText w:val="%1."/>
      <w:lvlJc w:val="left"/>
      <w:pPr>
        <w:ind w:left="720" w:hanging="360"/>
      </w:pPr>
    </w:lvl>
  </w:abstractNum>
  <w:abstractNum w:abstractNumId="12" w15:restartNumberingAfterBreak="0">
    <w:multiLevelType w:val="hybridMultilevel"/>
    <w:lvl w:ilvl="0" w15:tentative="1">
      <w:start w:val="1"/>
      <w:numFmt w:val="decimal"/>
      <w:lvlText w:val="%1."/>
      <w:lvlJc w:val="left"/>
      <w:pPr>
        <w:ind w:left="720" w:hanging="360"/>
      </w:pPr>
    </w:lvl>
  </w:abstractNum>
  <w:abstractNum w:abstractNumId="13" w15:restartNumberingAfterBreak="0">
    <w:multiLevelType w:val="hybridMultilevel"/>
    <w:lvl w:ilvl="0" w15:tentative="1">
      <w:start w:val="1"/>
      <w:numFmt w:val="decimal"/>
      <w:lvlText w:val="%1."/>
      <w:lvlJc w:val="left"/>
      <w:pPr>
        <w:ind w:left="720" w:hanging="360"/>
      </w:pPr>
    </w:lvl>
  </w:abstractNum>
  <w:abstractNum w:abstractNumId="14" w15:restartNumberingAfterBreak="0">
    <w:multiLevelType w:val="hybridMultilevel"/>
    <w:lvl w:ilvl="0" w15:tentative="1">
      <w:start w:val="1"/>
      <w:numFmt w:val="decimal"/>
      <w:lvlText w:val="%1."/>
      <w:lvlJc w:val="left"/>
      <w:pPr>
        <w:ind w:left="720" w:hanging="360"/>
      </w:pPr>
    </w:lvl>
  </w:abstractNum>
  <w:abstractNum w:abstractNumId="15" w15:restartNumberingAfterBreak="0">
    <w:multiLevelType w:val="hybridMultilevel"/>
    <w:lvl w:ilvl="0" w15:tentative="1">
      <w:start w:val="1"/>
      <w:numFmt w:val="decimal"/>
      <w:lvlText w:val="%1."/>
      <w:lvlJc w:val="left"/>
      <w:pPr>
        <w:ind w:left="720" w:hanging="360"/>
      </w:pPr>
    </w:lvl>
  </w:abstractNum>
  <w:abstractNum w:abstractNumId="16" w15:restartNumberingAfterBreak="0">
    <w:multiLevelType w:val="hybridMultilevel"/>
    <w:lvl w:ilvl="0" w15:tentative="1">
      <w:start w:val="1"/>
      <w:numFmt w:val="decimal"/>
      <w:lvlText w:val="%1."/>
      <w:lvlJc w:val="left"/>
      <w:pPr>
        <w:ind w:left="720" w:hanging="360"/>
      </w:pPr>
    </w:lvl>
  </w:abstractNum>
  <w:abstractNum w:abstractNumId="17" w15:restartNumberingAfterBreak="0">
    <w:multiLevelType w:val="hybridMultilevel"/>
    <w:lvl w:ilvl="0" w15:tentative="1">
      <w:start w:val="1"/>
      <w:numFmt w:val="decimal"/>
      <w:lvlText w:val="%1."/>
      <w:lvlJc w:val="left"/>
      <w:pPr>
        <w:ind w:left="720" w:hanging="360"/>
      </w:pPr>
    </w:lvl>
  </w:abstractNum>
  <w:abstractNum w:abstractNumId="18" w15:restartNumberingAfterBreak="0">
    <w:multiLevelType w:val="hybridMultilevel"/>
    <w:lvl w:ilvl="0" w15:tentative="1">
      <w:start w:val="1"/>
      <w:numFmt w:val="decimal"/>
      <w:lvlText w:val="%1."/>
      <w:lvlJc w:val="left"/>
      <w:pPr>
        <w:ind w:left="720" w:hanging="360"/>
      </w:pPr>
    </w:lvl>
  </w:abstractNum>
  <w:abstractNum w:abstractNumId="19" w15:restartNumberingAfterBreak="0">
    <w:multiLevelType w:val="hybridMultilevel"/>
    <w:lvl w:ilvl="0" w15:tentative="1">
      <w:start w:val="1"/>
      <w:numFmt w:val="decimal"/>
      <w:lvlText w:val="%1."/>
      <w:lvlJc w:val="left"/>
      <w:pPr>
        <w:ind w:left="720" w:hanging="360"/>
      </w:pPr>
    </w:lvl>
  </w:abstractNum>
  <w:abstractNum w:abstractNumId="20" w15:restartNumberingAfterBreak="0">
    <w:multiLevelType w:val="hybridMultilevel"/>
    <w:lvl w:ilvl="0" w15:tentative="1">
      <w:start w:val="1"/>
      <w:numFmt w:val="decimal"/>
      <w:lvlText w:val="%1."/>
      <w:lvlJc w:val="left"/>
      <w:pPr>
        <w:ind w:left="720" w:hanging="360"/>
      </w:pPr>
    </w:lvl>
  </w:abstractNum>
  <w:abstractNum w:abstractNumId="21" w15:restartNumberingAfterBreak="0">
    <w:multiLevelType w:val="hybridMultilevel"/>
    <w:lvl w:ilvl="0" w15:tentative="1">
      <w:start w:val="1"/>
      <w:numFmt w:val="decimal"/>
      <w:lvlText w:val="%1."/>
      <w:lvlJc w:val="left"/>
      <w:pPr>
        <w:ind w:left="720" w:hanging="360"/>
      </w:pPr>
    </w:lvl>
  </w:abstractNum>
  <w:abstractNum w:abstractNumId="22" w15:restartNumberingAfterBreak="0">
    <w:multiLevelType w:val="hybridMultilevel"/>
    <w:lvl w:ilvl="0" w15:tentative="1">
      <w:start w:val="1"/>
      <w:numFmt w:val="decimal"/>
      <w:lvlText w:val="%1."/>
      <w:lvlJc w:val="left"/>
      <w:pPr>
        <w:ind w:left="720" w:hanging="360"/>
      </w:pPr>
    </w:lvl>
  </w:abstractNum>
  <w:abstractNum w:abstractNumId="23" w15:restartNumberingAfterBreak="0">
    <w:multiLevelType w:val="hybridMultilevel"/>
    <w:lvl w:ilvl="0" w15:tentative="1">
      <w:start w:val="1"/>
      <w:numFmt w:val="decimal"/>
      <w:lvlText w:val="%1."/>
      <w:lvlJc w:val="left"/>
      <w:pPr>
        <w:ind w:left="720" w:hanging="360"/>
      </w:pPr>
    </w:lvl>
  </w:abstractNum>
  <w:abstractNum w:abstractNumId="24" w15:restartNumberingAfterBreak="0">
    <w:multiLevelType w:val="hybridMultilevel"/>
    <w:lvl w:ilvl="0" w15:tentative="1">
      <w:start w:val="1"/>
      <w:numFmt w:val="decimal"/>
      <w:lvlText w:val="%1."/>
      <w:lvlJc w:val="left"/>
      <w:pPr>
        <w:ind w:left="720" w:hanging="360"/>
      </w:pPr>
    </w:lvl>
  </w:abstractNum>
  <w:abstractNum w:abstractNumId="25" w15:restartNumberingAfterBreak="0">
    <w:multiLevelType w:val="hybridMultilevel"/>
    <w:lvl w:ilvl="0" w15:tentative="1">
      <w:start w:val="1"/>
      <w:numFmt w:val="decimal"/>
      <w:lvlText w:val="%1."/>
      <w:lvlJc w:val="left"/>
      <w:pPr>
        <w:ind w:left="720" w:hanging="360"/>
      </w:pPr>
    </w:lvl>
  </w:abstractNum>
  <w:abstractNum w:abstractNumId="26" w15:restartNumberingAfterBreak="0">
    <w:multiLevelType w:val="hybridMultilevel"/>
    <w:lvl w:ilvl="0" w15:tentative="1">
      <w:start w:val="1"/>
      <w:numFmt w:val="decimal"/>
      <w:lvlText w:val="%1."/>
      <w:lvlJc w:val="left"/>
      <w:pPr>
        <w:ind w:left="720" w:hanging="360"/>
      </w:pPr>
    </w:lvl>
  </w:abstractNum>
  <w:abstractNum w:abstractNumId="27" w15:restartNumberingAfterBreak="0">
    <w:multiLevelType w:val="hybridMultilevel"/>
    <w:lvl w:ilvl="0" w15:tentative="1">
      <w:start w:val="1"/>
      <w:numFmt w:val="decimal"/>
      <w:lvlText w:val="%1."/>
      <w:lvlJc w:val="left"/>
      <w:pPr>
        <w:ind w:left="720" w:hanging="360"/>
      </w:pPr>
    </w:lvl>
  </w:abstractNum>
  <w:abstractNum w:abstractNumId="28" w15:restartNumberingAfterBreak="0">
    <w:multiLevelType w:val="hybridMultilevel"/>
    <w:lvl w:ilvl="0" w15:tentative="1">
      <w:start w:val="1"/>
      <w:numFmt w:val="decimal"/>
      <w:lvlText w:val="%1."/>
      <w:lvlJc w:val="left"/>
      <w:pPr>
        <w:ind w:left="720" w:hanging="360"/>
      </w:pPr>
    </w:lvl>
  </w:abstractNum>
  <w:abstractNum w:abstractNumId="29" w15:restartNumberingAfterBreak="0">
    <w:multiLevelType w:val="hybridMultilevel"/>
    <w:lvl w:ilvl="0" w15:tentative="1">
      <w:start w:val="1"/>
      <w:numFmt w:val="decimal"/>
      <w:lvlText w:val="%1."/>
      <w:lvlJc w:val="left"/>
      <w:pPr>
        <w:ind w:left="720" w:hanging="360"/>
      </w:pPr>
    </w:lvl>
  </w:abstractNum>
  <w:abstractNum w:abstractNumId="30" w15:restartNumberingAfterBreak="0">
    <w:multiLevelType w:val="hybridMultilevel"/>
    <w:lvl w:ilvl="0" w15:tentative="1">
      <w:start w:val="1"/>
      <w:numFmt w:val="decimal"/>
      <w:lvlText w:val="%1."/>
      <w:lvlJc w:val="left"/>
      <w:pPr>
        <w:ind w:left="720" w:hanging="360"/>
      </w:pPr>
    </w:lvl>
  </w:abstractNum>
  <w:abstractNum w:abstractNumId="31" w15:restartNumberingAfterBreak="0">
    <w:multiLevelType w:val="hybridMultilevel"/>
    <w:lvl w:ilvl="0" w15:tentative="1">
      <w:start w:val="1"/>
      <w:numFmt w:val="decimal"/>
      <w:lvlText w:val="%1."/>
      <w:lvlJc w:val="left"/>
      <w:pPr>
        <w:ind w:left="720" w:hanging="360"/>
      </w:pPr>
    </w:lvl>
  </w:abstractNum>
  <w:abstractNum w:abstractNumId="32" w15:restartNumberingAfterBreak="0">
    <w:multiLevelType w:val="hybridMultilevel"/>
    <w:lvl w:ilvl="0" w15:tentative="1">
      <w:start w:val="1"/>
      <w:numFmt w:val="decimal"/>
      <w:lvlText w:val="%1."/>
      <w:lvlJc w:val="left"/>
      <w:pPr>
        <w:ind w:left="720" w:hanging="360"/>
      </w:pPr>
    </w:lvl>
  </w:abstractNum>
  <w:abstractNum w:abstractNumId="33" w15:restartNumberingAfterBreak="0">
    <w:multiLevelType w:val="hybridMultilevel"/>
    <w:lvl w:ilvl="0" w15:tentative="1">
      <w:start w:val="1"/>
      <w:numFmt w:val="decimal"/>
      <w:lvlText w:val="%1."/>
      <w:lvlJc w:val="left"/>
      <w:pPr>
        <w:ind w:left="720" w:hanging="360"/>
      </w:pPr>
    </w:lvl>
  </w:abstractNum>
  <w:abstractNum w:abstractNumId="34" w15:restartNumberingAfterBreak="0">
    <w:multiLevelType w:val="hybridMultilevel"/>
    <w:lvl w:ilvl="0" w15:tentative="1">
      <w:start w:val="1"/>
      <w:numFmt w:val="decimal"/>
      <w:lvlText w:val="%1."/>
      <w:lvlJc w:val="left"/>
      <w:pPr>
        <w:ind w:left="720" w:hanging="360"/>
      </w:pPr>
    </w:lvl>
  </w:abstractNum>
  <w:abstractNum w:abstractNumId="35" w15:restartNumberingAfterBreak="0">
    <w:multiLevelType w:val="hybridMultilevel"/>
    <w:lvl w:ilvl="0" w15:tentative="1">
      <w:start w:val="1"/>
      <w:numFmt w:val="decimal"/>
      <w:lvlText w:val="%1."/>
      <w:lvlJc w:val="left"/>
      <w:pPr>
        <w:ind w:left="720" w:hanging="360"/>
      </w:pPr>
    </w:lvl>
  </w:abstractNum>
  <w:abstractNum w:abstractNumId="36" w15:restartNumberingAfterBreak="0">
    <w:multiLevelType w:val="hybridMultilevel"/>
    <w:lvl w:ilvl="0" w15:tentative="1">
      <w:start w:val="1"/>
      <w:numFmt w:val="decimal"/>
      <w:lvlText w:val="%1."/>
      <w:lvlJc w:val="left"/>
      <w:pPr>
        <w:ind w:left="720" w:hanging="360"/>
      </w:pPr>
    </w:lvl>
  </w:abstractNum>
  <w:abstractNum w:abstractNumId="37" w15:restartNumberingAfterBreak="0">
    <w:multiLevelType w:val="hybridMultilevel"/>
    <w:lvl w:ilvl="0" w15:tentative="1">
      <w:start w:val="1"/>
      <w:numFmt w:val="decimal"/>
      <w:lvlText w:val="%1."/>
      <w:lvlJc w:val="left"/>
      <w:pPr>
        <w:ind w:left="720" w:hanging="360"/>
      </w:pPr>
    </w:lvl>
  </w:abstractNum>
  <w:abstractNum w:abstractNumId="38" w15:restartNumberingAfterBreak="0">
    <w:multiLevelType w:val="hybridMultilevel"/>
    <w:lvl w:ilvl="0" w15:tentative="1">
      <w:start w:val="1"/>
      <w:numFmt w:val="decimal"/>
      <w:lvlText w:val="%1."/>
      <w:lvlJc w:val="left"/>
      <w:pPr>
        <w:ind w:left="720" w:hanging="360"/>
      </w:pPr>
    </w:lvl>
  </w:abstractNum>
  <w:abstractNum w:abstractNumId="39" w15:restartNumberingAfterBreak="0">
    <w:multiLevelType w:val="hybridMultilevel"/>
    <w:lvl w:ilvl="0" w15:tentative="1">
      <w:start w:val="1"/>
      <w:numFmt w:val="decimal"/>
      <w:lvlText w:val="%1."/>
      <w:lvlJc w:val="left"/>
      <w:pPr>
        <w:ind w:left="720" w:hanging="360"/>
      </w:pPr>
    </w:lvl>
  </w:abstractNum>
  <w:abstractNum w:abstractNumId="40" w15:restartNumberingAfterBreak="0">
    <w:multiLevelType w:val="hybridMultilevel"/>
    <w:lvl w:ilvl="0" w15:tentative="1">
      <w:start w:val="1"/>
      <w:numFmt w:val="decimal"/>
      <w:lvlText w:val="%1."/>
      <w:lvlJc w:val="left"/>
      <w:pPr>
        <w:ind w:left="720" w:hanging="360"/>
      </w:pPr>
    </w:lvl>
  </w:abstractNum>
  <w:abstractNum w:abstractNumId="41" w15:restartNumberingAfterBreak="0">
    <w:multiLevelType w:val="hybridMultilevel"/>
    <w:lvl w:ilvl="0" w15:tentative="1">
      <w:start w:val="1"/>
      <w:numFmt w:val="decimal"/>
      <w:lvlText w:val="%1."/>
      <w:lvlJc w:val="left"/>
      <w:pPr>
        <w:ind w:left="720" w:hanging="360"/>
      </w:pPr>
    </w:lvl>
  </w:abstractNum>
  <w:abstractNum w:abstractNumId="42" w15:restartNumberingAfterBreak="0">
    <w:multiLevelType w:val="hybridMultilevel"/>
    <w:lvl w:ilvl="0" w15:tentative="1">
      <w:start w:val="1"/>
      <w:numFmt w:val="decimal"/>
      <w:lvlText w:val="%1."/>
      <w:lvlJc w:val="left"/>
      <w:pPr>
        <w:ind w:left="720" w:hanging="360"/>
      </w:pPr>
    </w:lvl>
  </w:abstractNum>
  <w:abstractNum w:abstractNumId="43" w15:restartNumberingAfterBreak="0">
    <w:multiLevelType w:val="hybridMultilevel"/>
    <w:lvl w:ilvl="0" w15:tentative="1">
      <w:start w:val="1"/>
      <w:numFmt w:val="decimal"/>
      <w:lvlText w:val="%1."/>
      <w:lvlJc w:val="left"/>
      <w:pPr>
        <w:ind w:left="720" w:hanging="360"/>
      </w:pPr>
    </w:lvl>
  </w:abstractNum>
  <w:abstractNum w:abstractNumId="44" w15:restartNumberingAfterBreak="0">
    <w:multiLevelType w:val="hybridMultilevel"/>
    <w:lvl w:ilvl="0" w15:tentative="1">
      <w:start w:val="1"/>
      <w:numFmt w:val="decimal"/>
      <w:lvlText w:val="%1."/>
      <w:lvlJc w:val="left"/>
      <w:pPr>
        <w:ind w:left="720" w:hanging="360"/>
      </w:pPr>
    </w:lvl>
  </w:abstractNum>
  <w:abstractNum w:abstractNumId="45" w15:restartNumberingAfterBreak="0">
    <w:multiLevelType w:val="hybridMultilevel"/>
    <w:lvl w:ilvl="0" w15:tentative="1">
      <w:start w:val="1"/>
      <w:numFmt w:val="decimal"/>
      <w:lvlText w:val="%1."/>
      <w:lvlJc w:val="left"/>
      <w:pPr>
        <w:ind w:left="720" w:hanging="360"/>
      </w:pPr>
    </w:lvl>
  </w:abstractNum>
  <w:abstractNum w:abstractNumId="46" w15:restartNumberingAfterBreak="0">
    <w:multiLevelType w:val="hybridMultilevel"/>
    <w:lvl w:ilvl="0" w15:tentative="1">
      <w:start w:val="1"/>
      <w:numFmt w:val="decimal"/>
      <w:lvlText w:val="%1."/>
      <w:lvlJc w:val="left"/>
      <w:pPr>
        <w:ind w:left="720" w:hanging="360"/>
      </w:pPr>
    </w:lvl>
  </w:abstractNum>
  <w:abstractNum w:abstractNumId="47" w15:restartNumberingAfterBreak="0">
    <w:multiLevelType w:val="hybridMultilevel"/>
    <w:lvl w:ilvl="0" w15:tentative="1">
      <w:start w:val="1"/>
      <w:numFmt w:val="decimal"/>
      <w:lvlText w:val="%1."/>
      <w:lvlJc w:val="left"/>
      <w:pPr>
        <w:ind w:left="720" w:hanging="360"/>
      </w:pPr>
    </w:lvl>
  </w:abstractNum>
  <w:abstractNum w:abstractNumId="48" w15:restartNumberingAfterBreak="0">
    <w:multiLevelType w:val="hybridMultilevel"/>
    <w:lvl w:ilvl="0" w15:tentative="1">
      <w:start w:val="1"/>
      <w:numFmt w:val="decimal"/>
      <w:lvlText w:val="%1."/>
      <w:lvlJc w:val="left"/>
      <w:pPr>
        <w:ind w:left="720" w:hanging="360"/>
      </w:pPr>
    </w:lvl>
  </w:abstractNum>
  <w:abstractNum w:abstractNumId="49" w15:restartNumberingAfterBreak="0">
    <w:multiLevelType w:val="hybridMultilevel"/>
    <w:lvl w:ilvl="0" w15:tentative="1">
      <w:start w:val="1"/>
      <w:numFmt w:val="decimal"/>
      <w:lvlText w:val="%1."/>
      <w:lvlJc w:val="left"/>
      <w:pPr>
        <w:ind w:left="720" w:hanging="360"/>
      </w:pPr>
    </w:lvl>
  </w:abstractNum>
  <w:abstractNum w:abstractNumId="50" w15:restartNumberingAfterBreak="0">
    <w:multiLevelType w:val="hybridMultilevel"/>
    <w:lvl w:ilvl="0" w15:tentative="1">
      <w:start w:val="1"/>
      <w:numFmt w:val="decimal"/>
      <w:lvlText w:val="%1."/>
      <w:lvlJc w:val="left"/>
      <w:pPr>
        <w:ind w:left="720" w:hanging="360"/>
      </w:pPr>
    </w:lvl>
  </w:abstractNum>
  <w:abstractNum w:abstractNumId="51" w15:restartNumberingAfterBreak="0">
    <w:multiLevelType w:val="hybridMultilevel"/>
    <w:lvl w:ilvl="0" w15:tentative="1">
      <w:start w:val="1"/>
      <w:numFmt w:val="decimal"/>
      <w:lvlText w:val="%1."/>
      <w:lvlJc w:val="left"/>
      <w:pPr>
        <w:ind w:left="720" w:hanging="360"/>
      </w:pPr>
    </w:lvl>
  </w:abstractNum>
  <w:abstractNum w:abstractNumId="52" w15:restartNumberingAfterBreak="0">
    <w:multiLevelType w:val="hybridMultilevel"/>
    <w:lvl w:ilvl="0" w15:tentative="1">
      <w:start w:val="1"/>
      <w:numFmt w:val="decimal"/>
      <w:lvlText w:val="%1."/>
      <w:lvlJc w:val="left"/>
      <w:pPr>
        <w:ind w:left="720" w:hanging="360"/>
      </w:pPr>
    </w:lvl>
  </w:abstractNum>
  <w:abstractNum w:abstractNumId="5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4"/>
    <w:lvlOverride w:ilvl="0">
      <w:startOverride w:val="1"/>
    </w:lvlOverride>
  </w:num>
  <w:num w:numId="3">
    <w:abstractNumId w:val="5"/>
    <w:lvlOverride w:ilvl="0">
      <w:startOverride w:val="1"/>
    </w:lvlOverride>
  </w:num>
  <w:num w:numId="4">
    <w:abstractNumId w:val="6"/>
    <w:lvlOverride w:ilvl="0">
      <w:startOverride w:val="1"/>
    </w:lvlOverride>
  </w:num>
  <w:num w:numId="5">
    <w:abstractNumId w:val="7"/>
    <w:lvlOverride w:ilvl="0">
      <w:startOverride w:val="1"/>
    </w:lvlOverride>
  </w:num>
  <w:num w:numId="6">
    <w:abstractNumId w:val="8"/>
    <w:lvlOverride w:ilvl="0">
      <w:startOverride w:val="1"/>
    </w:lvlOverride>
  </w:num>
  <w:num w:numId="7">
    <w:abstractNumId w:val="9"/>
    <w:lvlOverride w:ilvl="0">
      <w:startOverride w:val="1"/>
    </w:lvlOverride>
  </w:num>
  <w:num w:numId="8">
    <w:abstractNumId w:val="2"/>
    <w:lvlOverride w:ilvl="0">
      <w:startOverride w:val="1"/>
    </w:lvlOverride>
  </w:num>
  <w:num w:numId="9">
    <w:abstractNumId w:val="10"/>
    <w:lvlOverride w:ilvl="0">
      <w:startOverride w:val="1"/>
    </w:lvlOverride>
  </w:num>
  <w:num w:numId="10">
    <w:abstractNumId w:val="1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outlineLvl w:val="0"/>
    </w:pPr>
    <w:rPr>
      <w:rFonts w:ascii="Calibri" w:cs="Calibri" w:eastAsia="Calibri" w:hAnsi="Calibri"/>
      <w:b/>
      <w:bCs/>
      <w:color w:val="0A5340"/>
      <w:sz w:val="36"/>
      <w:szCs w:val="36"/>
    </w:rPr>
  </w:style>
  <w:style w:type="paragraph" w:styleId="Heading2">
    <w:name w:val="Heading 2"/>
    <w:basedOn w:val="Normal"/>
    <w:next w:val="Normal"/>
    <w:qFormat/>
    <w:pPr>
      <w:spacing w:after="160" w:before="320"/>
      <w:outlineLvl w:val="1"/>
    </w:pPr>
    <w:rPr>
      <w:rFonts w:ascii="Calibri" w:cs="Calibri" w:eastAsia="Calibri" w:hAnsi="Calibri"/>
      <w:b/>
      <w:bCs/>
      <w:color w:val="111827"/>
      <w:sz w:val="28"/>
      <w:szCs w:val="28"/>
    </w:rPr>
  </w:style>
  <w:style w:type="paragraph" w:styleId="Heading3">
    <w:name w:val="Heading 3"/>
    <w:basedOn w:val="Normal"/>
    <w:next w:val="Normal"/>
    <w:qFormat/>
    <w:pPr>
      <w:spacing w:after="100" w:before="200"/>
      <w:outlineLvl w:val="2"/>
    </w:pPr>
    <w:rPr>
      <w:rFonts w:ascii="Calibri" w:cs="Calibri" w:eastAsia="Calibri" w:hAnsi="Calibri"/>
      <w:b/>
      <w:bCs/>
      <w:color w:val="0A53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643fbec14e4249eb8ceeec73c0c83a0152bdc9b2.png"/><Relationship Id="rId10" Type="http://schemas.openxmlformats.org/officeDocument/2006/relationships/image" Target="media/a55c1b2ff42d4c0f528e6905834d483ba5aca0d8.png"/><Relationship Id="rId11" Type="http://schemas.openxmlformats.org/officeDocument/2006/relationships/image" Target="media/628af24a6b50cabac563d400feffd8a8674dc481.png"/><Relationship Id="rId12" Type="http://schemas.openxmlformats.org/officeDocument/2006/relationships/image" Target="media/62129411abf93041de419df78325ca862a87934a.png"/><Relationship Id="rId13" Type="http://schemas.openxmlformats.org/officeDocument/2006/relationships/image" Target="media/85a732bc3d7e5f4201a785eb6df868b28e54d74c.png"/><Relationship Id="rId14" Type="http://schemas.openxmlformats.org/officeDocument/2006/relationships/image" Target="media/7c5c0f51956ebb903ab136b0e09f807906bd30bd.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HCM360 User Guide — Volume 3 (L&amp;D · Awards · Discipline)</dc:title>
  <dc:creator>HCM360 Documentation Team</dc:creator>
  <dc:description>Learning &amp; Development, Awards &amp; Recognition, Discipline &amp; Grievance.</dc:description>
  <cp:lastModifiedBy>Un-named</cp:lastModifiedBy>
  <cp:revision>1</cp:revision>
  <dcterms:created xsi:type="dcterms:W3CDTF">2026-04-29T17:19:11.039Z</dcterms:created>
  <dcterms:modified xsi:type="dcterms:W3CDTF">2026-04-29T17:19:11.039Z</dcterms:modified>
</cp:coreProperties>
</file>

<file path=docProps/custom.xml><?xml version="1.0" encoding="utf-8"?>
<Properties xmlns="http://schemas.openxmlformats.org/officeDocument/2006/custom-properties" xmlns:vt="http://schemas.openxmlformats.org/officeDocument/2006/docPropsVTypes"/>
</file>