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539"/>
        <w:gridCol w:w="2410"/>
        <w:gridCol w:w="2472"/>
        <w:gridCol w:w="929"/>
      </w:tblGrid>
      <w:tr w:rsidR="00774AD1" w:rsidRPr="00BF7C7A" w14:paraId="170C79EC" w14:textId="7BE91127" w:rsidTr="00BF7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3181252" w14:textId="77777777" w:rsidR="00774AD1" w:rsidRPr="00BF7C7A" w:rsidRDefault="00774AD1" w:rsidP="00BF7C7A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410" w:type="dxa"/>
          </w:tcPr>
          <w:p w14:paraId="6D8386D0" w14:textId="29A9C5EE" w:rsidR="00774AD1" w:rsidRPr="00BF7C7A" w:rsidRDefault="00774AD1" w:rsidP="00BF7C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PD Patients (n = 125)</w:t>
            </w:r>
          </w:p>
        </w:tc>
        <w:tc>
          <w:tcPr>
            <w:tcW w:w="2472" w:type="dxa"/>
          </w:tcPr>
          <w:p w14:paraId="69D7CE26" w14:textId="203869D1" w:rsidR="00774AD1" w:rsidRPr="00BF7C7A" w:rsidRDefault="00774AD1" w:rsidP="00BF7C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Healthy Controls (n = 59)</w:t>
            </w:r>
          </w:p>
        </w:tc>
        <w:tc>
          <w:tcPr>
            <w:tcW w:w="929" w:type="dxa"/>
          </w:tcPr>
          <w:p w14:paraId="3744006D" w14:textId="301F7554" w:rsidR="00774AD1" w:rsidRPr="00BF7C7A" w:rsidRDefault="00774AD1" w:rsidP="00BF7C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1"/>
                <w:szCs w:val="21"/>
              </w:rPr>
            </w:pPr>
            <w:r w:rsidRPr="00BF7C7A">
              <w:rPr>
                <w:b w:val="0"/>
                <w:bCs w:val="0"/>
                <w:i/>
                <w:iCs/>
                <w:sz w:val="21"/>
                <w:szCs w:val="21"/>
              </w:rPr>
              <w:t>p-</w:t>
            </w:r>
            <w:proofErr w:type="spellStart"/>
            <w:r w:rsidRPr="00BF7C7A">
              <w:rPr>
                <w:b w:val="0"/>
                <w:bCs w:val="0"/>
                <w:i/>
                <w:iCs/>
                <w:sz w:val="21"/>
                <w:szCs w:val="21"/>
              </w:rPr>
              <w:t>val</w:t>
            </w:r>
            <w:proofErr w:type="spellEnd"/>
          </w:p>
        </w:tc>
      </w:tr>
      <w:tr w:rsidR="00774AD1" w:rsidRPr="00BF7C7A" w14:paraId="4F69FCF5" w14:textId="46D127CB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4AE1EB6" w14:textId="49E259DC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Demographics</w:t>
            </w:r>
          </w:p>
        </w:tc>
        <w:tc>
          <w:tcPr>
            <w:tcW w:w="2410" w:type="dxa"/>
          </w:tcPr>
          <w:p w14:paraId="36DD0D00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59488D85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60F07A8D" w14:textId="51FFEB9E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22273BB1" w14:textId="049A4AF8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01A3472" w14:textId="1F220F78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Age</w:t>
            </w:r>
          </w:p>
        </w:tc>
        <w:tc>
          <w:tcPr>
            <w:tcW w:w="2410" w:type="dxa"/>
          </w:tcPr>
          <w:p w14:paraId="785AD366" w14:textId="23D8FE9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68 ± 8</w:t>
            </w:r>
          </w:p>
        </w:tc>
        <w:tc>
          <w:tcPr>
            <w:tcW w:w="2472" w:type="dxa"/>
          </w:tcPr>
          <w:p w14:paraId="4F6CF607" w14:textId="3B8F8FD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67.5 ± 10</w:t>
            </w:r>
          </w:p>
        </w:tc>
        <w:tc>
          <w:tcPr>
            <w:tcW w:w="929" w:type="dxa"/>
          </w:tcPr>
          <w:p w14:paraId="2E3AB41B" w14:textId="68AB715A" w:rsidR="00774AD1" w:rsidRPr="00BF7C7A" w:rsidRDefault="00BC61A8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0.78</w:t>
            </w:r>
          </w:p>
        </w:tc>
      </w:tr>
      <w:tr w:rsidR="00774AD1" w:rsidRPr="00BF7C7A" w14:paraId="3B44F9E7" w14:textId="1D1C4980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629C446" w14:textId="78B82EE1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Sex (%M, n)</w:t>
            </w:r>
          </w:p>
        </w:tc>
        <w:tc>
          <w:tcPr>
            <w:tcW w:w="2410" w:type="dxa"/>
          </w:tcPr>
          <w:p w14:paraId="1B5B9C81" w14:textId="5FB2BC98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61.6% (77)</w:t>
            </w:r>
          </w:p>
        </w:tc>
        <w:tc>
          <w:tcPr>
            <w:tcW w:w="2472" w:type="dxa"/>
          </w:tcPr>
          <w:p w14:paraId="248FC9FF" w14:textId="149C9171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39 % (23)</w:t>
            </w:r>
          </w:p>
        </w:tc>
        <w:tc>
          <w:tcPr>
            <w:tcW w:w="929" w:type="dxa"/>
          </w:tcPr>
          <w:p w14:paraId="613C773C" w14:textId="066D47F1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0.004</w:t>
            </w:r>
          </w:p>
        </w:tc>
      </w:tr>
      <w:tr w:rsidR="00774AD1" w:rsidRPr="00BF7C7A" w14:paraId="24695583" w14:textId="67B71A6D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033EA95" w14:textId="4CEB681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BMI (kg/m2)</w:t>
            </w:r>
          </w:p>
        </w:tc>
        <w:tc>
          <w:tcPr>
            <w:tcW w:w="2410" w:type="dxa"/>
          </w:tcPr>
          <w:p w14:paraId="42BB43E6" w14:textId="37F28D48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26.3 ± 5.5</w:t>
            </w:r>
          </w:p>
        </w:tc>
        <w:tc>
          <w:tcPr>
            <w:tcW w:w="2472" w:type="dxa"/>
          </w:tcPr>
          <w:p w14:paraId="2528AC5E" w14:textId="2673609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27.2 ± 5</w:t>
            </w:r>
          </w:p>
        </w:tc>
        <w:tc>
          <w:tcPr>
            <w:tcW w:w="929" w:type="dxa"/>
          </w:tcPr>
          <w:p w14:paraId="767DBB6F" w14:textId="3921CC19" w:rsidR="00774AD1" w:rsidRPr="00BF7C7A" w:rsidRDefault="00BC61A8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0.27</w:t>
            </w:r>
          </w:p>
        </w:tc>
      </w:tr>
      <w:tr w:rsidR="00774AD1" w:rsidRPr="00BF7C7A" w14:paraId="367EC06C" w14:textId="508C8A7C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8024160" w14:textId="37C0C33C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Lifestyle factors</w:t>
            </w:r>
          </w:p>
        </w:tc>
        <w:tc>
          <w:tcPr>
            <w:tcW w:w="2410" w:type="dxa"/>
          </w:tcPr>
          <w:p w14:paraId="09930853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68B302C9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3AA985F2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30F31E19" w14:textId="14847905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7A8BC30" w14:textId="7E055262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PASE Score</w:t>
            </w:r>
          </w:p>
        </w:tc>
        <w:tc>
          <w:tcPr>
            <w:tcW w:w="2410" w:type="dxa"/>
          </w:tcPr>
          <w:p w14:paraId="5F4845D1" w14:textId="3797C1AE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120 ± 68</w:t>
            </w:r>
          </w:p>
        </w:tc>
        <w:tc>
          <w:tcPr>
            <w:tcW w:w="2472" w:type="dxa"/>
          </w:tcPr>
          <w:p w14:paraId="72AB4E98" w14:textId="063029B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138.1 ± 57.1</w:t>
            </w:r>
          </w:p>
        </w:tc>
        <w:tc>
          <w:tcPr>
            <w:tcW w:w="929" w:type="dxa"/>
          </w:tcPr>
          <w:p w14:paraId="39238211" w14:textId="5B6E95E7" w:rsidR="00774AD1" w:rsidRPr="00BF7C7A" w:rsidRDefault="00BC61A8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0.008</w:t>
            </w:r>
          </w:p>
        </w:tc>
      </w:tr>
      <w:tr w:rsidR="00774AD1" w:rsidRPr="00BF7C7A" w14:paraId="26D319EF" w14:textId="2241AA6F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9D668BD" w14:textId="0A832BA8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Medical history</w:t>
            </w:r>
          </w:p>
        </w:tc>
        <w:tc>
          <w:tcPr>
            <w:tcW w:w="2410" w:type="dxa"/>
          </w:tcPr>
          <w:p w14:paraId="317D1BB0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279C00B0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4C341926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143811D8" w14:textId="05B5A2D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08A53A7A" w14:textId="2D36687F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PD age at onset</w:t>
            </w:r>
          </w:p>
        </w:tc>
        <w:tc>
          <w:tcPr>
            <w:tcW w:w="2410" w:type="dxa"/>
          </w:tcPr>
          <w:p w14:paraId="45C109D3" w14:textId="34B87DAF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63 ± 9</w:t>
            </w:r>
          </w:p>
        </w:tc>
        <w:tc>
          <w:tcPr>
            <w:tcW w:w="2472" w:type="dxa"/>
          </w:tcPr>
          <w:p w14:paraId="19A2C3A3" w14:textId="00BCC738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43407DD" w14:textId="2A35C0A9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53620828" w14:textId="7B1E7E40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919347D" w14:textId="1B53A362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Functional constipation (%, n)</w:t>
            </w:r>
          </w:p>
        </w:tc>
        <w:tc>
          <w:tcPr>
            <w:tcW w:w="2410" w:type="dxa"/>
          </w:tcPr>
          <w:p w14:paraId="56FF9B7E" w14:textId="0264E570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25.6% (32)</w:t>
            </w:r>
          </w:p>
        </w:tc>
        <w:tc>
          <w:tcPr>
            <w:tcW w:w="2472" w:type="dxa"/>
          </w:tcPr>
          <w:p w14:paraId="26FD02D2" w14:textId="6BDE1789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3.5% (2)</w:t>
            </w:r>
          </w:p>
        </w:tc>
        <w:tc>
          <w:tcPr>
            <w:tcW w:w="929" w:type="dxa"/>
          </w:tcPr>
          <w:p w14:paraId="5BDE5CB4" w14:textId="02CFD0BC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0.0002</w:t>
            </w:r>
          </w:p>
        </w:tc>
      </w:tr>
      <w:tr w:rsidR="00774AD1" w:rsidRPr="00BF7C7A" w14:paraId="1E8A41D8" w14:textId="7C973E2D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394E614" w14:textId="72AFB8DF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IBS (%, n)</w:t>
            </w:r>
          </w:p>
        </w:tc>
        <w:tc>
          <w:tcPr>
            <w:tcW w:w="2410" w:type="dxa"/>
          </w:tcPr>
          <w:p w14:paraId="324B91AA" w14:textId="3D7D814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90.8% (109)</w:t>
            </w:r>
          </w:p>
        </w:tc>
        <w:tc>
          <w:tcPr>
            <w:tcW w:w="2472" w:type="dxa"/>
          </w:tcPr>
          <w:p w14:paraId="181FFF1A" w14:textId="096B8C68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72.9% (43)</w:t>
            </w:r>
          </w:p>
        </w:tc>
        <w:tc>
          <w:tcPr>
            <w:tcW w:w="929" w:type="dxa"/>
          </w:tcPr>
          <w:p w14:paraId="51394DEA" w14:textId="50F73C27" w:rsidR="00774AD1" w:rsidRPr="00BF7C7A" w:rsidRDefault="00182F55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0.003</w:t>
            </w:r>
          </w:p>
        </w:tc>
      </w:tr>
      <w:tr w:rsidR="00774AD1" w:rsidRPr="00BF7C7A" w14:paraId="6F9B48B0" w14:textId="1E6EF6BB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C6DA485" w14:textId="13183D88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IBS Symptom severity</w:t>
            </w:r>
            <w:r w:rsidR="00BF7C7A" w:rsidRPr="00BF7C7A">
              <w:rPr>
                <w:sz w:val="21"/>
                <w:szCs w:val="21"/>
              </w:rPr>
              <w:t xml:space="preserve"> </w:t>
            </w:r>
            <w:r w:rsidRPr="00BF7C7A">
              <w:rPr>
                <w:sz w:val="21"/>
                <w:szCs w:val="21"/>
              </w:rPr>
              <w:t>score</w:t>
            </w:r>
          </w:p>
        </w:tc>
        <w:tc>
          <w:tcPr>
            <w:tcW w:w="2410" w:type="dxa"/>
          </w:tcPr>
          <w:p w14:paraId="254D641A" w14:textId="2C602B3F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88.3 ± 62</w:t>
            </w:r>
          </w:p>
        </w:tc>
        <w:tc>
          <w:tcPr>
            <w:tcW w:w="2472" w:type="dxa"/>
          </w:tcPr>
          <w:p w14:paraId="2505EE7F" w14:textId="3CE6BD18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65.4 ± 59.6</w:t>
            </w:r>
          </w:p>
        </w:tc>
        <w:tc>
          <w:tcPr>
            <w:tcW w:w="929" w:type="dxa"/>
          </w:tcPr>
          <w:p w14:paraId="21FC2CEA" w14:textId="6601F0F8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0.01</w:t>
            </w:r>
          </w:p>
        </w:tc>
      </w:tr>
      <w:tr w:rsidR="00774AD1" w:rsidRPr="00BF7C7A" w14:paraId="2769AE4E" w14:textId="6253E3B3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2DEC4E" w14:textId="4A52D2B3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Treatment and supplements</w:t>
            </w:r>
          </w:p>
        </w:tc>
        <w:tc>
          <w:tcPr>
            <w:tcW w:w="2410" w:type="dxa"/>
          </w:tcPr>
          <w:p w14:paraId="5FCF4F04" w14:textId="7777777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2472" w:type="dxa"/>
          </w:tcPr>
          <w:p w14:paraId="2F172EC3" w14:textId="7777777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475329EF" w14:textId="7777777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3A03507D" w14:textId="5C7CA2D8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D0704DD" w14:textId="7DFE8132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Patient on medication (%, n)</w:t>
            </w:r>
          </w:p>
        </w:tc>
        <w:tc>
          <w:tcPr>
            <w:tcW w:w="2410" w:type="dxa"/>
          </w:tcPr>
          <w:p w14:paraId="11528707" w14:textId="1CC8B815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99.2% (122)</w:t>
            </w:r>
          </w:p>
        </w:tc>
        <w:tc>
          <w:tcPr>
            <w:tcW w:w="2472" w:type="dxa"/>
          </w:tcPr>
          <w:p w14:paraId="2612CB05" w14:textId="27AF5393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34801D53" w14:textId="70B2D5A8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AE5AA91" w14:textId="31F1BF5D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C3F94A3" w14:textId="0C26045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Levodopa (%, n)</w:t>
            </w:r>
          </w:p>
        </w:tc>
        <w:tc>
          <w:tcPr>
            <w:tcW w:w="2410" w:type="dxa"/>
          </w:tcPr>
          <w:p w14:paraId="1E35EBBC" w14:textId="311468E2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97.5% (120)</w:t>
            </w:r>
          </w:p>
        </w:tc>
        <w:tc>
          <w:tcPr>
            <w:tcW w:w="2472" w:type="dxa"/>
          </w:tcPr>
          <w:p w14:paraId="15A15FD2" w14:textId="22F775F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2470DD5" w14:textId="17BB8087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71AD5202" w14:textId="1AEA5CF4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3068FFB" w14:textId="29818AEC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Levodopa dosage (mg)</w:t>
            </w:r>
          </w:p>
        </w:tc>
        <w:tc>
          <w:tcPr>
            <w:tcW w:w="2410" w:type="dxa"/>
          </w:tcPr>
          <w:p w14:paraId="3DCE6DD8" w14:textId="1B4F980D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773± 462</w:t>
            </w:r>
          </w:p>
        </w:tc>
        <w:tc>
          <w:tcPr>
            <w:tcW w:w="2472" w:type="dxa"/>
          </w:tcPr>
          <w:p w14:paraId="3358D342" w14:textId="0A75B424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BFCB570" w14:textId="0F3E7437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40CDA8C2" w14:textId="18C95764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BA6F49A" w14:textId="69BB493D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Dopamine agonists (%, n)</w:t>
            </w:r>
          </w:p>
        </w:tc>
        <w:tc>
          <w:tcPr>
            <w:tcW w:w="2410" w:type="dxa"/>
          </w:tcPr>
          <w:p w14:paraId="0F027D2F" w14:textId="50F58A4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30.3% (38)</w:t>
            </w:r>
          </w:p>
        </w:tc>
        <w:tc>
          <w:tcPr>
            <w:tcW w:w="2472" w:type="dxa"/>
          </w:tcPr>
          <w:p w14:paraId="6D892141" w14:textId="608C850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F2A58A9" w14:textId="69FD2C28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55619543" w14:textId="16985A96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7241CACD" w14:textId="76C63C20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 xml:space="preserve">Domperidone (%, </w:t>
            </w:r>
            <w:proofErr w:type="gramStart"/>
            <w:r w:rsidRPr="00BF7C7A">
              <w:rPr>
                <w:sz w:val="21"/>
                <w:szCs w:val="21"/>
              </w:rPr>
              <w:t>n)*</w:t>
            </w:r>
            <w:proofErr w:type="gramEnd"/>
          </w:p>
        </w:tc>
        <w:tc>
          <w:tcPr>
            <w:tcW w:w="2410" w:type="dxa"/>
          </w:tcPr>
          <w:p w14:paraId="610E16C7" w14:textId="668E7774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15.8% (6)</w:t>
            </w:r>
          </w:p>
        </w:tc>
        <w:tc>
          <w:tcPr>
            <w:tcW w:w="2472" w:type="dxa"/>
          </w:tcPr>
          <w:p w14:paraId="748CB751" w14:textId="09D7F6A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6DD7E476" w14:textId="3093F3FE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3E7F0AF" w14:textId="0E64770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2890E6C" w14:textId="2DFD8745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Pramipexole (%, n)</w:t>
            </w:r>
          </w:p>
        </w:tc>
        <w:tc>
          <w:tcPr>
            <w:tcW w:w="2410" w:type="dxa"/>
          </w:tcPr>
          <w:p w14:paraId="7EFB0F7C" w14:textId="0BCD752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76.3% (29)</w:t>
            </w:r>
          </w:p>
        </w:tc>
        <w:tc>
          <w:tcPr>
            <w:tcW w:w="2472" w:type="dxa"/>
          </w:tcPr>
          <w:p w14:paraId="008E087A" w14:textId="3D1DEC03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3F36502F" w14:textId="37041B9C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D9F62ED" w14:textId="21AEE75A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8F258FC" w14:textId="723B2E6A" w:rsidR="00774AD1" w:rsidRPr="00BF7C7A" w:rsidRDefault="00774AD1" w:rsidP="00BF7C7A">
            <w:pPr>
              <w:rPr>
                <w:sz w:val="21"/>
                <w:szCs w:val="21"/>
              </w:rPr>
            </w:pPr>
            <w:proofErr w:type="spellStart"/>
            <w:r w:rsidRPr="00BF7C7A">
              <w:rPr>
                <w:sz w:val="21"/>
                <w:szCs w:val="21"/>
              </w:rPr>
              <w:t>Rotigotine</w:t>
            </w:r>
            <w:proofErr w:type="spellEnd"/>
          </w:p>
        </w:tc>
        <w:tc>
          <w:tcPr>
            <w:tcW w:w="2410" w:type="dxa"/>
          </w:tcPr>
          <w:p w14:paraId="644CA2DF" w14:textId="6CBDAF93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5.2% (2)</w:t>
            </w:r>
          </w:p>
        </w:tc>
        <w:tc>
          <w:tcPr>
            <w:tcW w:w="2472" w:type="dxa"/>
          </w:tcPr>
          <w:p w14:paraId="6B11315B" w14:textId="3FF40149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4DEE3E16" w14:textId="33A3FC53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3DC6359A" w14:textId="47D0BC64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5EF91D2B" w14:textId="63709C3B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Ropinirole</w:t>
            </w:r>
          </w:p>
        </w:tc>
        <w:tc>
          <w:tcPr>
            <w:tcW w:w="2410" w:type="dxa"/>
          </w:tcPr>
          <w:p w14:paraId="15E0F3EF" w14:textId="2154942C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2.6% (1)</w:t>
            </w:r>
          </w:p>
        </w:tc>
        <w:tc>
          <w:tcPr>
            <w:tcW w:w="2472" w:type="dxa"/>
          </w:tcPr>
          <w:p w14:paraId="71FACE38" w14:textId="0EE2315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DD81F79" w14:textId="3513CF06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14DAAA9E" w14:textId="573C21F3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51068B3" w14:textId="722669DC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Amantadine (%, n)</w:t>
            </w:r>
          </w:p>
        </w:tc>
        <w:tc>
          <w:tcPr>
            <w:tcW w:w="2410" w:type="dxa"/>
          </w:tcPr>
          <w:p w14:paraId="418D90AA" w14:textId="3BBF6FC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15.3% (19)</w:t>
            </w:r>
          </w:p>
        </w:tc>
        <w:tc>
          <w:tcPr>
            <w:tcW w:w="2472" w:type="dxa"/>
          </w:tcPr>
          <w:p w14:paraId="6EF3AA56" w14:textId="168B14E5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38EF3B93" w14:textId="53F9EEF9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40CEE335" w14:textId="4CCD3724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22D6FD3" w14:textId="46B80260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Entacapone (%, n)</w:t>
            </w:r>
          </w:p>
        </w:tc>
        <w:tc>
          <w:tcPr>
            <w:tcW w:w="2410" w:type="dxa"/>
          </w:tcPr>
          <w:p w14:paraId="0427E126" w14:textId="50FA438C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14.5% (18)</w:t>
            </w:r>
          </w:p>
        </w:tc>
        <w:tc>
          <w:tcPr>
            <w:tcW w:w="2472" w:type="dxa"/>
          </w:tcPr>
          <w:p w14:paraId="08F52D13" w14:textId="70AD6390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7C93784" w14:textId="36519F79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49D7939A" w14:textId="7D63C22E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26C4097" w14:textId="1C3FF49E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Benzodiazepines and sleeping                    inducing medication (%, n)</w:t>
            </w:r>
          </w:p>
        </w:tc>
        <w:tc>
          <w:tcPr>
            <w:tcW w:w="2410" w:type="dxa"/>
          </w:tcPr>
          <w:p w14:paraId="4DF6BE24" w14:textId="4CDB167D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12% (15)</w:t>
            </w:r>
          </w:p>
        </w:tc>
        <w:tc>
          <w:tcPr>
            <w:tcW w:w="2472" w:type="dxa"/>
          </w:tcPr>
          <w:p w14:paraId="0DE94A64" w14:textId="24E28A0B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1.7% (1)</w:t>
            </w:r>
          </w:p>
        </w:tc>
        <w:tc>
          <w:tcPr>
            <w:tcW w:w="929" w:type="dxa"/>
          </w:tcPr>
          <w:p w14:paraId="771D4908" w14:textId="59326140" w:rsidR="00774AD1" w:rsidRPr="00BF7C7A" w:rsidRDefault="00182F55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0.02</w:t>
            </w:r>
          </w:p>
        </w:tc>
      </w:tr>
      <w:tr w:rsidR="00774AD1" w:rsidRPr="00BF7C7A" w14:paraId="38CFDA02" w14:textId="3987AE85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84E6191" w14:textId="5C981FC6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Laxatives (%, n)</w:t>
            </w:r>
          </w:p>
        </w:tc>
        <w:tc>
          <w:tcPr>
            <w:tcW w:w="2410" w:type="dxa"/>
          </w:tcPr>
          <w:p w14:paraId="1201C0BC" w14:textId="040C74A7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12.4% (14)</w:t>
            </w:r>
          </w:p>
        </w:tc>
        <w:tc>
          <w:tcPr>
            <w:tcW w:w="2472" w:type="dxa"/>
          </w:tcPr>
          <w:p w14:paraId="684BA398" w14:textId="6218F37E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1.7% (1)</w:t>
            </w:r>
          </w:p>
        </w:tc>
        <w:tc>
          <w:tcPr>
            <w:tcW w:w="929" w:type="dxa"/>
          </w:tcPr>
          <w:p w14:paraId="253EEC79" w14:textId="203E0486" w:rsidR="00774AD1" w:rsidRPr="00BF7C7A" w:rsidRDefault="00182F55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  <w:r w:rsidRPr="00BF7C7A">
              <w:rPr>
                <w:b/>
                <w:bCs/>
                <w:sz w:val="21"/>
                <w:szCs w:val="21"/>
              </w:rPr>
              <w:t>0.02</w:t>
            </w:r>
          </w:p>
        </w:tc>
      </w:tr>
      <w:tr w:rsidR="00774AD1" w:rsidRPr="00BF7C7A" w14:paraId="718FAEFB" w14:textId="7A02B4B9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FC29E9B" w14:textId="4CF1701D" w:rsidR="00774AD1" w:rsidRPr="00BF7C7A" w:rsidRDefault="00774AD1" w:rsidP="00BF7C7A">
            <w:pPr>
              <w:rPr>
                <w:b w:val="0"/>
                <w:bCs w:val="0"/>
                <w:sz w:val="21"/>
                <w:szCs w:val="21"/>
              </w:rPr>
            </w:pPr>
            <w:r w:rsidRPr="00BF7C7A">
              <w:rPr>
                <w:b w:val="0"/>
                <w:bCs w:val="0"/>
                <w:sz w:val="21"/>
                <w:szCs w:val="21"/>
              </w:rPr>
              <w:t>Disease-associated features</w:t>
            </w:r>
          </w:p>
        </w:tc>
        <w:tc>
          <w:tcPr>
            <w:tcW w:w="2410" w:type="dxa"/>
          </w:tcPr>
          <w:p w14:paraId="284B6984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2472" w:type="dxa"/>
          </w:tcPr>
          <w:p w14:paraId="701BB22F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929" w:type="dxa"/>
          </w:tcPr>
          <w:p w14:paraId="54DC0415" w14:textId="77777777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</w:tr>
      <w:tr w:rsidR="00774AD1" w:rsidRPr="00BF7C7A" w14:paraId="1FC134EC" w14:textId="1795829B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88DBE30" w14:textId="5307C89E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bCs w:val="0"/>
                <w:sz w:val="21"/>
                <w:szCs w:val="21"/>
              </w:rPr>
              <w:t>MDS-UPDRS part 1</w:t>
            </w:r>
          </w:p>
        </w:tc>
        <w:tc>
          <w:tcPr>
            <w:tcW w:w="2410" w:type="dxa"/>
          </w:tcPr>
          <w:p w14:paraId="30C5F867" w14:textId="78D315F3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 ± 6</w:t>
            </w:r>
          </w:p>
        </w:tc>
        <w:tc>
          <w:tcPr>
            <w:tcW w:w="2472" w:type="dxa"/>
          </w:tcPr>
          <w:p w14:paraId="35D74D67" w14:textId="724221B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5DC03A24" w14:textId="745FB6B3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1A5CEBD2" w14:textId="32835C02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85B240C" w14:textId="6CA83F7F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Clinical state “On” (%, n)</w:t>
            </w:r>
          </w:p>
        </w:tc>
        <w:tc>
          <w:tcPr>
            <w:tcW w:w="2410" w:type="dxa"/>
          </w:tcPr>
          <w:p w14:paraId="6B82B793" w14:textId="2D873172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89.3% (100)</w:t>
            </w:r>
          </w:p>
        </w:tc>
        <w:tc>
          <w:tcPr>
            <w:tcW w:w="2472" w:type="dxa"/>
          </w:tcPr>
          <w:p w14:paraId="10C96CBB" w14:textId="6E13FD09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46D85E6" w14:textId="16F0F7C0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393D70B2" w14:textId="28B6CC35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81DD88F" w14:textId="39F46F1E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2</w:t>
            </w:r>
          </w:p>
        </w:tc>
        <w:tc>
          <w:tcPr>
            <w:tcW w:w="2410" w:type="dxa"/>
          </w:tcPr>
          <w:p w14:paraId="1C09BFA4" w14:textId="315C93BC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9.2 ± 6.8</w:t>
            </w:r>
          </w:p>
        </w:tc>
        <w:tc>
          <w:tcPr>
            <w:tcW w:w="2472" w:type="dxa"/>
          </w:tcPr>
          <w:p w14:paraId="3D09BA50" w14:textId="0FDF2BD9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7C4C647" w14:textId="355D4B01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536F0194" w14:textId="22F74E0A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C96265" w14:textId="7157ABA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Clinical state “Off” (%, n)</w:t>
            </w:r>
          </w:p>
        </w:tc>
        <w:tc>
          <w:tcPr>
            <w:tcW w:w="2410" w:type="dxa"/>
          </w:tcPr>
          <w:p w14:paraId="14D097F5" w14:textId="4A576BE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10.7% (12)</w:t>
            </w:r>
          </w:p>
        </w:tc>
        <w:tc>
          <w:tcPr>
            <w:tcW w:w="2472" w:type="dxa"/>
          </w:tcPr>
          <w:p w14:paraId="21624EA0" w14:textId="7FA1D4C2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4798A9C" w14:textId="57133F6D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42E781A" w14:textId="45C7464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0B02775" w14:textId="4B616376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2</w:t>
            </w:r>
          </w:p>
        </w:tc>
        <w:tc>
          <w:tcPr>
            <w:tcW w:w="2410" w:type="dxa"/>
          </w:tcPr>
          <w:p w14:paraId="50E668ED" w14:textId="7E78AAB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14.8 ± 10.3</w:t>
            </w:r>
          </w:p>
        </w:tc>
        <w:tc>
          <w:tcPr>
            <w:tcW w:w="2472" w:type="dxa"/>
          </w:tcPr>
          <w:p w14:paraId="3254397E" w14:textId="7E6C07C4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8DF25AD" w14:textId="18751F2D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A497EFF" w14:textId="73B50D33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A5B6915" w14:textId="72318373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3</w:t>
            </w:r>
          </w:p>
        </w:tc>
        <w:tc>
          <w:tcPr>
            <w:tcW w:w="2410" w:type="dxa"/>
          </w:tcPr>
          <w:p w14:paraId="5FDB16D4" w14:textId="1B9B930A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27.4 ± 16</w:t>
            </w:r>
          </w:p>
        </w:tc>
        <w:tc>
          <w:tcPr>
            <w:tcW w:w="2472" w:type="dxa"/>
          </w:tcPr>
          <w:p w14:paraId="7307B8CD" w14:textId="1172DC9F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3C855F1" w14:textId="6039CE5F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2A7D6A90" w14:textId="3795AE2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649B9486" w14:textId="708CCDF5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Tremor score</w:t>
            </w:r>
          </w:p>
        </w:tc>
        <w:tc>
          <w:tcPr>
            <w:tcW w:w="2410" w:type="dxa"/>
          </w:tcPr>
          <w:p w14:paraId="3F9DC6E6" w14:textId="0056E92A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4.5 ± 4.9</w:t>
            </w:r>
          </w:p>
        </w:tc>
        <w:tc>
          <w:tcPr>
            <w:tcW w:w="2472" w:type="dxa"/>
          </w:tcPr>
          <w:p w14:paraId="22E446D0" w14:textId="7E868152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04460EF2" w14:textId="24AF083A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207F913E" w14:textId="0EB7FD0F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09BEBBA" w14:textId="64C62185" w:rsidR="00774AD1" w:rsidRPr="00BF7C7A" w:rsidRDefault="00774AD1" w:rsidP="00BF7C7A">
            <w:pPr>
              <w:rPr>
                <w:caps/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Akinesia score</w:t>
            </w:r>
          </w:p>
        </w:tc>
        <w:tc>
          <w:tcPr>
            <w:tcW w:w="2410" w:type="dxa"/>
          </w:tcPr>
          <w:p w14:paraId="38AF1EA1" w14:textId="0864AB6D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16.5 ± 10.5</w:t>
            </w:r>
          </w:p>
        </w:tc>
        <w:tc>
          <w:tcPr>
            <w:tcW w:w="2472" w:type="dxa"/>
          </w:tcPr>
          <w:p w14:paraId="3136DB15" w14:textId="091C2486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4373E331" w14:textId="69DB5A41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B41CBA2" w14:textId="4FDFB839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1F1E0A5B" w14:textId="2000CC5A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H &amp; Y stage</w:t>
            </w:r>
          </w:p>
        </w:tc>
        <w:tc>
          <w:tcPr>
            <w:tcW w:w="2410" w:type="dxa"/>
          </w:tcPr>
          <w:p w14:paraId="5E801801" w14:textId="5AD8D19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2.2 ± 0.6</w:t>
            </w:r>
          </w:p>
        </w:tc>
        <w:tc>
          <w:tcPr>
            <w:tcW w:w="2472" w:type="dxa"/>
          </w:tcPr>
          <w:p w14:paraId="7325C6A0" w14:textId="17B1D45E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54AB5259" w14:textId="1F2270DE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7A262165" w14:textId="4B8312E6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FD1BE93" w14:textId="59AC54C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MDS-UPDRS part 4</w:t>
            </w:r>
          </w:p>
        </w:tc>
        <w:tc>
          <w:tcPr>
            <w:tcW w:w="2410" w:type="dxa"/>
          </w:tcPr>
          <w:p w14:paraId="3C88E54B" w14:textId="415DBD6A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5.1 ± 3.8</w:t>
            </w:r>
          </w:p>
        </w:tc>
        <w:tc>
          <w:tcPr>
            <w:tcW w:w="2472" w:type="dxa"/>
          </w:tcPr>
          <w:p w14:paraId="6AD14A8E" w14:textId="1C2CC9A8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7E78D0FA" w14:textId="0750B4CA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25FC0B7" w14:textId="7BF5F556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A2D61FD" w14:textId="433D96C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Dyskinesia</w:t>
            </w:r>
          </w:p>
        </w:tc>
        <w:tc>
          <w:tcPr>
            <w:tcW w:w="2410" w:type="dxa"/>
          </w:tcPr>
          <w:p w14:paraId="2A150000" w14:textId="318DE515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0.8 ± 1.3</w:t>
            </w:r>
          </w:p>
        </w:tc>
        <w:tc>
          <w:tcPr>
            <w:tcW w:w="2472" w:type="dxa"/>
          </w:tcPr>
          <w:p w14:paraId="02ADD8B8" w14:textId="7D40EBA6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25D1E173" w14:textId="3E346F71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0E3ABC5F" w14:textId="7FC2C055" w:rsidTr="00BF7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48A2FD04" w14:textId="2CCE68D9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Motor fluctuation score</w:t>
            </w:r>
          </w:p>
        </w:tc>
        <w:tc>
          <w:tcPr>
            <w:tcW w:w="2410" w:type="dxa"/>
          </w:tcPr>
          <w:p w14:paraId="2FD159D2" w14:textId="602EA8FA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3.7 ± 2.8</w:t>
            </w:r>
          </w:p>
        </w:tc>
        <w:tc>
          <w:tcPr>
            <w:tcW w:w="2472" w:type="dxa"/>
          </w:tcPr>
          <w:p w14:paraId="0D6F9F30" w14:textId="3E9D334B" w:rsidR="00774AD1" w:rsidRPr="00BF7C7A" w:rsidRDefault="00774AD1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6D5968A0" w14:textId="7CA41584" w:rsidR="00774AD1" w:rsidRPr="00BF7C7A" w:rsidRDefault="007E4D4F" w:rsidP="00BF7C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  <w:tr w:rsidR="00774AD1" w:rsidRPr="00BF7C7A" w14:paraId="65C64A42" w14:textId="1A0FA3C2" w:rsidTr="00BF7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2B106168" w14:textId="05991FC8" w:rsidR="00774AD1" w:rsidRPr="00BF7C7A" w:rsidRDefault="00774AD1" w:rsidP="00BF7C7A">
            <w:pPr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Painful dystonia</w:t>
            </w:r>
          </w:p>
        </w:tc>
        <w:tc>
          <w:tcPr>
            <w:tcW w:w="2410" w:type="dxa"/>
          </w:tcPr>
          <w:p w14:paraId="2E759026" w14:textId="34988E71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0.5 ± 0.8</w:t>
            </w:r>
          </w:p>
        </w:tc>
        <w:tc>
          <w:tcPr>
            <w:tcW w:w="2472" w:type="dxa"/>
          </w:tcPr>
          <w:p w14:paraId="6F27D293" w14:textId="2FC5A4FB" w:rsidR="00774AD1" w:rsidRPr="00BF7C7A" w:rsidRDefault="00774AD1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  <w:tc>
          <w:tcPr>
            <w:tcW w:w="929" w:type="dxa"/>
          </w:tcPr>
          <w:p w14:paraId="650A1707" w14:textId="3DDA767E" w:rsidR="00774AD1" w:rsidRPr="00BF7C7A" w:rsidRDefault="007E4D4F" w:rsidP="00BF7C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BF7C7A">
              <w:rPr>
                <w:sz w:val="21"/>
                <w:szCs w:val="21"/>
              </w:rPr>
              <w:t>-</w:t>
            </w:r>
          </w:p>
        </w:tc>
      </w:tr>
    </w:tbl>
    <w:p w14:paraId="5F9B9A69" w14:textId="77777777" w:rsidR="0030476B" w:rsidRPr="00BF7C7A" w:rsidRDefault="0030476B" w:rsidP="00BF7C7A">
      <w:pPr>
        <w:jc w:val="center"/>
        <w:rPr>
          <w:sz w:val="21"/>
          <w:szCs w:val="21"/>
        </w:rPr>
      </w:pPr>
    </w:p>
    <w:p w14:paraId="16418522" w14:textId="77777777" w:rsidR="00BB1855" w:rsidRPr="00BF7C7A" w:rsidRDefault="00BB1855" w:rsidP="00BF7C7A">
      <w:pPr>
        <w:jc w:val="center"/>
        <w:rPr>
          <w:sz w:val="21"/>
          <w:szCs w:val="21"/>
        </w:rPr>
      </w:pPr>
    </w:p>
    <w:p w14:paraId="29143AEE" w14:textId="53649DEA" w:rsidR="00BB1855" w:rsidRPr="00BF7C7A" w:rsidRDefault="00BB1855" w:rsidP="00BF7C7A">
      <w:pPr>
        <w:jc w:val="center"/>
        <w:rPr>
          <w:sz w:val="21"/>
          <w:szCs w:val="21"/>
        </w:rPr>
      </w:pPr>
      <w:r w:rsidRPr="00BF7C7A">
        <w:rPr>
          <w:sz w:val="21"/>
          <w:szCs w:val="21"/>
        </w:rPr>
        <w:t>125</w:t>
      </w:r>
    </w:p>
    <w:sectPr w:rsidR="00BB1855" w:rsidRPr="00BF7C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6B"/>
    <w:rsid w:val="00171BD9"/>
    <w:rsid w:val="00182F55"/>
    <w:rsid w:val="0030476B"/>
    <w:rsid w:val="00507B51"/>
    <w:rsid w:val="005F6007"/>
    <w:rsid w:val="006463C3"/>
    <w:rsid w:val="00774AD1"/>
    <w:rsid w:val="007E4D4F"/>
    <w:rsid w:val="008A1907"/>
    <w:rsid w:val="009E22C5"/>
    <w:rsid w:val="00B7392D"/>
    <w:rsid w:val="00B82C30"/>
    <w:rsid w:val="00BB1855"/>
    <w:rsid w:val="00BC61A8"/>
    <w:rsid w:val="00BF7C7A"/>
    <w:rsid w:val="00E23210"/>
    <w:rsid w:val="00EE1BD8"/>
    <w:rsid w:val="00F1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BDA6A"/>
  <w15:chartTrackingRefBased/>
  <w15:docId w15:val="{C9B66A4A-F5F6-F74A-8131-79315BC8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3210"/>
    <w:rPr>
      <w:color w:val="666666"/>
    </w:rPr>
  </w:style>
  <w:style w:type="table" w:styleId="PlainTable1">
    <w:name w:val="Plain Table 1"/>
    <w:basedOn w:val="TableNormal"/>
    <w:uiPriority w:val="41"/>
    <w:rsid w:val="00BF7C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BF7C7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BF7C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Castaneda Mogollon</dc:creator>
  <cp:keywords/>
  <dc:description/>
  <cp:lastModifiedBy>Daniel Castaneda Mogollon</cp:lastModifiedBy>
  <cp:revision>2</cp:revision>
  <dcterms:created xsi:type="dcterms:W3CDTF">2026-04-23T00:54:00Z</dcterms:created>
  <dcterms:modified xsi:type="dcterms:W3CDTF">2026-04-23T04:03:00Z</dcterms:modified>
</cp:coreProperties>
</file>