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39"/>
        <w:gridCol w:w="2410"/>
        <w:gridCol w:w="2472"/>
        <w:gridCol w:w="929"/>
      </w:tblGrid>
      <w:tr w:rsidR="00774AD1" w:rsidRPr="00BF7C7A" w14:paraId="170C79EC" w14:textId="7BE91127" w:rsidTr="00BF7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3181252" w14:textId="77777777" w:rsidR="00774AD1" w:rsidRPr="00BF7C7A" w:rsidRDefault="00774AD1" w:rsidP="00BF7C7A">
            <w:pPr>
              <w:jc w:val="center"/>
              <w:rPr>
                <w:sz w:val="21"/>
                <w:szCs w:val="21"/>
              </w:rPr>
            </w:pPr>
            <w:bookmarkStart w:id="0" w:name="OLE_LINK1"/>
          </w:p>
        </w:tc>
        <w:tc>
          <w:tcPr>
            <w:tcW w:w="2410" w:type="dxa"/>
          </w:tcPr>
          <w:p w14:paraId="6D8386D0" w14:textId="29A9C5EE" w:rsidR="00774AD1" w:rsidRPr="00BF7C7A" w:rsidRDefault="00774AD1" w:rsidP="00BF7C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PD Patients (n = 125)</w:t>
            </w:r>
          </w:p>
        </w:tc>
        <w:tc>
          <w:tcPr>
            <w:tcW w:w="2472" w:type="dxa"/>
          </w:tcPr>
          <w:p w14:paraId="69D7CE26" w14:textId="203869D1" w:rsidR="00774AD1" w:rsidRPr="00BF7C7A" w:rsidRDefault="00774AD1" w:rsidP="00BF7C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Healthy Controls (n = 59)</w:t>
            </w:r>
          </w:p>
        </w:tc>
        <w:tc>
          <w:tcPr>
            <w:tcW w:w="929" w:type="dxa"/>
          </w:tcPr>
          <w:p w14:paraId="3744006D" w14:textId="301F7554" w:rsidR="00774AD1" w:rsidRPr="00BF7C7A" w:rsidRDefault="00774AD1" w:rsidP="00BF7C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1"/>
                <w:szCs w:val="21"/>
              </w:rPr>
            </w:pPr>
            <w:r w:rsidRPr="00BF7C7A">
              <w:rPr>
                <w:b w:val="0"/>
                <w:bCs w:val="0"/>
                <w:i/>
                <w:iCs/>
                <w:sz w:val="21"/>
                <w:szCs w:val="21"/>
              </w:rPr>
              <w:t>p-</w:t>
            </w:r>
            <w:proofErr w:type="spellStart"/>
            <w:r w:rsidRPr="00BF7C7A">
              <w:rPr>
                <w:b w:val="0"/>
                <w:bCs w:val="0"/>
                <w:i/>
                <w:iCs/>
                <w:sz w:val="21"/>
                <w:szCs w:val="21"/>
              </w:rPr>
              <w:t>val</w:t>
            </w:r>
            <w:proofErr w:type="spellEnd"/>
          </w:p>
        </w:tc>
      </w:tr>
      <w:tr w:rsidR="00774AD1" w:rsidRPr="00BF7C7A" w14:paraId="4F69FCF5" w14:textId="46D127CB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4AE1EB6" w14:textId="49E259DC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Demographics</w:t>
            </w:r>
          </w:p>
        </w:tc>
        <w:tc>
          <w:tcPr>
            <w:tcW w:w="2410" w:type="dxa"/>
          </w:tcPr>
          <w:p w14:paraId="36DD0D00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2472" w:type="dxa"/>
          </w:tcPr>
          <w:p w14:paraId="59488D85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60F07A8D" w14:textId="51FFEB9E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22273BB1" w14:textId="049A4AF8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01A3472" w14:textId="1F220F78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Age</w:t>
            </w:r>
          </w:p>
        </w:tc>
        <w:tc>
          <w:tcPr>
            <w:tcW w:w="2410" w:type="dxa"/>
          </w:tcPr>
          <w:p w14:paraId="785AD366" w14:textId="23D8FE9A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68 ± 8</w:t>
            </w:r>
          </w:p>
        </w:tc>
        <w:tc>
          <w:tcPr>
            <w:tcW w:w="2472" w:type="dxa"/>
          </w:tcPr>
          <w:p w14:paraId="4F6CF607" w14:textId="3B8F8FD6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67.5 ± 10</w:t>
            </w:r>
          </w:p>
        </w:tc>
        <w:tc>
          <w:tcPr>
            <w:tcW w:w="929" w:type="dxa"/>
          </w:tcPr>
          <w:p w14:paraId="2E3AB41B" w14:textId="68AB715A" w:rsidR="00774AD1" w:rsidRPr="00BF7C7A" w:rsidRDefault="00BC61A8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0.78</w:t>
            </w:r>
          </w:p>
        </w:tc>
      </w:tr>
      <w:tr w:rsidR="00774AD1" w:rsidRPr="00BF7C7A" w14:paraId="3B44F9E7" w14:textId="1D1C4980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629C446" w14:textId="78B82EE1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Sex (%M, n)</w:t>
            </w:r>
          </w:p>
        </w:tc>
        <w:tc>
          <w:tcPr>
            <w:tcW w:w="2410" w:type="dxa"/>
          </w:tcPr>
          <w:p w14:paraId="1B5B9C81" w14:textId="5FB2BC98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61.6% (77)</w:t>
            </w:r>
          </w:p>
        </w:tc>
        <w:tc>
          <w:tcPr>
            <w:tcW w:w="2472" w:type="dxa"/>
          </w:tcPr>
          <w:p w14:paraId="248FC9FF" w14:textId="149C9171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39 % (23)</w:t>
            </w:r>
          </w:p>
        </w:tc>
        <w:tc>
          <w:tcPr>
            <w:tcW w:w="929" w:type="dxa"/>
          </w:tcPr>
          <w:p w14:paraId="613C773C" w14:textId="066D47F1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0.004</w:t>
            </w:r>
          </w:p>
        </w:tc>
      </w:tr>
      <w:tr w:rsidR="00774AD1" w:rsidRPr="00BF7C7A" w14:paraId="24695583" w14:textId="67B71A6D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033EA95" w14:textId="4CEB681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BMI (kg/m2)</w:t>
            </w:r>
          </w:p>
        </w:tc>
        <w:tc>
          <w:tcPr>
            <w:tcW w:w="2410" w:type="dxa"/>
          </w:tcPr>
          <w:p w14:paraId="42BB43E6" w14:textId="37F28D48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26.3 ± 5.5</w:t>
            </w:r>
          </w:p>
        </w:tc>
        <w:tc>
          <w:tcPr>
            <w:tcW w:w="2472" w:type="dxa"/>
          </w:tcPr>
          <w:p w14:paraId="2528AC5E" w14:textId="2673609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27.2 ± 5</w:t>
            </w:r>
          </w:p>
        </w:tc>
        <w:tc>
          <w:tcPr>
            <w:tcW w:w="929" w:type="dxa"/>
          </w:tcPr>
          <w:p w14:paraId="767DBB6F" w14:textId="3921CC19" w:rsidR="00774AD1" w:rsidRPr="00BF7C7A" w:rsidRDefault="00BC61A8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0.27</w:t>
            </w:r>
          </w:p>
        </w:tc>
      </w:tr>
      <w:tr w:rsidR="00774AD1" w:rsidRPr="00BF7C7A" w14:paraId="367EC06C" w14:textId="508C8A7C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8024160" w14:textId="37C0C33C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Lifestyle factors</w:t>
            </w:r>
          </w:p>
        </w:tc>
        <w:tc>
          <w:tcPr>
            <w:tcW w:w="2410" w:type="dxa"/>
          </w:tcPr>
          <w:p w14:paraId="09930853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2472" w:type="dxa"/>
          </w:tcPr>
          <w:p w14:paraId="68B302C9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3AA985F2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30F31E19" w14:textId="14847905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7A8BC30" w14:textId="7E055262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PASE Score</w:t>
            </w:r>
          </w:p>
        </w:tc>
        <w:tc>
          <w:tcPr>
            <w:tcW w:w="2410" w:type="dxa"/>
          </w:tcPr>
          <w:p w14:paraId="5F4845D1" w14:textId="3797C1AE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120 ± 68</w:t>
            </w:r>
          </w:p>
        </w:tc>
        <w:tc>
          <w:tcPr>
            <w:tcW w:w="2472" w:type="dxa"/>
          </w:tcPr>
          <w:p w14:paraId="72AB4E98" w14:textId="063029B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138.1 ± 57.1</w:t>
            </w:r>
          </w:p>
        </w:tc>
        <w:tc>
          <w:tcPr>
            <w:tcW w:w="929" w:type="dxa"/>
          </w:tcPr>
          <w:p w14:paraId="39238211" w14:textId="5B6E95E7" w:rsidR="00774AD1" w:rsidRPr="00BF7C7A" w:rsidRDefault="00BC61A8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0.008</w:t>
            </w:r>
          </w:p>
        </w:tc>
      </w:tr>
      <w:tr w:rsidR="00774AD1" w:rsidRPr="00BF7C7A" w14:paraId="26D319EF" w14:textId="2241AA6F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9D668BD" w14:textId="0A832BA8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Medical history</w:t>
            </w:r>
          </w:p>
        </w:tc>
        <w:tc>
          <w:tcPr>
            <w:tcW w:w="2410" w:type="dxa"/>
          </w:tcPr>
          <w:p w14:paraId="317D1BB0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2472" w:type="dxa"/>
          </w:tcPr>
          <w:p w14:paraId="279C00B0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4C341926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143811D8" w14:textId="05B5A2D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8A53A7A" w14:textId="2D36687F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PD age at onset</w:t>
            </w:r>
          </w:p>
        </w:tc>
        <w:tc>
          <w:tcPr>
            <w:tcW w:w="2410" w:type="dxa"/>
          </w:tcPr>
          <w:p w14:paraId="45C109D3" w14:textId="34B87DAF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63 ± 9</w:t>
            </w:r>
          </w:p>
        </w:tc>
        <w:tc>
          <w:tcPr>
            <w:tcW w:w="2472" w:type="dxa"/>
          </w:tcPr>
          <w:p w14:paraId="19A2C3A3" w14:textId="00BCC738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43407DD" w14:textId="2A35C0A9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53620828" w14:textId="7B1E7E40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919347D" w14:textId="1B53A362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Functional constipation (%, n)</w:t>
            </w:r>
          </w:p>
        </w:tc>
        <w:tc>
          <w:tcPr>
            <w:tcW w:w="2410" w:type="dxa"/>
          </w:tcPr>
          <w:p w14:paraId="56FF9B7E" w14:textId="0264E570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25.6% (32)</w:t>
            </w:r>
          </w:p>
        </w:tc>
        <w:tc>
          <w:tcPr>
            <w:tcW w:w="2472" w:type="dxa"/>
          </w:tcPr>
          <w:p w14:paraId="26FD02D2" w14:textId="6BDE1789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3.5% (2)</w:t>
            </w:r>
          </w:p>
        </w:tc>
        <w:tc>
          <w:tcPr>
            <w:tcW w:w="929" w:type="dxa"/>
          </w:tcPr>
          <w:p w14:paraId="5BDE5CB4" w14:textId="02CFD0BC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0.0002</w:t>
            </w:r>
          </w:p>
        </w:tc>
      </w:tr>
      <w:tr w:rsidR="00774AD1" w:rsidRPr="00BF7C7A" w14:paraId="1E8A41D8" w14:textId="7C973E2D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394E614" w14:textId="72AFB8DF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IBS (%, n)</w:t>
            </w:r>
          </w:p>
        </w:tc>
        <w:tc>
          <w:tcPr>
            <w:tcW w:w="2410" w:type="dxa"/>
          </w:tcPr>
          <w:p w14:paraId="324B91AA" w14:textId="3D7D814A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90.8% (109)</w:t>
            </w:r>
          </w:p>
        </w:tc>
        <w:tc>
          <w:tcPr>
            <w:tcW w:w="2472" w:type="dxa"/>
          </w:tcPr>
          <w:p w14:paraId="181FFF1A" w14:textId="096B8C68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72.9% (43)</w:t>
            </w:r>
          </w:p>
        </w:tc>
        <w:tc>
          <w:tcPr>
            <w:tcW w:w="929" w:type="dxa"/>
          </w:tcPr>
          <w:p w14:paraId="51394DEA" w14:textId="50F73C27" w:rsidR="00774AD1" w:rsidRPr="00BF7C7A" w:rsidRDefault="00182F55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0.003</w:t>
            </w:r>
          </w:p>
        </w:tc>
      </w:tr>
      <w:tr w:rsidR="00774AD1" w:rsidRPr="00BF7C7A" w14:paraId="6F9B48B0" w14:textId="1E6EF6BB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C6DA485" w14:textId="13183D88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IBS Symptom severity</w:t>
            </w:r>
            <w:r w:rsidR="00BF7C7A" w:rsidRPr="00BF7C7A">
              <w:rPr>
                <w:sz w:val="21"/>
                <w:szCs w:val="21"/>
              </w:rPr>
              <w:t xml:space="preserve"> </w:t>
            </w:r>
            <w:r w:rsidRPr="00BF7C7A">
              <w:rPr>
                <w:sz w:val="21"/>
                <w:szCs w:val="21"/>
              </w:rPr>
              <w:t>score</w:t>
            </w:r>
          </w:p>
        </w:tc>
        <w:tc>
          <w:tcPr>
            <w:tcW w:w="2410" w:type="dxa"/>
          </w:tcPr>
          <w:p w14:paraId="254D641A" w14:textId="2C602B3F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88.3 ± 62</w:t>
            </w:r>
          </w:p>
        </w:tc>
        <w:tc>
          <w:tcPr>
            <w:tcW w:w="2472" w:type="dxa"/>
          </w:tcPr>
          <w:p w14:paraId="2505EE7F" w14:textId="3CE6BD18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65.4 ± 59.6</w:t>
            </w:r>
          </w:p>
        </w:tc>
        <w:tc>
          <w:tcPr>
            <w:tcW w:w="929" w:type="dxa"/>
          </w:tcPr>
          <w:p w14:paraId="21FC2CEA" w14:textId="6601F0F8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0.01</w:t>
            </w:r>
          </w:p>
        </w:tc>
      </w:tr>
      <w:tr w:rsidR="00774AD1" w:rsidRPr="00BF7C7A" w14:paraId="2769AE4E" w14:textId="6253E3B3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F2DEC4E" w14:textId="4A52D2B3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Treatment and supplements</w:t>
            </w:r>
          </w:p>
        </w:tc>
        <w:tc>
          <w:tcPr>
            <w:tcW w:w="2410" w:type="dxa"/>
          </w:tcPr>
          <w:p w14:paraId="5FCF4F04" w14:textId="77777777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2472" w:type="dxa"/>
          </w:tcPr>
          <w:p w14:paraId="2F172EC3" w14:textId="77777777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475329EF" w14:textId="77777777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3A03507D" w14:textId="5C7CA2D8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D0704DD" w14:textId="7DFE8132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Patient on medication (%, n)</w:t>
            </w:r>
          </w:p>
        </w:tc>
        <w:tc>
          <w:tcPr>
            <w:tcW w:w="2410" w:type="dxa"/>
          </w:tcPr>
          <w:p w14:paraId="11528707" w14:textId="1CC8B815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99.2% (122)</w:t>
            </w:r>
          </w:p>
        </w:tc>
        <w:tc>
          <w:tcPr>
            <w:tcW w:w="2472" w:type="dxa"/>
          </w:tcPr>
          <w:p w14:paraId="2612CB05" w14:textId="27AF5393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34801D53" w14:textId="70B2D5A8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AE5AA91" w14:textId="31F1BF5D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C3F94A3" w14:textId="0C26045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Levodopa (%, n)</w:t>
            </w:r>
          </w:p>
        </w:tc>
        <w:tc>
          <w:tcPr>
            <w:tcW w:w="2410" w:type="dxa"/>
          </w:tcPr>
          <w:p w14:paraId="1E35EBBC" w14:textId="311468E2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97.5% (120)</w:t>
            </w:r>
          </w:p>
        </w:tc>
        <w:tc>
          <w:tcPr>
            <w:tcW w:w="2472" w:type="dxa"/>
          </w:tcPr>
          <w:p w14:paraId="15A15FD2" w14:textId="22F775FA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2470DD5" w14:textId="17BB8087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71AD5202" w14:textId="1AEA5CF4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3068FFB" w14:textId="29818AEC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Levodopa dosage (mg)</w:t>
            </w:r>
          </w:p>
        </w:tc>
        <w:tc>
          <w:tcPr>
            <w:tcW w:w="2410" w:type="dxa"/>
          </w:tcPr>
          <w:p w14:paraId="3DCE6DD8" w14:textId="1B4F980D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773± 462</w:t>
            </w:r>
          </w:p>
        </w:tc>
        <w:tc>
          <w:tcPr>
            <w:tcW w:w="2472" w:type="dxa"/>
          </w:tcPr>
          <w:p w14:paraId="3358D342" w14:textId="0A75B424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BFCB570" w14:textId="0F3E7437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40CDA8C2" w14:textId="18C95764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BA6F49A" w14:textId="69BB493D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Dopamine agonists (%, n)</w:t>
            </w:r>
          </w:p>
        </w:tc>
        <w:tc>
          <w:tcPr>
            <w:tcW w:w="2410" w:type="dxa"/>
          </w:tcPr>
          <w:p w14:paraId="0F027D2F" w14:textId="50F58A44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30.3% (38)</w:t>
            </w:r>
          </w:p>
        </w:tc>
        <w:tc>
          <w:tcPr>
            <w:tcW w:w="2472" w:type="dxa"/>
          </w:tcPr>
          <w:p w14:paraId="6D892141" w14:textId="608C850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7F2A58A9" w14:textId="69FD2C28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55619543" w14:textId="16985A96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241CACD" w14:textId="76C63C20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 xml:space="preserve">Domperidone (%, </w:t>
            </w:r>
            <w:proofErr w:type="gramStart"/>
            <w:r w:rsidRPr="00BF7C7A">
              <w:rPr>
                <w:sz w:val="21"/>
                <w:szCs w:val="21"/>
              </w:rPr>
              <w:t>n)*</w:t>
            </w:r>
            <w:proofErr w:type="gramEnd"/>
          </w:p>
        </w:tc>
        <w:tc>
          <w:tcPr>
            <w:tcW w:w="2410" w:type="dxa"/>
          </w:tcPr>
          <w:p w14:paraId="610E16C7" w14:textId="668E7774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15.8% (6)</w:t>
            </w:r>
          </w:p>
        </w:tc>
        <w:tc>
          <w:tcPr>
            <w:tcW w:w="2472" w:type="dxa"/>
          </w:tcPr>
          <w:p w14:paraId="748CB751" w14:textId="09D7F6A6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6DD7E476" w14:textId="3093F3FE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3E7F0AF" w14:textId="0E64770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2890E6C" w14:textId="2DFD8745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Pramipexole (%, n)</w:t>
            </w:r>
          </w:p>
        </w:tc>
        <w:tc>
          <w:tcPr>
            <w:tcW w:w="2410" w:type="dxa"/>
          </w:tcPr>
          <w:p w14:paraId="7EFB0F7C" w14:textId="0BCD7526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76.3% (29)</w:t>
            </w:r>
          </w:p>
        </w:tc>
        <w:tc>
          <w:tcPr>
            <w:tcW w:w="2472" w:type="dxa"/>
          </w:tcPr>
          <w:p w14:paraId="008E087A" w14:textId="3D1DEC03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3F36502F" w14:textId="37041B9C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0D9F62ED" w14:textId="21AEE75A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8F258FC" w14:textId="723B2E6A" w:rsidR="00774AD1" w:rsidRPr="00BF7C7A" w:rsidRDefault="00774AD1" w:rsidP="00BF7C7A">
            <w:pPr>
              <w:rPr>
                <w:sz w:val="21"/>
                <w:szCs w:val="21"/>
              </w:rPr>
            </w:pPr>
            <w:proofErr w:type="spellStart"/>
            <w:r w:rsidRPr="00BF7C7A">
              <w:rPr>
                <w:sz w:val="21"/>
                <w:szCs w:val="21"/>
              </w:rPr>
              <w:t>Rotigotine</w:t>
            </w:r>
            <w:proofErr w:type="spellEnd"/>
          </w:p>
        </w:tc>
        <w:tc>
          <w:tcPr>
            <w:tcW w:w="2410" w:type="dxa"/>
          </w:tcPr>
          <w:p w14:paraId="644CA2DF" w14:textId="6CBDAF93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5.2% (2)</w:t>
            </w:r>
          </w:p>
        </w:tc>
        <w:tc>
          <w:tcPr>
            <w:tcW w:w="2472" w:type="dxa"/>
          </w:tcPr>
          <w:p w14:paraId="6B11315B" w14:textId="3FF40149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4DEE3E16" w14:textId="33A3FC53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3DC6359A" w14:textId="47D0BC64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EF91D2B" w14:textId="63709C3B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Ropinirole</w:t>
            </w:r>
          </w:p>
        </w:tc>
        <w:tc>
          <w:tcPr>
            <w:tcW w:w="2410" w:type="dxa"/>
          </w:tcPr>
          <w:p w14:paraId="15E0F3EF" w14:textId="2154942C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2.6% (1)</w:t>
            </w:r>
          </w:p>
        </w:tc>
        <w:tc>
          <w:tcPr>
            <w:tcW w:w="2472" w:type="dxa"/>
          </w:tcPr>
          <w:p w14:paraId="71FACE38" w14:textId="0EE23154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DD81F79" w14:textId="3513CF06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14DAAA9E" w14:textId="573C21F3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51068B3" w14:textId="722669DC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Amantadine (%, n)</w:t>
            </w:r>
          </w:p>
        </w:tc>
        <w:tc>
          <w:tcPr>
            <w:tcW w:w="2410" w:type="dxa"/>
          </w:tcPr>
          <w:p w14:paraId="418D90AA" w14:textId="3BBF6FC6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15.3% (19)</w:t>
            </w:r>
          </w:p>
        </w:tc>
        <w:tc>
          <w:tcPr>
            <w:tcW w:w="2472" w:type="dxa"/>
          </w:tcPr>
          <w:p w14:paraId="6EF3AA56" w14:textId="168B14E5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38EF3B93" w14:textId="53F9EEF9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40CEE335" w14:textId="4CCD3724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22D6FD3" w14:textId="46B80260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Entacapone (%, n)</w:t>
            </w:r>
          </w:p>
        </w:tc>
        <w:tc>
          <w:tcPr>
            <w:tcW w:w="2410" w:type="dxa"/>
          </w:tcPr>
          <w:p w14:paraId="0427E126" w14:textId="50FA438C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14.5% (18)</w:t>
            </w:r>
          </w:p>
        </w:tc>
        <w:tc>
          <w:tcPr>
            <w:tcW w:w="2472" w:type="dxa"/>
          </w:tcPr>
          <w:p w14:paraId="08F52D13" w14:textId="70AD6390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77C93784" w14:textId="36519F79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49D7939A" w14:textId="7D63C22E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26C4097" w14:textId="1C3FF49E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Benzodiazepines and sleeping                    inducing medication (%, n)</w:t>
            </w:r>
          </w:p>
        </w:tc>
        <w:tc>
          <w:tcPr>
            <w:tcW w:w="2410" w:type="dxa"/>
          </w:tcPr>
          <w:p w14:paraId="4DF6BE24" w14:textId="4CDB167D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12% (15)</w:t>
            </w:r>
          </w:p>
        </w:tc>
        <w:tc>
          <w:tcPr>
            <w:tcW w:w="2472" w:type="dxa"/>
          </w:tcPr>
          <w:p w14:paraId="0DE94A64" w14:textId="24E28A0B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1.7% (1)</w:t>
            </w:r>
          </w:p>
        </w:tc>
        <w:tc>
          <w:tcPr>
            <w:tcW w:w="929" w:type="dxa"/>
          </w:tcPr>
          <w:p w14:paraId="771D4908" w14:textId="59326140" w:rsidR="00774AD1" w:rsidRPr="00BF7C7A" w:rsidRDefault="00182F55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0.02</w:t>
            </w:r>
          </w:p>
        </w:tc>
      </w:tr>
      <w:tr w:rsidR="00774AD1" w:rsidRPr="00BF7C7A" w14:paraId="38CFDA02" w14:textId="3987AE85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84E6191" w14:textId="5C981FC6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Laxatives (%, n)</w:t>
            </w:r>
          </w:p>
        </w:tc>
        <w:tc>
          <w:tcPr>
            <w:tcW w:w="2410" w:type="dxa"/>
          </w:tcPr>
          <w:p w14:paraId="1201C0BC" w14:textId="040C74A7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12.4% (14)</w:t>
            </w:r>
          </w:p>
        </w:tc>
        <w:tc>
          <w:tcPr>
            <w:tcW w:w="2472" w:type="dxa"/>
          </w:tcPr>
          <w:p w14:paraId="684BA398" w14:textId="6218F37E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1.7% (1)</w:t>
            </w:r>
          </w:p>
        </w:tc>
        <w:tc>
          <w:tcPr>
            <w:tcW w:w="929" w:type="dxa"/>
          </w:tcPr>
          <w:p w14:paraId="253EEC79" w14:textId="203E0486" w:rsidR="00774AD1" w:rsidRPr="00BF7C7A" w:rsidRDefault="00182F55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0.02</w:t>
            </w:r>
          </w:p>
        </w:tc>
      </w:tr>
      <w:tr w:rsidR="00774AD1" w:rsidRPr="00BF7C7A" w14:paraId="718FAEFB" w14:textId="7A02B4B9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FC29E9B" w14:textId="4CF1701D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Disease-associated features</w:t>
            </w:r>
          </w:p>
        </w:tc>
        <w:tc>
          <w:tcPr>
            <w:tcW w:w="2410" w:type="dxa"/>
          </w:tcPr>
          <w:p w14:paraId="284B6984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472" w:type="dxa"/>
          </w:tcPr>
          <w:p w14:paraId="701BB22F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54DC0415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1FC134EC" w14:textId="1795829B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88DBE30" w14:textId="5307C89E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bCs w:val="0"/>
                <w:sz w:val="21"/>
                <w:szCs w:val="21"/>
              </w:rPr>
              <w:t>MDS-UPDRS part 1</w:t>
            </w:r>
          </w:p>
        </w:tc>
        <w:tc>
          <w:tcPr>
            <w:tcW w:w="2410" w:type="dxa"/>
          </w:tcPr>
          <w:p w14:paraId="30C5F867" w14:textId="78D315F3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 ± 6</w:t>
            </w:r>
          </w:p>
        </w:tc>
        <w:tc>
          <w:tcPr>
            <w:tcW w:w="2472" w:type="dxa"/>
          </w:tcPr>
          <w:p w14:paraId="35D74D67" w14:textId="724221B4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5DC03A24" w14:textId="745FB6B3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1A5CEBD2" w14:textId="32835C02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85B240C" w14:textId="6CA83F7F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Clinical state “On” (%, n)</w:t>
            </w:r>
          </w:p>
        </w:tc>
        <w:tc>
          <w:tcPr>
            <w:tcW w:w="2410" w:type="dxa"/>
          </w:tcPr>
          <w:p w14:paraId="6B82B793" w14:textId="2D873172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89.3% (100)</w:t>
            </w:r>
          </w:p>
        </w:tc>
        <w:tc>
          <w:tcPr>
            <w:tcW w:w="2472" w:type="dxa"/>
          </w:tcPr>
          <w:p w14:paraId="10C96CBB" w14:textId="6E13FD09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746D85E6" w14:textId="16F0F7C0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393D70B2" w14:textId="28B6CC35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81DD88F" w14:textId="39F46F1E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MDS-UPDRS part 2</w:t>
            </w:r>
          </w:p>
        </w:tc>
        <w:tc>
          <w:tcPr>
            <w:tcW w:w="2410" w:type="dxa"/>
          </w:tcPr>
          <w:p w14:paraId="1C09BFA4" w14:textId="315C93BC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9.2 ± 6.8</w:t>
            </w:r>
          </w:p>
        </w:tc>
        <w:tc>
          <w:tcPr>
            <w:tcW w:w="2472" w:type="dxa"/>
          </w:tcPr>
          <w:p w14:paraId="3D09BA50" w14:textId="0FDF2BD9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7C4C647" w14:textId="355D4B01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536F0194" w14:textId="22F74E0A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C96265" w14:textId="7157ABA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Clinical state “Off” (%, n)</w:t>
            </w:r>
          </w:p>
        </w:tc>
        <w:tc>
          <w:tcPr>
            <w:tcW w:w="2410" w:type="dxa"/>
          </w:tcPr>
          <w:p w14:paraId="14D097F5" w14:textId="4A576BE6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10.7% (12)</w:t>
            </w:r>
          </w:p>
        </w:tc>
        <w:tc>
          <w:tcPr>
            <w:tcW w:w="2472" w:type="dxa"/>
          </w:tcPr>
          <w:p w14:paraId="21624EA0" w14:textId="7FA1D4C2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4798A9C" w14:textId="57133F6D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42E781A" w14:textId="45C7464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0B02775" w14:textId="4B616376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MDS-UPDRS part 2</w:t>
            </w:r>
          </w:p>
        </w:tc>
        <w:tc>
          <w:tcPr>
            <w:tcW w:w="2410" w:type="dxa"/>
          </w:tcPr>
          <w:p w14:paraId="50E668ED" w14:textId="7E78AAB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14.8 ± 10.3</w:t>
            </w:r>
          </w:p>
        </w:tc>
        <w:tc>
          <w:tcPr>
            <w:tcW w:w="2472" w:type="dxa"/>
          </w:tcPr>
          <w:p w14:paraId="3254397E" w14:textId="7E6C07C4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8DF25AD" w14:textId="18751F2D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0A497EFF" w14:textId="73B50D33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A5B6915" w14:textId="72318373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MDS-UPDRS part 3</w:t>
            </w:r>
          </w:p>
        </w:tc>
        <w:tc>
          <w:tcPr>
            <w:tcW w:w="2410" w:type="dxa"/>
          </w:tcPr>
          <w:p w14:paraId="5FDB16D4" w14:textId="1B9B930A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27.4 ± 16</w:t>
            </w:r>
          </w:p>
        </w:tc>
        <w:tc>
          <w:tcPr>
            <w:tcW w:w="2472" w:type="dxa"/>
          </w:tcPr>
          <w:p w14:paraId="7307B8CD" w14:textId="1172DC9F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3C855F1" w14:textId="6039CE5F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2A7D6A90" w14:textId="3795AE2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49B9486" w14:textId="708CCDF5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Tremor score</w:t>
            </w:r>
          </w:p>
        </w:tc>
        <w:tc>
          <w:tcPr>
            <w:tcW w:w="2410" w:type="dxa"/>
          </w:tcPr>
          <w:p w14:paraId="3F9DC6E6" w14:textId="0056E92A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4.5 ± 4.9</w:t>
            </w:r>
          </w:p>
        </w:tc>
        <w:tc>
          <w:tcPr>
            <w:tcW w:w="2472" w:type="dxa"/>
          </w:tcPr>
          <w:p w14:paraId="22E446D0" w14:textId="7E868152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4460EF2" w14:textId="24AF083A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207F913E" w14:textId="0EB7FD0F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09BEBBA" w14:textId="64C62185" w:rsidR="00774AD1" w:rsidRPr="00BF7C7A" w:rsidRDefault="00774AD1" w:rsidP="00BF7C7A">
            <w:pPr>
              <w:rPr>
                <w:caps/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Akinesia score</w:t>
            </w:r>
          </w:p>
        </w:tc>
        <w:tc>
          <w:tcPr>
            <w:tcW w:w="2410" w:type="dxa"/>
          </w:tcPr>
          <w:p w14:paraId="38AF1EA1" w14:textId="0864AB6D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16.5 ± 10.5</w:t>
            </w:r>
          </w:p>
        </w:tc>
        <w:tc>
          <w:tcPr>
            <w:tcW w:w="2472" w:type="dxa"/>
          </w:tcPr>
          <w:p w14:paraId="3136DB15" w14:textId="091C2486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4373E331" w14:textId="69DB5A41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0B41CBA2" w14:textId="4FDFB839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F1E0A5B" w14:textId="2000CC5A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H &amp; Y stage</w:t>
            </w:r>
          </w:p>
        </w:tc>
        <w:tc>
          <w:tcPr>
            <w:tcW w:w="2410" w:type="dxa"/>
          </w:tcPr>
          <w:p w14:paraId="5E801801" w14:textId="5AD8D196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2.2 ± 0.6</w:t>
            </w:r>
          </w:p>
        </w:tc>
        <w:tc>
          <w:tcPr>
            <w:tcW w:w="2472" w:type="dxa"/>
          </w:tcPr>
          <w:p w14:paraId="7325C6A0" w14:textId="17B1D45E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54AB5259" w14:textId="1F2270DE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7A262165" w14:textId="4B8312E6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FD1BE93" w14:textId="59AC54C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MDS-UPDRS part 4</w:t>
            </w:r>
          </w:p>
        </w:tc>
        <w:tc>
          <w:tcPr>
            <w:tcW w:w="2410" w:type="dxa"/>
          </w:tcPr>
          <w:p w14:paraId="3C88E54B" w14:textId="415DBD6A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5.1 ± 3.8</w:t>
            </w:r>
          </w:p>
        </w:tc>
        <w:tc>
          <w:tcPr>
            <w:tcW w:w="2472" w:type="dxa"/>
          </w:tcPr>
          <w:p w14:paraId="6AD14A8E" w14:textId="1C2CC9A8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7E78D0FA" w14:textId="0750B4CA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25FC0B7" w14:textId="7BF5F556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A2D61FD" w14:textId="433D96C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Dyskinesia</w:t>
            </w:r>
          </w:p>
        </w:tc>
        <w:tc>
          <w:tcPr>
            <w:tcW w:w="2410" w:type="dxa"/>
          </w:tcPr>
          <w:p w14:paraId="2A150000" w14:textId="318DE51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0.8 ± 1.3</w:t>
            </w:r>
          </w:p>
        </w:tc>
        <w:tc>
          <w:tcPr>
            <w:tcW w:w="2472" w:type="dxa"/>
          </w:tcPr>
          <w:p w14:paraId="02ADD8B8" w14:textId="7D40EBA6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5D1E173" w14:textId="3E346F71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0E3ABC5F" w14:textId="7FC2C055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8A2FD04" w14:textId="2CCE68D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Motor fluctuation score</w:t>
            </w:r>
          </w:p>
        </w:tc>
        <w:tc>
          <w:tcPr>
            <w:tcW w:w="2410" w:type="dxa"/>
          </w:tcPr>
          <w:p w14:paraId="2FD159D2" w14:textId="602EA8FA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3.7 ± 2.8</w:t>
            </w:r>
          </w:p>
        </w:tc>
        <w:tc>
          <w:tcPr>
            <w:tcW w:w="2472" w:type="dxa"/>
          </w:tcPr>
          <w:p w14:paraId="0D6F9F30" w14:textId="3E9D334B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6D5968A0" w14:textId="7CA41584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5C64A42" w14:textId="1A0FA3C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B106168" w14:textId="05991FC8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Painful dystonia</w:t>
            </w:r>
          </w:p>
        </w:tc>
        <w:tc>
          <w:tcPr>
            <w:tcW w:w="2410" w:type="dxa"/>
          </w:tcPr>
          <w:p w14:paraId="2E759026" w14:textId="34988E71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0.5 ± 0.8</w:t>
            </w:r>
          </w:p>
        </w:tc>
        <w:tc>
          <w:tcPr>
            <w:tcW w:w="2472" w:type="dxa"/>
          </w:tcPr>
          <w:p w14:paraId="6F27D293" w14:textId="2FC5A4FB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650A1707" w14:textId="3DDA767E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bookmarkEnd w:id="0"/>
    </w:tbl>
    <w:p w14:paraId="5F9B9A69" w14:textId="77777777" w:rsidR="0030476B" w:rsidRPr="00BF7C7A" w:rsidRDefault="0030476B" w:rsidP="00BF7C7A">
      <w:pPr>
        <w:jc w:val="center"/>
        <w:rPr>
          <w:sz w:val="21"/>
          <w:szCs w:val="21"/>
        </w:rPr>
      </w:pPr>
    </w:p>
    <w:p w14:paraId="16418522" w14:textId="77777777" w:rsidR="00BB1855" w:rsidRPr="00BF7C7A" w:rsidRDefault="00BB1855" w:rsidP="00BF7C7A">
      <w:pPr>
        <w:jc w:val="center"/>
        <w:rPr>
          <w:sz w:val="21"/>
          <w:szCs w:val="21"/>
        </w:rPr>
      </w:pPr>
    </w:p>
    <w:p w14:paraId="29143AEE" w14:textId="53649DEA" w:rsidR="00BB1855" w:rsidRPr="00BF7C7A" w:rsidRDefault="00BB1855" w:rsidP="00BF7C7A">
      <w:pPr>
        <w:jc w:val="center"/>
        <w:rPr>
          <w:sz w:val="21"/>
          <w:szCs w:val="21"/>
        </w:rPr>
      </w:pPr>
      <w:r w:rsidRPr="00BF7C7A">
        <w:rPr>
          <w:sz w:val="21"/>
          <w:szCs w:val="21"/>
        </w:rPr>
        <w:t>125</w:t>
      </w:r>
    </w:p>
    <w:sectPr w:rsidR="00BB1855" w:rsidRPr="00BF7C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6B"/>
    <w:rsid w:val="00171BD9"/>
    <w:rsid w:val="00182F55"/>
    <w:rsid w:val="0030476B"/>
    <w:rsid w:val="004A57AF"/>
    <w:rsid w:val="00507B51"/>
    <w:rsid w:val="005F6007"/>
    <w:rsid w:val="006463C3"/>
    <w:rsid w:val="00774AD1"/>
    <w:rsid w:val="007E4D4F"/>
    <w:rsid w:val="008A1907"/>
    <w:rsid w:val="009E22C5"/>
    <w:rsid w:val="00AB2920"/>
    <w:rsid w:val="00B7392D"/>
    <w:rsid w:val="00B82C30"/>
    <w:rsid w:val="00BB1855"/>
    <w:rsid w:val="00BC61A8"/>
    <w:rsid w:val="00BF7C7A"/>
    <w:rsid w:val="00E23210"/>
    <w:rsid w:val="00EE1BD8"/>
    <w:rsid w:val="00F1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BDA6A"/>
  <w15:chartTrackingRefBased/>
  <w15:docId w15:val="{C9B66A4A-F5F6-F74A-8131-79315BC8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23210"/>
    <w:rPr>
      <w:color w:val="666666"/>
    </w:rPr>
  </w:style>
  <w:style w:type="table" w:styleId="PlainTable1">
    <w:name w:val="Plain Table 1"/>
    <w:basedOn w:val="TableNormal"/>
    <w:uiPriority w:val="41"/>
    <w:rsid w:val="00BF7C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BF7C7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BF7C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Castaneda Mogollon</dc:creator>
  <cp:keywords/>
  <dc:description/>
  <cp:lastModifiedBy>Daniel Castaneda Mogollon</cp:lastModifiedBy>
  <cp:revision>3</cp:revision>
  <dcterms:created xsi:type="dcterms:W3CDTF">2026-04-23T00:54:00Z</dcterms:created>
  <dcterms:modified xsi:type="dcterms:W3CDTF">2026-05-01T16:55:00Z</dcterms:modified>
</cp:coreProperties>
</file>