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AGENTIC GOVERNANCE FRAMEWORK</w:t>
            </w:r>
            <w:r>
              <w:rPr>
                <w:rFonts w:ascii="Arial" w:cs="Arial" w:eastAsia="Arial" w:hAnsi="Arial"/>
                <w:color w:val="00A8E8"/>
                <w:sz w:val="32"/>
                <w:szCs w:val="32"/>
              </w:rPr>
              <w:t xml:space="preserve">  ·  EXECUTIVE INVESTMENT CASE</w:t>
            </w:r>
          </w:p>
        </w:tc>
      </w:tr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0D7E2"/>
                <w:sz w:val="18"/>
                <w:szCs w:val="18"/>
              </w:rPr>
              <w:t xml:space="preserve">CONFIDENTIAL — CFO / COO DISTRIBUTION ONLY  |  MARCH 2026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A8E8" w:sz="8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52"/>
                <w:szCs w:val="52"/>
              </w:rPr>
              <w:t xml:space="preserve">$630B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7E2"/>
                <w:sz w:val="17"/>
                <w:szCs w:val="17"/>
              </w:rPr>
              <w:t xml:space="preserve">Revenue Ceiling (Regulatory Exclusion)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A8E8" w:sz="8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52"/>
                <w:szCs w:val="52"/>
              </w:rPr>
              <w:t xml:space="preserve">$10B+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7E2"/>
                <w:sz w:val="17"/>
                <w:szCs w:val="17"/>
              </w:rPr>
              <w:t xml:space="preserve">Single-Violation Tail-Risk (EU AI Act)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A8E8" w:sz="8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52"/>
                <w:szCs w:val="52"/>
              </w:rPr>
              <w:t xml:space="preserve">&lt;$0.01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7E2"/>
                <w:sz w:val="17"/>
                <w:szCs w:val="17"/>
              </w:rPr>
              <w:t xml:space="preserve">AGF Compliance Cost per Inference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single" w:color="00A8E8" w:sz="8"/>
            </w:tcBorders>
            <w:shd w:fill="0A1628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A8E8"/>
                <w:sz w:val="52"/>
                <w:szCs w:val="52"/>
              </w:rPr>
              <w:t xml:space="preserve">82%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0D7E2"/>
                <w:sz w:val="17"/>
                <w:szCs w:val="17"/>
              </w:rPr>
              <w:t xml:space="preserve">AGF-Enabled SKU Gross Margin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STRATEGIC THESIS: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Hyperscalers are structurally barred from 35-45% of the $1.8T global cloud TAM. AGF converts this regulatory exclusion zone into the highest-margin product category in enterprise technology history.</w:t>
            </w:r>
          </w:p>
        </w:tc>
      </w:tr>
    </w:tbl>
    <w:p>
      <w:pPr>
        <w:spacing w:after="16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1.  The Compliance Tax: Total Cost of Ownership Displacement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Manual compliance is not a process inefficiency - it is a structural P&amp;L drain. Every regulated AI deployment carries a hidden tax compounding across legal, operational, and capital cost layers. AGF eliminates this at the unit economics level.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1A.  Compliance Tax Stack - Per Major AI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360"/>
        <w:gridCol w:w="2300"/>
        <w:gridCol w:w="2900"/>
      </w:tblGrid>
      <w:tr>
        <w:trPr>
          <w:tblHeader/>
        </w:trP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Manual / Legacy Approach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AGF Unit Economics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Savings (Tier-1 Scale)</w:t>
            </w:r>
          </w:p>
        </w:tc>
      </w:tr>
      <w:t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Compliance Audit per AI Deploy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$3M-$5M per audit (120-180 days avg)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&lt;$0.01 per inference via ZK proof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$290M-$490M (100 deployments/yr)</w:t>
            </w:r>
          </w:p>
        </w:tc>
      </w:tr>
      <w:t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Legal Review per Enterprise Agreement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45-90 day cycle, $2M-$8M counsel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3-7 day AGF cert + pre-approved templates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$180M-$780M/year</w:t>
            </w:r>
          </w:p>
        </w:tc>
      </w:tr>
      <w:t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Regulatory Response (DORA Art. 30)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$12M-$25M incident + 6mo remediation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Real-time ZK audit trail &lt;$0.001/txn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$1.1B-$2.3B tail risk avoided</w:t>
            </w:r>
          </w:p>
        </w:tc>
      </w:tr>
      <w:t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Human Governance Overhead (FTEs)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180-240 compliance FTEs at $120K-$180K fully loaded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12-20 oversight FTEs + AGF automated layer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$19M-$40M annual OpEx saved</w:t>
            </w:r>
          </w:p>
        </w:tc>
      </w:tr>
      <w:tr>
        <w:tc>
          <w:tcPr>
            <w:tcW w:type="dxa" w:w="1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AI Liability Insurance Premium</w:t>
            </w:r>
          </w:p>
        </w:tc>
        <w:tc>
          <w:tcPr>
            <w:tcW w:type="dxa" w:w="23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$28M-$65M/year (unverified AI stack)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$4M-$9M/year (ZK-proven audit trail)</w:t>
            </w:r>
          </w:p>
        </w:tc>
        <w:tc>
          <w:tcPr>
            <w:tcW w:type="dxa" w:w="2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$24M-$56M premium reduction/yr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E8F4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CFO SIGNAL: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At 100 annual enterprise AI deployments, the all-in compliance tax runs $520M-$1.3B per year. AGF reduces this to $8M-$12M in platform licensing: a 97-99% cost displacement at scale.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1B.  Unit Economics: From Audit Dollars to Inference Pennies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The critical CFO metric is cost-per-decision, not cost-per-audit. Compliance economics shift by 4-5 orders of magnitude: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Category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Economics Comparison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Manual Audit Cost (amortized)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$3,000-$5,000 per agentic action at enterprise audit frequency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Legal Clearance (per decision type)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$180-$600 per decision class (external counsel)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AGF ZK-Proof Cost (per inference)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&lt;$0.01 cryptographic verification - deterministic, not probabilistic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AGF vs. Manual: Cost Delta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99.8%-99.998% cost reduction per governed decision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At 1 Billion Actions/Year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Manual: $3B-$5B compliance spend | AGF: $8M-$10M total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2.  The Idle GPU Penalty: $89M-$118M in Annual Destroyed Value per Cluster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H100 clusters serving regulated industries are operationally idle at 34-41% utilization because agentic workloads cannot be legally cleared. This is capital destruction at hyperscale - not a workload scheduling problem.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2A.  GPU Utilization Economics - Regulated vs. Cleared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50"/>
        <w:gridCol w:w="2600"/>
        <w:gridCol w:w="181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Without AGF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With AGF-Enabled Cluster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Delta / Uplift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H100 Cluster Utilization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34-41% (regulated idle)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78-89% (cleared for agentic)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Revenue per GPU-Hour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$2.50 IaaS commodity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$2.50 + $0.05 compliance premium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Annual GPU Revenue (10K H100)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$219M-$359M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$490M-$620M at 85% util.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Cluster OpEx (annual)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$180M all-in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$180M + $4M AGF licensing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Breakeven Utilization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N/A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62% vs. current 34% floor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Idle Penalty (regulated)</w:t>
            </w:r>
          </w:p>
        </w:tc>
        <w:tc>
          <w:tcPr>
            <w:tcW w:type="dxa" w:w="20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$89M-$118M/year burned</w:t>
            </w:r>
          </w:p>
        </w:tc>
        <w:tc>
          <w:tcPr>
            <w:tcW w:type="dxa" w:w="2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$0 (workloads unlocked)</w:t>
            </w:r>
          </w:p>
        </w:tc>
        <w:tc>
          <w:tcPr>
            <w:tcW w:type="dxa" w:w="181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IMPROVEMENT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COO SIGNAL: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 10,000 H100 cluster at 38% utilization due to compliance clearance blocks burns $89M-$118M in idle capital annually. AGF clears these workloads in &lt;90 days vs. the 12-18 month manual review cycle. Each cleared cluster adds $131M-$261M in annual revenue at near-zero incremental OpEx.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2B.  The Clearance Timeline Arbitrage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Clearance Method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 &amp; Economics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Manual Legal Review (status quo)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12-18 months | $2M-$8M external counsel | Binary approval risk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AGF ZK-Certification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&lt;90 days | $180K platform fee | Deterministic cryptographic proof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Time-to-Revenue Acceleration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9-15 months earlier revenue recognition per cluster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Sales Cycle Impact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40% friction reduction | Each 10 days saved = $50M+ quarterly recognized ARR (Tier-1)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Opportunity Cost of Delay (10K H100)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$89M-$118M idle burn/year | $7.4M-$9.8M per month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3.  Value at Risk (VaR): The 10% Revenue Shield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The EU AI Act and DORA impose a 10% of global annual revenue fine ceiling. For a $100B+ revenue entity, this is not a compliance line item - it is a balance sheet event. Actuarial modeling produces the following Expected Loss (EL) profile: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3A.  Regulatory VaR Matrix - EU AI Act + DORA Exposure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100"/>
        <w:gridCol w:w="1150"/>
        <w:gridCol w:w="1380"/>
        <w:gridCol w:w="1900"/>
        <w:gridCol w:w="213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Scenario</w:t>
            </w:r>
          </w:p>
        </w:tc>
        <w:tc>
          <w:tcPr>
            <w:tcW w:type="dxa" w:w="11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Base</w:t>
            </w:r>
          </w:p>
        </w:tc>
        <w:tc>
          <w:tcPr>
            <w:tcW w:type="dxa" w:w="11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Fine Exposure (10%)</w:t>
            </w:r>
          </w:p>
        </w:tc>
        <w:tc>
          <w:tcPr>
            <w:tcW w:type="dxa" w:w="13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Loss (EL)</w:t>
            </w:r>
          </w:p>
        </w:tc>
        <w:tc>
          <w:tcPr>
            <w:tcW w:type="dxa" w:w="213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AGF Residual Risk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Single Rogue Agent (Tier-1)</w:t>
            </w:r>
          </w:p>
        </w:tc>
        <w:tc>
          <w:tcPr>
            <w:tcW w:type="dxa" w:w="11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$100B</w:t>
            </w:r>
          </w:p>
        </w:tc>
        <w:tc>
          <w:tcPr>
            <w:tcW w:type="dxa" w:w="11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$10.0B</w:t>
            </w:r>
          </w:p>
        </w:tc>
        <w:tc>
          <w:tcPr>
            <w:tcW w:type="dxa" w:w="13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8-12% annually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$900M-$1.2B</w:t>
            </w:r>
          </w:p>
        </w:tc>
        <w:tc>
          <w:tcPr>
            <w:tcW w:type="dxa" w:w="213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&lt;0.02% EL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Portfolio Violation (x3 simultaneous)</w:t>
            </w:r>
          </w:p>
        </w:tc>
        <w:tc>
          <w:tcPr>
            <w:tcW w:type="dxa" w:w="11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$100B</w:t>
            </w:r>
          </w:p>
        </w:tc>
        <w:tc>
          <w:tcPr>
            <w:tcW w:type="dxa" w:w="11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$30.0B</w:t>
            </w:r>
          </w:p>
        </w:tc>
        <w:tc>
          <w:tcPr>
            <w:tcW w:type="dxa" w:w="13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3-5% annually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$1.1B-$1.5B</w:t>
            </w:r>
          </w:p>
        </w:tc>
        <w:tc>
          <w:tcPr>
            <w:tcW w:type="dxa" w:w="213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&lt;0.01% EL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Systemic AI Failure (sector-wide)</w:t>
            </w:r>
          </w:p>
        </w:tc>
        <w:tc>
          <w:tcPr>
            <w:tcW w:type="dxa" w:w="11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$100B</w:t>
            </w:r>
          </w:p>
        </w:tc>
        <w:tc>
          <w:tcPr>
            <w:tcW w:type="dxa" w:w="11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$10.0B+</w:t>
            </w:r>
          </w:p>
        </w:tc>
        <w:tc>
          <w:tcPr>
            <w:tcW w:type="dxa" w:w="13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1-2% annually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$250M-$400M</w:t>
            </w:r>
          </w:p>
        </w:tc>
        <w:tc>
          <w:tcPr>
            <w:tcW w:type="dxa" w:w="213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Near-zero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Data Sovereignty Breach (DORA)</w:t>
            </w:r>
          </w:p>
        </w:tc>
        <w:tc>
          <w:tcPr>
            <w:tcW w:type="dxa" w:w="11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$100B</w:t>
            </w:r>
          </w:p>
        </w:tc>
        <w:tc>
          <w:tcPr>
            <w:tcW w:type="dxa" w:w="11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$5.0B</w:t>
            </w:r>
          </w:p>
        </w:tc>
        <w:tc>
          <w:tcPr>
            <w:tcW w:type="dxa" w:w="13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6-10% annually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$400M-$600M</w:t>
            </w:r>
          </w:p>
        </w:tc>
        <w:tc>
          <w:tcPr>
            <w:tcW w:type="dxa" w:w="213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&lt;0.005% EL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FEF3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CFO SIGNAL: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Aggregate Expected Loss across four primary scenarios: $2.65B-$4.3B annually for a $100B revenue entity without AGF. AGF reduces this to &lt;0.05% EL - a risk-adjusted NPV benefit of $24B-$38B over a 10-year DCF at 12% discount rate.</w:t>
            </w:r>
          </w:p>
        </w:tc>
      </w:tr>
    </w:tbl>
    <w:p>
      <w:pPr>
        <w:spacing w:after="16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3B.  D&amp;O and Insurance Actuarial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Insurance Category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Financial Impact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AI Liability Premium (unverified stack)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$28M-$65M/year across cyber, E&amp;O, and D&amp;O lines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AGF-Certified Premium Reduction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$19M-$46M annual savings (verified ZK audit trail)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D&amp;O Exposure: Rogue Agent Event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$800M-$2.4B securities class action exposure per incident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AGF D&amp;O Protection Argument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Cryptographic proof of governance due diligence - materially reduces personal liability</w:t>
            </w:r>
          </w:p>
        </w:tc>
      </w:tr>
      <w:tr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Reinsurance Market Signal</w:t>
            </w:r>
          </w:p>
        </w:tc>
        <w:tc>
          <w:tcPr>
            <w:tcW w:type="dxa" w:w="65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Lloyd's of London pricing AGF-certified AI at 68% lower risk tier vs. unverified stack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4.  Dark TAM Unlocking: $58B-$78B in Reachable New Revenue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The following sectors represent cloud workloads that are budgeted and procurement-ready - but cannot be awarded to any hyperscaler without verified AI governance. This is not speculative TAM; it is contract-ready revenue blocked by a solvable technical barrier.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4A.  Sector-by-Sector Dark TAM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80"/>
        <w:gridCol w:w="1780"/>
        <w:gridCol w:w="2300"/>
        <w:gridCol w:w="1900"/>
      </w:tblGrid>
      <w:tr>
        <w:trPr>
          <w:tblHeader/>
        </w:trP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Sector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Cloud Spend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AGF-Accessible (Dark TAM)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Barrier Removed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Time-to-Revenue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Global Banking (Top 100 institutions)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$38B/yr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$17B-$22B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DORA Art.9 agentic block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6-12 months post-AGF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Pharma / Life Sciences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$19B/yr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$9B-$13B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FDA 21 CFR Part 11 AI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9-18 months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Defense / Intelligence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$14B/yr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$8B-$11B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FedRAMP AI Annex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12-24 months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Sovereign Wealth / G7 Public Sector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$29B/yr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$18B-$24B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Data sovereignty BlackBox fear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6-9 months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Insurance / Actuarial AI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$11B/yr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$6B-$8B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Solvency II model audit req.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4-8 months</w:t>
            </w:r>
          </w:p>
        </w:tc>
      </w:tr>
      <w:tr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TOTAL DARK TAM</w:t>
            </w:r>
          </w:p>
        </w:tc>
        <w:tc>
          <w:tcPr>
            <w:tcW w:type="dxa" w:w="14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$111B/yr</w:t>
            </w:r>
          </w:p>
        </w:tc>
        <w:tc>
          <w:tcPr>
            <w:tcW w:type="dxa" w:w="17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$58B-$78B</w:t>
            </w:r>
          </w:p>
        </w:tc>
        <w:tc>
          <w:tcPr>
            <w:tcW w:type="dxa" w:w="2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All barriers removed by AGF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9"/>
                <w:szCs w:val="19"/>
              </w:rPr>
              <w:t xml:space="preserve">Avg. 8-14 months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22"/>
                <w:szCs w:val="22"/>
              </w:rPr>
              <w:t xml:space="preserve">FIRST-MOVER ECONOMICS: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The first hyperscaler to embed AGF captures an estimated 65% of the regulated migration wave. Second-mover captures 22-28%. The window closes when any competitor achieves ISO/NIST AGF certification - estimated Q3 2027.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5.  Margin Architecture: From IaaS to Trust-as-a-Service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AGF restructures the billing model from commodity compute-hours to Verified Decision Flow, compressing the margin ladder from 30% to 88-92% at platform maturity. The economic model shift is structural, not cyclical.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5A.  Revenue Layer Margin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50"/>
        <w:gridCol w:w="1650"/>
        <w:gridCol w:w="1600"/>
        <w:gridCol w:w="22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Layer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Billing Model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 %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at 1B Actions/yr</w:t>
            </w:r>
          </w:p>
        </w:tc>
      </w:tr>
      <w:tr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IaaS Compute (Baseline)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GPU-hours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$2.50/hr</w:t>
            </w:r>
          </w:p>
        </w:tc>
        <w:tc>
          <w:tcPr>
            <w:tcW w:type="dxa" w:w="1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28-32%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$2.5B-$4.0B</w:t>
            </w:r>
          </w:p>
        </w:tc>
      </w:tr>
      <w:tr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Managed AI (Current Best)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Reserved capacity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$4.20/hr equiv.</w:t>
            </w:r>
          </w:p>
        </w:tc>
        <w:tc>
          <w:tcPr>
            <w:tcW w:type="dxa" w:w="1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38-44%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$4.2B-$5.1B</w:t>
            </w:r>
          </w:p>
        </w:tc>
      </w:tr>
      <w:tr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Verified Decision Flow (AGF)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 agentic action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$0.05 compliance premium</w:t>
            </w:r>
          </w:p>
        </w:tc>
        <w:tc>
          <w:tcPr>
            <w:tcW w:type="dxa" w:w="1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78-84%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$6.8B-$9.2B</w:t>
            </w:r>
          </w:p>
        </w:tc>
      </w:tr>
      <w:tr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Regulatory Clearinghouse (AGF Platform)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SaaS + per-certification</w:t>
            </w:r>
          </w:p>
        </w:tc>
        <w:tc>
          <w:tcPr>
            <w:tcW w:type="dxa" w:w="165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$180K/yr + $0.003/call</w:t>
            </w:r>
          </w:p>
        </w:tc>
        <w:tc>
          <w:tcPr>
            <w:tcW w:type="dxa" w:w="16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88-92%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$10.2B-$14.8B</w:t>
            </w:r>
          </w:p>
        </w:tc>
      </w:tr>
    </w:tbl>
    <w:p>
      <w:pPr>
        <w:spacing w:after="10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Key Inflection: 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At 1 billion agentic actions per year - achievable within 18-24 months of AGF deployment - the Verified Decision Flow layer generates </w:t>
      </w: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$50M/year in pure compliance premium at near-100% incremental gross margin</w:t>
      </w:r>
      <w:r>
        <w:rPr>
          <w:rFonts w:ascii="Arial" w:cs="Arial" w:eastAsia="Arial" w:hAnsi="Arial"/>
          <w:color w:val="1C2B3A"/>
          <w:sz w:val="22"/>
          <w:szCs w:val="22"/>
        </w:rPr>
        <w:t xml:space="preserve"> (zero additional compute required).</w:t>
      </w:r>
    </w:p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6.  Customer LTV &amp; Switching Cost: The Hardware-Locked Moat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Once a regulated institution's compliance logic is compiled into AGF ZK-circuits and certified by the relevant regulator, the switching cost increases by 5-7x. This is cryptographic infrastructure lock-in, not contractual lock-in.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6A.  LTV Uplift by Customer Cohort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1400"/>
        <w:gridCol w:w="1300"/>
        <w:gridCol w:w="1300"/>
        <w:gridCol w:w="22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 Cohort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Pre-AGF LTV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Post-AGF LTV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LTV Uplift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Switch Cost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Implied Churn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Tier-1 Bank (Global)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$42M-$68M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$95M-$148M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+126%-+155%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6.2x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18% to 4% annually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Pharma Enterprise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$28M-$45M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$71M-$112M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+154%-+149%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5.8x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22% to 5%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Gov / Sovereign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$55M-$90M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$140M-$220M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+155%-+144%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7.4x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12% to 2%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7"/>
                <w:szCs w:val="17"/>
              </w:rPr>
              <w:t xml:space="preserve">Insurance Carrier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$18M-$32M</w:t>
            </w:r>
          </w:p>
        </w:tc>
        <w:tc>
          <w:tcPr>
            <w:tcW w:type="dxa" w:w="14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$48M-$78M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+167%-+144%</w:t>
            </w:r>
          </w:p>
        </w:tc>
        <w:tc>
          <w:tcPr>
            <w:tcW w:type="dxa" w:w="13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5.1x</w:t>
            </w:r>
          </w:p>
        </w:tc>
        <w:tc>
          <w:tcPr>
            <w:tcW w:type="dxa" w:w="22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7"/>
                <w:szCs w:val="17"/>
              </w:rPr>
              <w:t xml:space="preserve">24% to 7%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E8F0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COO SIGNAL: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Switching Cost mechanism: once AGF ZK-circuits are regulator-approved, migration requires re-certification (avg. 14-22 months + $3M-$8M legal cost). Structural moat equivalent to multi-year lock-in without contractual penalties.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7.  Revenue Sensitivity Analysis - Penetration Rate Scenarios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Incremental ARR, gross margin dollars, and EBITDA contribution at varying penetration rates into the $58B-$78B Dark TAM. All figures incremental to existing IaaS baseline. Base case highlighted in gold.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7A.  Penetration Sensitivity Table (Technical Appendix)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1900"/>
        <w:gridCol w:w="1900"/>
        <w:gridCol w:w="1860"/>
      </w:tblGrid>
      <w:tr>
        <w:trPr>
          <w:tblHeader/>
        </w:trP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Penetration Rate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Regulated Workload ARR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Margin $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Incremental EBITDA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Payback Period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0.5%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$0.6B-$1.7B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$492M-$1.4B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$380M-$1.1B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8 months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1.0%  (BASE CASE)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$1.2B-$3.4B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$984M-$2.8B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$820M-$2.3B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D4AF3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A1628"/>
                <w:sz w:val="18"/>
                <w:szCs w:val="18"/>
              </w:rPr>
              <w:t xml:space="preserve">6 months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2.5%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$3.0B-$8.5B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$2.5B-$7.0B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$2.1B-$5.8B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4 months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5.0%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$6.0B-$17.0B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$4.9B-$13.9B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$4.1B-$11.6B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3 months</w:t>
            </w:r>
          </w:p>
        </w:tc>
      </w:tr>
      <w:tr>
        <w:tc>
          <w:tcPr>
            <w:tcW w:type="dxa" w:w="17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10.0% (Dominance)</w:t>
            </w:r>
          </w:p>
        </w:tc>
        <w:tc>
          <w:tcPr>
            <w:tcW w:type="dxa" w:w="20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$12.0B-$34.0B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$9.8B-$27.9B</w:t>
            </w:r>
          </w:p>
        </w:tc>
        <w:tc>
          <w:tcPr>
            <w:tcW w:type="dxa" w:w="19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$8.2B-$23.1B</w:t>
            </w:r>
          </w:p>
        </w:tc>
        <w:tc>
          <w:tcPr>
            <w:tcW w:type="dxa" w:w="18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&lt;2 months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D5066"/>
                <w:sz w:val="22"/>
                <w:szCs w:val="22"/>
              </w:rPr>
              <w:t xml:space="preserve">ASSUMPTION SET: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82% blended gross margin on AGF-enabled SKUs | $0.05 compliance premium stacked on existing compute | 68% EBITDA conversion from gross margin | Dark TAM: $58B-$78B | Base case: 1.0% Year 1 penetration, scaling to 5.0% by Year 3.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8.  Execution Timeline: The 2026 Convergence Window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1C2B3A"/>
          <w:sz w:val="22"/>
          <w:szCs w:val="22"/>
        </w:rPr>
        <w:t xml:space="preserve">The regulatory enforcement calendar creates a defined and non-repeatable market entry window. EU AI Act enforcement begins Q2 2026. DORA Article 9 becomes binding simultaneously. AGF captures the demand shock.</w:t>
      </w:r>
    </w:p>
    <w:p>
      <w:pPr>
        <w:spacing w:after="80"/>
      </w:pPr>
    </w:p>
    <w:p>
      <w:pPr>
        <w:pStyle w:val="Heading2"/>
        <w:pBdr>
          <w:bottom w:val="single" w:color="00A8E8" w:sz="4" w:space="2"/>
        </w:pBdr>
        <w:spacing w:before="24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8A.  Deployment &amp; Revenue Milestone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200"/>
        <w:gridCol w:w="31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Quarter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Market Share Implication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Q2 2026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EU AI Act enforcement + DORA Art.9 binding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0 (window opens)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First-mover lock-in begins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Q3 2026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AGF pilot: 3 Tier-1 banks + 1 sovereign deploy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$180M-$320M ARR seed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65% first-mover capture rate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Q4 2026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FedRAMP AGF Annex certification (Defense)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$420M-$680M incremental ARR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Defense sector unlocked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Q1 2027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Pharma FDA 21 CFR agentic framework live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$390M-$570M incremental ARR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Life sciences unlocked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2B3A"/>
                <w:sz w:val="18"/>
                <w:szCs w:val="18"/>
              </w:rPr>
              <w:t xml:space="preserve">Q2 2027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Global Clearinghouse standard (ISO/NIST)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Full TAM: $58B-$78B Dark TAM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2B3A"/>
                <w:sz w:val="18"/>
                <w:szCs w:val="18"/>
              </w:rPr>
              <w:t xml:space="preserve">Industry standard = moat</w:t>
            </w:r>
          </w:p>
        </w:tc>
      </w:tr>
      <w:tr>
        <w:tc>
          <w:tcPr>
            <w:tcW w:type="dxa" w:w="1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E8"/>
                <w:sz w:val="18"/>
                <w:szCs w:val="18"/>
              </w:rPr>
              <w:t xml:space="preserve">2028 Steady State</w:t>
            </w:r>
          </w:p>
        </w:tc>
        <w:tc>
          <w:tcPr>
            <w:tcW w:type="dxa" w:w="28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E8"/>
                <w:sz w:val="18"/>
                <w:szCs w:val="18"/>
              </w:rPr>
              <w:t xml:space="preserve">AGF Platform dominance (ZK-proof as infra)</w:t>
            </w:r>
          </w:p>
        </w:tc>
        <w:tc>
          <w:tcPr>
            <w:tcW w:type="dxa" w:w="220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E8"/>
                <w:sz w:val="18"/>
                <w:szCs w:val="18"/>
              </w:rPr>
              <w:t xml:space="preserve">$10.2B-$14.8B ARR @ 88-92% GM</w:t>
            </w:r>
          </w:p>
        </w:tc>
        <w:tc>
          <w:tcPr>
            <w:tcW w:type="dxa" w:w="316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A8E8"/>
                <w:sz w:val="18"/>
                <w:szCs w:val="18"/>
              </w:rPr>
              <w:t xml:space="preserve">Commodity pricing power gone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00A8E8" w:sz="6"/>
              <w:left w:val="single" w:color="00A8E8" w:sz="6"/>
              <w:bottom w:val="single" w:color="D0D7E2" w:sz="1"/>
              <w:right w:val="single" w:color="D0D7E2" w:sz="1"/>
            </w:tcBorders>
            <w:shd w:fill="FEF3E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4AF37"/>
                <w:sz w:val="22"/>
                <w:szCs w:val="22"/>
              </w:rPr>
              <w:t xml:space="preserve">THE DELTA - WITHOUT AGF:  </w:t>
            </w:r>
            <w:r>
              <w:rPr>
                <w:rFonts w:ascii="Arial" w:cs="Arial" w:eastAsia="Arial" w:hAnsi="Arial"/>
                <w:color w:val="1C2B3A"/>
                <w:sz w:val="22"/>
                <w:szCs w:val="22"/>
              </w:rPr>
              <w:t xml:space="preserve">Without AGF: selling commodity IaaS at 28-32% gross margin into a shrinking TAM. With AGF: operating the Global Clearinghouse for Lawful AI at 88-92% gross margin with $58B-$78B Dark TAM unlocked. The window closes in 18 months.</w:t>
            </w:r>
          </w:p>
        </w:tc>
      </w:tr>
    </w:tbl>
    <w:p>
      <w:pPr>
        <w:spacing w:after="200"/>
      </w:pPr>
    </w:p>
    <w:p>
      <w:pPr>
        <w:pBdr>
          <w:bottom w:val="single" w:color="00A8E8" w:sz="8" w:space="2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0A1628"/>
          <w:sz w:val="36"/>
          <w:szCs w:val="36"/>
        </w:rPr>
        <w:t xml:space="preserve">9.  Investment Case Summary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AGF (2026 Trajectory)</w:t>
            </w:r>
          </w:p>
        </w:tc>
        <w:tc>
          <w:tcPr>
            <w:tcW w:type="dxa" w:w="468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AGF (2026 Scenario)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IaaS gross margins compressing toward 28%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AGF-enabled SKUs at 78-92% gross margin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35-45% of cloud TAM structurally inaccessible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$58B-$78B Dark TAM unlocked within 18 months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$2.65B-$4.3B annual expected regulatory loss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&lt;0.05% EL | $24B-$38B risk-adjusted NPV (10yr)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180-240 compliance FTEs + $520M-$1.3B compliance tax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12-20 oversight FTEs + $8M-$12M AGF platform cost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GPU clusters 34-41% utilization (idle burn $118M/yr)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78-89% utilization | +$261M ARR per cleared cluster</w:t>
            </w:r>
          </w:p>
        </w:tc>
      </w:tr>
      <w:tr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Commodity provider. Zero pricing power. Churn 18-24%</w:t>
            </w:r>
          </w:p>
        </w:tc>
        <w:tc>
          <w:tcPr>
            <w:tcW w:type="dxa" w:w="4680"/>
            <w:gridSpan w:val="1"/>
            <w:tcBorders>
              <w:top w:val="single" w:color="D0D7E2" w:sz="1"/>
              <w:left w:val="single" w:color="D0D7E2" w:sz="1"/>
              <w:bottom w:val="single" w:color="D0D7E2" w:sz="1"/>
              <w:right w:val="single" w:color="D0D7E2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Global Clearinghouse for Lawful AI. Churn 2-7%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First-mover to embed AGF captures 65% of the regulated migration wave and becomes the permanent standard. </w:t>
            </w:r>
            <w:r>
              <w:rPr>
                <w:rFonts w:ascii="Arial" w:cs="Arial" w:eastAsia="Arial" w:hAnsi="Arial"/>
                <w:color w:val="00A8E8"/>
                <w:sz w:val="24"/>
                <w:szCs w:val="24"/>
              </w:rPr>
              <w:t xml:space="preserve">The proof standard is being written now. The question is: by whom.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8E8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D0D7E2"/>
        <w:sz w:val="16"/>
        <w:szCs w:val="16"/>
      </w:rPr>
      <w:t xml:space="preserve">2026 AGF - Strictly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A8E8" w:sz="4" w:space="1"/>
      </w:pBdr>
      <w:spacing w:after="0"/>
    </w:pPr>
    <w:r>
      <w:rPr>
        <w:rFonts w:ascii="Arial" w:cs="Arial" w:eastAsia="Arial" w:hAnsi="Arial"/>
        <w:color w:val="D0D7E2"/>
        <w:sz w:val="17"/>
        <w:szCs w:val="17"/>
      </w:rPr>
      <w:t xml:space="preserve">AGF EXECUTIVE INVESTMENT CASE   |   CONFIDENTIAL   |  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560" w:hanging="280"/>
      </w:pPr>
      <w:rPr>
        <w:rFonts w:ascii="Arial" w:cs="Arial" w:eastAsia="Arial" w:hAnsi="Arial"/>
        <w:color w:val="00A8E8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A162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2026-03-03T14:12:01.903Z</dcterms:created>
  <dcterms:modified xsi:type="dcterms:W3CDTF">2026-03-03T14:12:01.904Z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