
<file path=[Content_Types].xml><?xml version="1.0" encoding="utf-8"?>
<Types xmlns="http://schemas.openxmlformats.org/package/2006/content-types">
  <Default Extension="rels" ContentType="application/vnd.openxmlformats-package.relationships+xml"/>
  <Default Extension="xml" ContentType="applicat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Relationships xmlns="http://schemas.openxmlformats.org/package/2006/relationships"><Relationship Target="word/document.xml" Type="http://schemas.openxmlformats.org/officeDocument/2006/relationships/officeDocument" Id="rId1"></Relationship><Relationship Target="docProps/core.xml" Type="http://schemas.openxmlformats.org/package/2006/relationships/metadata/core-properties" Id="rId2"></Relationship><Relationship Target="docProps/app.xml" Type="http://schemas.openxmlformats.org/officeDocument/2006/relationships/extended-properties" Id="rId3"></Relationship><Relationship Target="docProps/custom.xml" Type="http://schemas.openxmlformats.org/officeDocument/2006/relationships/custom-properties" Id="rId4"></Relationship></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rPr>
          <w:rFonts w:ascii="Times New Roman" w:hAnsi="Times New Roman" w:cs="Times New Roman"/>
          <w:b/>
          <w:sz w:val="24"/>
          <w:szCs w:val="24"/>
        </w:rPr>
      </w:pPr>
      <w:r>
        <w:rPr>
          <w:rFonts w:ascii="Times New Roman" w:hAnsi="Times New Roman" w:cs="Times New Roman"/>
          <w:b/>
          <w:sz w:val="24"/>
          <w:szCs w:val="24"/>
        </w:rPr>
        <w:t>Executive Summary</w:t>
      </w:r>
    </w:p>
    <w:p>
      <w:pPr>
        <w:spacing w:after="120"/>
        <w:rPr>
          <w:rFonts w:ascii="Times New Roman" w:hAnsi="Times New Roman" w:cs="Times New Roman"/>
          <w:sz w:val="24"/>
          <w:szCs w:val="24"/>
        </w:rPr>
      </w:pPr>
      <w:r>
        <w:rPr>
          <w:rFonts w:ascii="Times New Roman" w:hAnsi="Times New Roman" w:cs="Times New Roman"/>
          <w:sz w:val="24"/>
          <w:szCs w:val="24"/>
        </w:rPr>
        <w:tab/>
        <w:t>The issue of whether police should wear body cameras recording their actions has become an increasingly active area of public debate following the tragic shooting of Michael Brown in Ferguson, Missouri, as well as the videotaped chokehold death of Eric Garner in New York City.  Advocates for body camera usage suggest that requiring officers to wear cameras will serve as a check on police violence and also increase openness and transparency in state and local government more generally.  Most opponents of body camera usage suggest that the requirement would hinder law enforcement officers in the performance of their duties and provide unreliable evidence.  Some privacy advocates also have suggested that police body cameras might be a back door towards allowing heightened government surveillance.  The issue is contentious, cuts across typical political lines, and is ripe for policy-making across the country.</w:t>
      </w:r>
    </w:p>
    <w:p>
      <w:pPr>
        <w:spacing w:after="120"/>
        <w:rPr>
          <w:rFonts w:ascii="Times New Roman" w:hAnsi="Times New Roman" w:cs="Times New Roman"/>
          <w:sz w:val="24"/>
          <w:szCs w:val="24"/>
        </w:rPr>
      </w:pPr>
      <w:r>
        <w:rPr>
          <w:rFonts w:ascii="Times New Roman" w:hAnsi="Times New Roman" w:cs="Times New Roman"/>
          <w:sz w:val="24"/>
          <w:szCs w:val="24"/>
        </w:rPr>
        <w:tab/>
        <w:t>The D.C. Open Government Coalition has an interest in enhancing the public’s access to government information and ensuring the transparency of government operations.  Accordingly, the Coalition, in conjunction with Ropes &amp; Gray LLP, has surveyed 50 states and 15 major cities to prepare an analysis of the current state of laws and proposals governing police body camera recordings.   This information is current as of June 12, 2015, and was obtained through a combination of outreach to state and local governments and research into legislative and media sources.</w:t>
      </w:r>
    </w:p>
    <w:p>
      <w:pPr>
        <w:spacing w:after="240"/>
        <w:ind w:firstLine="720"/>
        <w:rPr>
          <w:rFonts w:ascii="Times New Roman" w:hAnsi="Times New Roman" w:cs="Times New Roman"/>
          <w:sz w:val="24"/>
          <w:szCs w:val="24"/>
        </w:rPr>
      </w:pPr>
      <w:r>
        <w:rPr>
          <w:rFonts w:ascii="Times New Roman" w:hAnsi="Times New Roman" w:cs="Times New Roman"/>
          <w:sz w:val="24"/>
          <w:szCs w:val="24"/>
        </w:rPr>
        <w:t>The Coalition is hopeful that its work will be helpful to state and local legislators seeking to understand the choices their peers across the country have made and spurring those legislators to action.  More importantly, the Coalition is hopeful that this work will energize transparency advocates across the country to understand not just what the law is, but what it could be.  By providing this resource, the Coalition ultimately hopes to further its ultimate goal of producing open government in our democratic society.</w:t>
      </w:r>
    </w:p>
    <w:p>
      <w:pPr>
        <w:spacing w:after="240" w:line="240" w:lineRule="auto"/>
        <w:rPr>
          <w:rFonts w:ascii="Times New Roman" w:hAnsi="Times New Roman" w:cs="Times New Roman"/>
          <w:i/>
          <w:sz w:val="24"/>
          <w:szCs w:val="24"/>
        </w:rPr>
      </w:pPr>
      <w:r>
        <w:rPr>
          <w:rFonts w:ascii="Times New Roman" w:hAnsi="Times New Roman" w:cs="Times New Roman"/>
          <w:i/>
          <w:sz w:val="24"/>
          <w:szCs w:val="24"/>
        </w:rPr>
        <w:t xml:space="preserve">Elements of Body Camera Proposals </w:t>
      </w:r>
    </w:p>
    <w:p>
      <w:pPr>
        <w:spacing w:after="120" w:line="240" w:lineRule="auto"/>
        <w:rPr>
          <w:rFonts w:ascii="Times New Roman" w:hAnsi="Times New Roman" w:cs="Times New Roman"/>
          <w:sz w:val="24"/>
          <w:szCs w:val="24"/>
        </w:rPr>
      </w:pPr>
      <w:r>
        <w:rPr>
          <w:rFonts w:ascii="Times New Roman" w:hAnsi="Times New Roman" w:cs="Times New Roman"/>
          <w:sz w:val="24"/>
          <w:szCs w:val="24"/>
        </w:rPr>
        <w:tab/>
        <w:t>At the outset of this analysis, the Coalition focused on four areas relevant to the handling and availability of police body camera recordings:</w:t>
      </w:r>
    </w:p>
    <w:p>
      <w:pPr>
        <w:pStyle w:val="RBUBullets"/>
        <w:rPr>
          <w:szCs w:val="24"/>
        </w:rPr>
      </w:pPr>
      <w:r>
        <w:rPr>
          <w:szCs w:val="24"/>
        </w:rPr>
        <w:t>Collection of police body camera footage;</w:t>
      </w:r>
    </w:p>
    <w:p>
      <w:pPr>
        <w:pStyle w:val="RBUBullets"/>
        <w:rPr>
          <w:szCs w:val="24"/>
        </w:rPr>
      </w:pPr>
      <w:r>
        <w:rPr>
          <w:szCs w:val="24"/>
        </w:rPr>
        <w:t>Retention of p</w:t>
      </w:r>
      <w:bookmarkStart w:id="0" w:name="_GoBack"/>
      <w:bookmarkEnd w:id="0"/>
      <w:r>
        <w:rPr>
          <w:szCs w:val="24"/>
        </w:rPr>
        <w:t>olice body camera footage;</w:t>
      </w:r>
    </w:p>
    <w:p>
      <w:pPr>
        <w:pStyle w:val="RBUBullets"/>
        <w:rPr>
          <w:szCs w:val="24"/>
        </w:rPr>
      </w:pPr>
      <w:r>
        <w:rPr>
          <w:szCs w:val="24"/>
        </w:rPr>
        <w:t xml:space="preserve">Applicability of existing Freedom of  Information Act (FOIA) laws and exemptions; and </w:t>
      </w:r>
    </w:p>
    <w:p>
      <w:pPr>
        <w:pStyle w:val="RBUBullets"/>
        <w:rPr>
          <w:szCs w:val="24"/>
        </w:rPr>
      </w:pPr>
      <w:r>
        <w:rPr>
          <w:szCs w:val="24"/>
        </w:rPr>
        <w:t xml:space="preserve">Related police </w:t>
      </w:r>
      <w:proofErr w:type="spellStart"/>
      <w:r>
        <w:rPr>
          <w:szCs w:val="24"/>
        </w:rPr>
        <w:t>dashcam</w:t>
      </w:r>
      <w:proofErr w:type="spellEnd"/>
      <w:r>
        <w:rPr>
          <w:szCs w:val="24"/>
        </w:rPr>
        <w:t xml:space="preserve"> footage rules.</w:t>
      </w:r>
    </w:p>
    <w:p>
      <w:pPr>
        <w:pStyle w:val="RBUBullets"/>
        <w:numPr>
          <w:ilvl w:val="0"/>
          <w:numId w:val="0"/>
        </w:numPr>
        <w:spacing w:after="240"/>
        <w:rPr>
          <w:szCs w:val="24"/>
        </w:rPr>
      </w:pPr>
      <w:r>
        <w:rPr>
          <w:szCs w:val="24"/>
        </w:rPr>
        <w:t xml:space="preserve">Legislative initiatives address some or all of these elements, the latter considered comprehensive proposals.      </w:t>
      </w:r>
    </w:p>
    <w:p>
      <w:pPr>
        <w:spacing w:after="240" w:line="240" w:lineRule="auto"/>
        <w:rPr>
          <w:rFonts w:ascii="Times New Roman" w:hAnsi="Times New Roman" w:cs="Times New Roman"/>
          <w:i/>
          <w:sz w:val="24"/>
          <w:szCs w:val="24"/>
        </w:rPr>
      </w:pPr>
      <w:r>
        <w:rPr>
          <w:rFonts w:ascii="Times New Roman" w:hAnsi="Times New Roman" w:cs="Times New Roman"/>
          <w:i/>
          <w:sz w:val="24"/>
          <w:szCs w:val="24"/>
        </w:rPr>
        <w:t>State Policies</w:t>
      </w:r>
    </w:p>
    <w:p>
      <w:pPr>
        <w:spacing w:after="120" w:line="240" w:lineRule="auto"/>
        <w:rPr>
          <w:rFonts w:ascii="Times New Roman" w:hAnsi="Times New Roman" w:cs="Times New Roman"/>
          <w:b/>
          <w:sz w:val="24"/>
          <w:szCs w:val="24"/>
        </w:rPr>
      </w:pPr>
      <w:r>
        <w:rPr>
          <w:rFonts w:ascii="Times New Roman" w:hAnsi="Times New Roman" w:cs="Times New Roman"/>
          <w:b/>
          <w:sz w:val="24"/>
          <w:szCs w:val="24"/>
        </w:rPr>
        <w:t>Overview</w:t>
      </w:r>
    </w:p>
    <w:p>
      <w:pPr>
        <w:pStyle w:val="RBUBullets"/>
        <w:rPr>
          <w:szCs w:val="24"/>
        </w:rPr>
      </w:pPr>
      <w:r>
        <w:rPr>
          <w:szCs w:val="24"/>
        </w:rPr>
        <w:lastRenderedPageBreak/>
        <w:t xml:space="preserve">Eleven states have passed some form of legislation addressing police body cam footage </w:t>
      </w:r>
    </w:p>
    <w:p>
      <w:pPr>
        <w:pStyle w:val="RB2Bullets"/>
        <w:rPr>
          <w:szCs w:val="24"/>
        </w:rPr>
      </w:pPr>
      <w:r>
        <w:rPr>
          <w:szCs w:val="24"/>
        </w:rPr>
        <w:t>Nine states have enacted laws</w:t>
      </w:r>
      <w:r>
        <w:rPr>
          <w:rStyle w:val="FootnoteReference"/>
          <w:szCs w:val="24"/>
        </w:rPr>
        <w:footnoteReference w:id="1"/>
      </w:r>
    </w:p>
    <w:p>
      <w:pPr>
        <w:pStyle w:val="RB2Bullets"/>
        <w:rPr>
          <w:szCs w:val="24"/>
        </w:rPr>
      </w:pPr>
      <w:r>
        <w:rPr>
          <w:szCs w:val="24"/>
        </w:rPr>
        <w:t>Two states  have passed legislation that is awaiting signature by the governor</w:t>
      </w:r>
      <w:r>
        <w:rPr>
          <w:rStyle w:val="FootnoteReference"/>
          <w:szCs w:val="24"/>
        </w:rPr>
        <w:footnoteReference w:id="2"/>
      </w:r>
    </w:p>
    <w:p>
      <w:pPr>
        <w:pStyle w:val="RBUBullets"/>
        <w:rPr>
          <w:szCs w:val="24"/>
        </w:rPr>
      </w:pPr>
      <w:r>
        <w:rPr>
          <w:szCs w:val="24"/>
        </w:rPr>
        <w:t>Fourteen states have not proposed any police body cam legislation at the state level</w:t>
      </w:r>
      <w:r>
        <w:rPr>
          <w:rStyle w:val="FootnoteReference"/>
          <w:szCs w:val="24"/>
        </w:rPr>
        <w:footnoteReference w:id="3"/>
      </w:r>
      <w:r>
        <w:rPr>
          <w:szCs w:val="24"/>
        </w:rPr>
        <w:t>,</w:t>
      </w:r>
    </w:p>
    <w:p>
      <w:pPr>
        <w:pStyle w:val="RB2Bullets"/>
        <w:rPr>
          <w:szCs w:val="24"/>
        </w:rPr>
      </w:pPr>
      <w:r>
        <w:rPr>
          <w:szCs w:val="24"/>
        </w:rPr>
        <w:t>Of those fourteen states, one has had a proposal enacted by a state administrative body</w:t>
      </w:r>
      <w:r>
        <w:rPr>
          <w:rStyle w:val="FootnoteReference"/>
          <w:szCs w:val="24"/>
        </w:rPr>
        <w:footnoteReference w:id="4"/>
      </w:r>
      <w:r>
        <w:rPr>
          <w:szCs w:val="24"/>
        </w:rPr>
        <w:t xml:space="preserve">  </w:t>
      </w:r>
    </w:p>
    <w:p>
      <w:pPr>
        <w:pStyle w:val="RBUBullets"/>
        <w:rPr>
          <w:szCs w:val="24"/>
        </w:rPr>
      </w:pPr>
      <w:r>
        <w:rPr>
          <w:szCs w:val="24"/>
        </w:rPr>
        <w:t>The remaining twenty-five states have introduced legislation addressing police body cam footage, which either is under consideration</w:t>
      </w:r>
      <w:r>
        <w:rPr>
          <w:rStyle w:val="FootnoteReference"/>
          <w:szCs w:val="24"/>
        </w:rPr>
        <w:footnoteReference w:id="5"/>
      </w:r>
      <w:r>
        <w:rPr>
          <w:szCs w:val="24"/>
        </w:rPr>
        <w:t xml:space="preserve"> or has been debated and rejected in the legislative process.</w:t>
      </w:r>
      <w:r>
        <w:rPr>
          <w:rStyle w:val="FootnoteReference"/>
          <w:szCs w:val="24"/>
        </w:rPr>
        <w:footnoteReference w:id="6"/>
      </w:r>
      <w:r>
        <w:rPr>
          <w:szCs w:val="24"/>
        </w:rPr>
        <w:t xml:space="preserve">    </w:t>
      </w:r>
    </w:p>
    <w:p>
      <w:pPr>
        <w:pStyle w:val="RBUBullets"/>
        <w:numPr>
          <w:ilvl w:val="0"/>
          <w:numId w:val="0"/>
        </w:numPr>
        <w:ind w:left="360" w:hanging="360"/>
        <w:rPr>
          <w:b/>
          <w:szCs w:val="24"/>
        </w:rPr>
      </w:pPr>
      <w:r>
        <w:rPr>
          <w:b/>
          <w:szCs w:val="24"/>
        </w:rPr>
        <w:t>Collection</w:t>
      </w:r>
    </w:p>
    <w:p>
      <w:pPr>
        <w:spacing w:after="120" w:line="240" w:lineRule="auto"/>
        <w:rPr>
          <w:rFonts w:ascii="Times New Roman" w:hAnsi="Times New Roman" w:cs="Times New Roman"/>
          <w:sz w:val="24"/>
          <w:szCs w:val="24"/>
        </w:rPr>
      </w:pPr>
      <w:r>
        <w:rPr>
          <w:rFonts w:ascii="Times New Roman" w:hAnsi="Times New Roman" w:cs="Times New Roman"/>
          <w:sz w:val="24"/>
          <w:szCs w:val="24"/>
        </w:rPr>
        <w:tab/>
        <w:t>Approximately half of states have at least proposed legislation regarding the collection of police body camera footage.  There are a range of proposals on this issue:</w:t>
      </w:r>
    </w:p>
    <w:p>
      <w:pPr>
        <w:pStyle w:val="RBUBullets"/>
        <w:rPr>
          <w:szCs w:val="24"/>
        </w:rPr>
      </w:pPr>
      <w:r>
        <w:rPr>
          <w:szCs w:val="24"/>
        </w:rPr>
        <w:t>On one end of the spectrum, eight states have laws or proposals that would delegate the drafting of collection policies to a third party.  This would generally be a law enforcement agency that is likely to craft policies more favorable to law enforcement interests than civil liberty considerations.</w:t>
      </w:r>
      <w:r>
        <w:rPr>
          <w:rStyle w:val="FootnoteReference"/>
          <w:szCs w:val="24"/>
        </w:rPr>
        <w:footnoteReference w:id="7"/>
      </w:r>
    </w:p>
    <w:p>
      <w:pPr>
        <w:pStyle w:val="RBUBullets"/>
        <w:rPr>
          <w:szCs w:val="24"/>
        </w:rPr>
      </w:pPr>
      <w:r>
        <w:rPr>
          <w:szCs w:val="24"/>
        </w:rPr>
        <w:t>On the other end of the spectrum, several states have proposed legislation that broadly requires police to record in nearly all circumstances.</w:t>
      </w:r>
      <w:r>
        <w:rPr>
          <w:rStyle w:val="FootnoteReference"/>
          <w:szCs w:val="24"/>
        </w:rPr>
        <w:footnoteReference w:id="8"/>
      </w:r>
    </w:p>
    <w:p>
      <w:pPr>
        <w:pStyle w:val="RBUBullets"/>
        <w:rPr>
          <w:szCs w:val="24"/>
        </w:rPr>
      </w:pPr>
      <w:r>
        <w:rPr>
          <w:szCs w:val="24"/>
        </w:rPr>
        <w:t>Many states are coming down in between these extremes, requiring recording but enumerating exceptions where recording can be stopped, such as allowing that cameras may be turned off when</w:t>
      </w:r>
    </w:p>
    <w:p>
      <w:pPr>
        <w:pStyle w:val="RB2Bullets"/>
        <w:rPr>
          <w:szCs w:val="24"/>
        </w:rPr>
      </w:pPr>
      <w:r>
        <w:rPr>
          <w:szCs w:val="24"/>
        </w:rPr>
        <w:t>the officer is inside a patrol car</w:t>
      </w:r>
    </w:p>
    <w:p>
      <w:pPr>
        <w:pStyle w:val="RB2Bullets"/>
        <w:rPr>
          <w:szCs w:val="24"/>
        </w:rPr>
      </w:pPr>
      <w:r>
        <w:rPr>
          <w:szCs w:val="24"/>
        </w:rPr>
        <w:t xml:space="preserve">a victim or witness requests the camera be turned off </w:t>
      </w:r>
    </w:p>
    <w:p>
      <w:pPr>
        <w:pStyle w:val="RB2Bullets"/>
        <w:rPr>
          <w:szCs w:val="24"/>
        </w:rPr>
      </w:pPr>
      <w:r>
        <w:rPr>
          <w:szCs w:val="24"/>
        </w:rPr>
        <w:t>the officer is interacting with a confidential informant</w:t>
      </w:r>
    </w:p>
    <w:p>
      <w:pPr>
        <w:pStyle w:val="RB2Bullets"/>
        <w:rPr>
          <w:szCs w:val="24"/>
        </w:rPr>
      </w:pPr>
      <w:r>
        <w:rPr>
          <w:szCs w:val="24"/>
        </w:rPr>
        <w:t xml:space="preserve">the officer is engaging in community caretaking functions or </w:t>
      </w:r>
    </w:p>
    <w:p>
      <w:pPr>
        <w:pStyle w:val="RB2Bullets"/>
        <w:rPr>
          <w:szCs w:val="24"/>
        </w:rPr>
      </w:pPr>
      <w:proofErr w:type="gramStart"/>
      <w:r>
        <w:rPr>
          <w:szCs w:val="24"/>
        </w:rPr>
        <w:t>a</w:t>
      </w:r>
      <w:proofErr w:type="gramEnd"/>
      <w:r>
        <w:rPr>
          <w:szCs w:val="24"/>
        </w:rPr>
        <w:t xml:space="preserve"> resident of a home requests the camera be turned off  when an officer enters the home under non-exigent circumstances.</w:t>
      </w:r>
    </w:p>
    <w:p>
      <w:pPr>
        <w:pStyle w:val="RBUBullets"/>
        <w:numPr>
          <w:ilvl w:val="0"/>
          <w:numId w:val="0"/>
        </w:numPr>
        <w:rPr>
          <w:szCs w:val="24"/>
        </w:rPr>
      </w:pPr>
      <w:r>
        <w:rPr>
          <w:b/>
          <w:szCs w:val="24"/>
        </w:rPr>
        <w:t>Retention</w:t>
      </w:r>
    </w:p>
    <w:p>
      <w:pPr>
        <w:spacing w:after="120" w:line="240" w:lineRule="auto"/>
        <w:rPr>
          <w:rFonts w:ascii="Times New Roman" w:hAnsi="Times New Roman" w:cs="Times New Roman"/>
          <w:sz w:val="24"/>
          <w:szCs w:val="24"/>
        </w:rPr>
      </w:pPr>
      <w:r>
        <w:rPr>
          <w:rFonts w:ascii="Times New Roman" w:hAnsi="Times New Roman" w:cs="Times New Roman"/>
          <w:sz w:val="24"/>
          <w:szCs w:val="24"/>
        </w:rPr>
        <w:tab/>
        <w:t>Nearly half of states have at least proposed legislation regarding the retention of police body camera footage.  As with collection, there are a wide range of approaches:</w:t>
      </w:r>
    </w:p>
    <w:p>
      <w:pPr>
        <w:pStyle w:val="RBUBullets"/>
        <w:rPr>
          <w:szCs w:val="24"/>
        </w:rPr>
      </w:pPr>
      <w:r>
        <w:rPr>
          <w:szCs w:val="24"/>
        </w:rPr>
        <w:lastRenderedPageBreak/>
        <w:t>Several  states have enacted or proposed rules that delegate to local police the authority to craft retention requirements, which tend to result in  police-friendly provisions</w:t>
      </w:r>
      <w:r>
        <w:rPr>
          <w:rStyle w:val="FootnoteReference"/>
          <w:szCs w:val="24"/>
        </w:rPr>
        <w:footnoteReference w:id="9"/>
      </w:r>
    </w:p>
    <w:p>
      <w:pPr>
        <w:pStyle w:val="RBUBullets"/>
        <w:rPr>
          <w:szCs w:val="24"/>
        </w:rPr>
      </w:pPr>
      <w:r>
        <w:rPr>
          <w:szCs w:val="24"/>
        </w:rPr>
        <w:t xml:space="preserve">Most states, however, have enacted laws that set specific retention timelines, such as </w:t>
      </w:r>
    </w:p>
    <w:p>
      <w:pPr>
        <w:pStyle w:val="RB2Bullets"/>
        <w:rPr>
          <w:szCs w:val="24"/>
        </w:rPr>
      </w:pPr>
      <w:r>
        <w:rPr>
          <w:szCs w:val="24"/>
        </w:rPr>
        <w:t>Recordings are retained for periods ranging from 7 days in some proposals to 180 days in the most transparency-minded suggestions, with 30 and 90 days as the most frequent periods</w:t>
      </w:r>
    </w:p>
    <w:p>
      <w:pPr>
        <w:pStyle w:val="RB2Bullets"/>
        <w:rPr>
          <w:szCs w:val="24"/>
        </w:rPr>
      </w:pPr>
      <w:r>
        <w:rPr>
          <w:szCs w:val="24"/>
        </w:rPr>
        <w:t>Most states  allow for a longer retention period of up to  2 or 3 years for special circumstances, including when—</w:t>
      </w:r>
    </w:p>
    <w:p>
      <w:pPr>
        <w:pStyle w:val="RB3Bullets"/>
        <w:rPr>
          <w:szCs w:val="24"/>
        </w:rPr>
      </w:pPr>
      <w:r>
        <w:rPr>
          <w:szCs w:val="24"/>
        </w:rPr>
        <w:t>a complaint has been filed associated with the recording</w:t>
      </w:r>
    </w:p>
    <w:p>
      <w:pPr>
        <w:pStyle w:val="RB3Bullets"/>
        <w:rPr>
          <w:szCs w:val="24"/>
        </w:rPr>
      </w:pPr>
      <w:r>
        <w:rPr>
          <w:szCs w:val="24"/>
        </w:rPr>
        <w:t>an officer discharged a firearm or used excessive force</w:t>
      </w:r>
    </w:p>
    <w:p>
      <w:pPr>
        <w:pStyle w:val="RB3Bullets"/>
        <w:rPr>
          <w:szCs w:val="24"/>
        </w:rPr>
      </w:pPr>
      <w:r>
        <w:rPr>
          <w:szCs w:val="24"/>
        </w:rPr>
        <w:t>death or great bodily harm resulted from the officer’s conduct</w:t>
      </w:r>
    </w:p>
    <w:p>
      <w:pPr>
        <w:pStyle w:val="RB3Bullets"/>
        <w:rPr>
          <w:szCs w:val="24"/>
        </w:rPr>
      </w:pPr>
      <w:r>
        <w:rPr>
          <w:szCs w:val="24"/>
        </w:rPr>
        <w:t>the recording led to detention or arrest</w:t>
      </w:r>
    </w:p>
    <w:p>
      <w:pPr>
        <w:pStyle w:val="RB3Bullets"/>
        <w:rPr>
          <w:szCs w:val="24"/>
        </w:rPr>
      </w:pPr>
      <w:r>
        <w:rPr>
          <w:szCs w:val="24"/>
        </w:rPr>
        <w:t>the officer is subject to an investigation</w:t>
      </w:r>
    </w:p>
    <w:p>
      <w:pPr>
        <w:pStyle w:val="RB3Bullets"/>
        <w:rPr>
          <w:szCs w:val="24"/>
        </w:rPr>
      </w:pPr>
      <w:r>
        <w:rPr>
          <w:szCs w:val="24"/>
        </w:rPr>
        <w:t>the recording has evidentiary value or</w:t>
      </w:r>
    </w:p>
    <w:p>
      <w:pPr>
        <w:pStyle w:val="RB3Bullets"/>
        <w:rPr>
          <w:szCs w:val="24"/>
        </w:rPr>
      </w:pPr>
      <w:proofErr w:type="gramStart"/>
      <w:r>
        <w:rPr>
          <w:szCs w:val="24"/>
        </w:rPr>
        <w:t>the</w:t>
      </w:r>
      <w:proofErr w:type="gramEnd"/>
      <w:r>
        <w:rPr>
          <w:szCs w:val="24"/>
        </w:rPr>
        <w:t xml:space="preserve"> officer requests that the video be retained for the longer period.</w:t>
      </w:r>
    </w:p>
    <w:p>
      <w:pPr>
        <w:spacing w:after="120" w:line="240" w:lineRule="auto"/>
        <w:rPr>
          <w:rFonts w:ascii="Times New Roman" w:hAnsi="Times New Roman" w:cs="Times New Roman"/>
          <w:b/>
          <w:sz w:val="24"/>
          <w:szCs w:val="24"/>
        </w:rPr>
      </w:pPr>
      <w:r>
        <w:rPr>
          <w:rFonts w:ascii="Times New Roman" w:hAnsi="Times New Roman" w:cs="Times New Roman"/>
          <w:b/>
          <w:sz w:val="24"/>
          <w:szCs w:val="24"/>
        </w:rPr>
        <w:t>FOIA Applicability</w:t>
      </w:r>
    </w:p>
    <w:p>
      <w:pPr>
        <w:spacing w:after="120" w:line="240" w:lineRule="auto"/>
        <w:rPr>
          <w:rFonts w:ascii="Times New Roman" w:hAnsi="Times New Roman" w:cs="Times New Roman"/>
          <w:sz w:val="24"/>
          <w:szCs w:val="24"/>
        </w:rPr>
      </w:pPr>
      <w:r>
        <w:rPr>
          <w:rFonts w:ascii="Times New Roman" w:hAnsi="Times New Roman" w:cs="Times New Roman"/>
          <w:sz w:val="24"/>
          <w:szCs w:val="24"/>
        </w:rPr>
        <w:tab/>
        <w:t xml:space="preserve">Over half of states have addressed the question of whether body camera footage is covered under existing FOIA laws (and exemptions) or whether the footage requires a specifically enumerated exception.  </w:t>
      </w:r>
    </w:p>
    <w:p>
      <w:pPr>
        <w:pStyle w:val="RBUBullets"/>
        <w:rPr>
          <w:szCs w:val="24"/>
        </w:rPr>
      </w:pPr>
      <w:r>
        <w:rPr>
          <w:szCs w:val="24"/>
        </w:rPr>
        <w:t>Five states  have issued blanket prohibitions on accessing police body camera footage under FOIA</w:t>
      </w:r>
      <w:r>
        <w:rPr>
          <w:rStyle w:val="FootnoteReference"/>
          <w:szCs w:val="24"/>
        </w:rPr>
        <w:footnoteReference w:id="10"/>
      </w:r>
    </w:p>
    <w:p>
      <w:pPr>
        <w:pStyle w:val="RBUBullets"/>
        <w:rPr>
          <w:szCs w:val="24"/>
        </w:rPr>
      </w:pPr>
      <w:r>
        <w:rPr>
          <w:szCs w:val="24"/>
        </w:rPr>
        <w:t>Some states have proposals that explicitly seek to include body camera footage within  the purview of state open record laws</w:t>
      </w:r>
      <w:r>
        <w:rPr>
          <w:rStyle w:val="FootnoteReference"/>
          <w:szCs w:val="24"/>
        </w:rPr>
        <w:footnoteReference w:id="11"/>
      </w:r>
    </w:p>
    <w:p>
      <w:pPr>
        <w:pStyle w:val="RBUBullets"/>
        <w:rPr>
          <w:szCs w:val="24"/>
        </w:rPr>
      </w:pPr>
      <w:r>
        <w:rPr>
          <w:szCs w:val="24"/>
        </w:rPr>
        <w:t>Most states that have addressed the FOIA exemption question have suggested that police body camera footage is explicitly excluded in instances where privacy concerns enter the picture</w:t>
      </w:r>
    </w:p>
    <w:p>
      <w:pPr>
        <w:pStyle w:val="RBUBullets"/>
        <w:rPr>
          <w:szCs w:val="24"/>
        </w:rPr>
      </w:pPr>
      <w:r>
        <w:rPr>
          <w:szCs w:val="24"/>
        </w:rPr>
        <w:t xml:space="preserve">States have proposed a number of specific circumstances where body cam footage would be exempt from disclosure, such as where footage </w:t>
      </w:r>
    </w:p>
    <w:p>
      <w:pPr>
        <w:pStyle w:val="RB2Bullets"/>
        <w:rPr>
          <w:szCs w:val="24"/>
        </w:rPr>
      </w:pPr>
      <w:r>
        <w:rPr>
          <w:szCs w:val="24"/>
        </w:rPr>
        <w:t>relates to law enforcement investigations</w:t>
      </w:r>
    </w:p>
    <w:p>
      <w:pPr>
        <w:pStyle w:val="RB2Bullets"/>
        <w:rPr>
          <w:szCs w:val="24"/>
        </w:rPr>
      </w:pPr>
      <w:r>
        <w:rPr>
          <w:szCs w:val="24"/>
        </w:rPr>
        <w:t>displays</w:t>
      </w:r>
    </w:p>
    <w:p>
      <w:pPr>
        <w:pStyle w:val="RB3Bullets"/>
        <w:rPr>
          <w:szCs w:val="24"/>
        </w:rPr>
      </w:pPr>
      <w:r>
        <w:rPr>
          <w:szCs w:val="24"/>
        </w:rPr>
        <w:t>death or serious injury</w:t>
      </w:r>
    </w:p>
    <w:p>
      <w:pPr>
        <w:pStyle w:val="RB3Bullets"/>
        <w:rPr>
          <w:szCs w:val="24"/>
        </w:rPr>
      </w:pPr>
      <w:r>
        <w:rPr>
          <w:szCs w:val="24"/>
        </w:rPr>
        <w:t>nudity</w:t>
      </w:r>
    </w:p>
    <w:p>
      <w:pPr>
        <w:pStyle w:val="RB3Bullets"/>
        <w:rPr>
          <w:szCs w:val="24"/>
        </w:rPr>
      </w:pPr>
      <w:r>
        <w:rPr>
          <w:szCs w:val="24"/>
        </w:rPr>
        <w:t>minors under the age of 16</w:t>
      </w:r>
    </w:p>
    <w:p>
      <w:pPr>
        <w:pStyle w:val="RB3Bullets"/>
        <w:rPr>
          <w:szCs w:val="24"/>
        </w:rPr>
      </w:pPr>
      <w:r>
        <w:rPr>
          <w:szCs w:val="24"/>
        </w:rPr>
        <w:lastRenderedPageBreak/>
        <w:t>detention for mental health or drug treatment purposes</w:t>
      </w:r>
    </w:p>
    <w:p>
      <w:pPr>
        <w:pStyle w:val="RB3Bullets"/>
        <w:rPr>
          <w:szCs w:val="24"/>
        </w:rPr>
      </w:pPr>
      <w:r>
        <w:rPr>
          <w:szCs w:val="24"/>
        </w:rPr>
        <w:t>personal information</w:t>
      </w:r>
    </w:p>
    <w:p>
      <w:pPr>
        <w:pStyle w:val="RB3Bullets"/>
        <w:rPr>
          <w:szCs w:val="24"/>
        </w:rPr>
      </w:pPr>
      <w:r>
        <w:rPr>
          <w:szCs w:val="24"/>
        </w:rPr>
        <w:t>the identity of a sex crime or domestic violence victim</w:t>
      </w:r>
    </w:p>
    <w:p>
      <w:pPr>
        <w:pStyle w:val="RB3Bullets"/>
        <w:rPr>
          <w:szCs w:val="24"/>
        </w:rPr>
      </w:pPr>
      <w:r>
        <w:rPr>
          <w:szCs w:val="24"/>
        </w:rPr>
        <w:t>confidential informants</w:t>
      </w:r>
    </w:p>
    <w:p>
      <w:pPr>
        <w:pStyle w:val="RB3Bullets"/>
        <w:rPr>
          <w:szCs w:val="24"/>
        </w:rPr>
      </w:pPr>
      <w:proofErr w:type="gramStart"/>
      <w:r>
        <w:rPr>
          <w:szCs w:val="24"/>
        </w:rPr>
        <w:t>information</w:t>
      </w:r>
      <w:proofErr w:type="gramEnd"/>
      <w:r>
        <w:rPr>
          <w:szCs w:val="24"/>
        </w:rPr>
        <w:t xml:space="preserve">, including the identity of an officer, that would compromise a pending investigation.  </w:t>
      </w:r>
    </w:p>
    <w:p>
      <w:pPr>
        <w:spacing w:after="120" w:line="240" w:lineRule="auto"/>
        <w:rPr>
          <w:rFonts w:ascii="Times New Roman" w:hAnsi="Times New Roman" w:cs="Times New Roman"/>
          <w:b/>
          <w:sz w:val="24"/>
          <w:szCs w:val="24"/>
        </w:rPr>
      </w:pPr>
      <w:proofErr w:type="spellStart"/>
      <w:r>
        <w:rPr>
          <w:rFonts w:ascii="Times New Roman" w:hAnsi="Times New Roman" w:cs="Times New Roman"/>
          <w:b/>
          <w:sz w:val="24"/>
          <w:szCs w:val="24"/>
        </w:rPr>
        <w:t>Dashcam</w:t>
      </w:r>
      <w:proofErr w:type="spellEnd"/>
      <w:r>
        <w:rPr>
          <w:rFonts w:ascii="Times New Roman" w:hAnsi="Times New Roman" w:cs="Times New Roman"/>
          <w:b/>
          <w:sz w:val="24"/>
          <w:szCs w:val="24"/>
        </w:rPr>
        <w:t xml:space="preserve"> Policy</w:t>
      </w:r>
    </w:p>
    <w:p>
      <w:pPr>
        <w:spacing w:after="240" w:line="240" w:lineRule="auto"/>
        <w:rPr>
          <w:rFonts w:ascii="Times New Roman" w:hAnsi="Times New Roman" w:cs="Times New Roman"/>
          <w:sz w:val="24"/>
          <w:szCs w:val="24"/>
        </w:rPr>
      </w:pPr>
      <w:r>
        <w:rPr>
          <w:rFonts w:ascii="Times New Roman" w:hAnsi="Times New Roman" w:cs="Times New Roman"/>
          <w:sz w:val="24"/>
          <w:szCs w:val="24"/>
        </w:rPr>
        <w:tab/>
        <w:t xml:space="preserve">Most </w:t>
      </w:r>
      <w:proofErr w:type="spellStart"/>
      <w:r>
        <w:rPr>
          <w:rFonts w:ascii="Times New Roman" w:hAnsi="Times New Roman" w:cs="Times New Roman"/>
          <w:sz w:val="24"/>
          <w:szCs w:val="24"/>
        </w:rPr>
        <w:t>dashcam</w:t>
      </w:r>
      <w:proofErr w:type="spellEnd"/>
      <w:r>
        <w:rPr>
          <w:rFonts w:ascii="Times New Roman" w:hAnsi="Times New Roman" w:cs="Times New Roman"/>
          <w:sz w:val="24"/>
          <w:szCs w:val="24"/>
        </w:rPr>
        <w:t xml:space="preserve"> footage policies, by contrast to proposed body camera policies, treat that footage as covered by general FOIA exemptions.  For example, Nebraska and Oklahoma currently withhold </w:t>
      </w:r>
      <w:proofErr w:type="spellStart"/>
      <w:r>
        <w:rPr>
          <w:rFonts w:ascii="Times New Roman" w:hAnsi="Times New Roman" w:cs="Times New Roman"/>
          <w:sz w:val="24"/>
          <w:szCs w:val="24"/>
        </w:rPr>
        <w:t>dashcam</w:t>
      </w:r>
      <w:proofErr w:type="spellEnd"/>
      <w:r>
        <w:rPr>
          <w:rFonts w:ascii="Times New Roman" w:hAnsi="Times New Roman" w:cs="Times New Roman"/>
          <w:sz w:val="24"/>
          <w:szCs w:val="24"/>
        </w:rPr>
        <w:t xml:space="preserve"> footage if it constitutes part of an investigation, and proposals in Missouri and Rhode Island would do the same.  However, states appear more comfortable with the public accessing records of </w:t>
      </w:r>
      <w:proofErr w:type="spellStart"/>
      <w:r>
        <w:rPr>
          <w:rFonts w:ascii="Times New Roman" w:hAnsi="Times New Roman" w:cs="Times New Roman"/>
          <w:sz w:val="24"/>
          <w:szCs w:val="24"/>
        </w:rPr>
        <w:t>dashcams</w:t>
      </w:r>
      <w:proofErr w:type="spellEnd"/>
      <w:r>
        <w:rPr>
          <w:rFonts w:ascii="Times New Roman" w:hAnsi="Times New Roman" w:cs="Times New Roman"/>
          <w:sz w:val="24"/>
          <w:szCs w:val="24"/>
        </w:rPr>
        <w:t xml:space="preserve"> than they are at the present time with public access to the broader range of footage that is collected by police body cameras.</w:t>
      </w:r>
    </w:p>
    <w:p>
      <w:pPr>
        <w:spacing w:after="240" w:line="240" w:lineRule="auto"/>
        <w:rPr>
          <w:rFonts w:ascii="Times New Roman" w:hAnsi="Times New Roman" w:cs="Times New Roman"/>
          <w:i/>
          <w:sz w:val="24"/>
          <w:szCs w:val="24"/>
        </w:rPr>
      </w:pPr>
      <w:r>
        <w:rPr>
          <w:rFonts w:ascii="Times New Roman" w:hAnsi="Times New Roman" w:cs="Times New Roman"/>
          <w:i/>
          <w:sz w:val="24"/>
          <w:szCs w:val="24"/>
        </w:rPr>
        <w:t>City Policies</w:t>
      </w:r>
    </w:p>
    <w:p>
      <w:pPr>
        <w:spacing w:after="120" w:line="240" w:lineRule="auto"/>
        <w:rPr>
          <w:rFonts w:ascii="Times New Roman" w:hAnsi="Times New Roman" w:cs="Times New Roman"/>
          <w:sz w:val="24"/>
          <w:szCs w:val="24"/>
        </w:rPr>
      </w:pPr>
      <w:r>
        <w:rPr>
          <w:rFonts w:ascii="Times New Roman" w:hAnsi="Times New Roman" w:cs="Times New Roman"/>
          <w:sz w:val="24"/>
          <w:szCs w:val="24"/>
        </w:rPr>
        <w:tab/>
        <w:t xml:space="preserve">While crafting open-record and right-to-know laws has largely been handled on the state level, decisions regarding whether or not to purchase body cameras—and if so, in what quantity—as well as implementation policies, are vested in various city and county legislative bodies.  Of the 15 major U.S. cities the Coalition surveyed, </w:t>
      </w:r>
    </w:p>
    <w:p>
      <w:pPr>
        <w:pStyle w:val="RBUBullets"/>
        <w:rPr>
          <w:szCs w:val="24"/>
        </w:rPr>
      </w:pPr>
      <w:r>
        <w:rPr>
          <w:szCs w:val="24"/>
        </w:rPr>
        <w:t>Twelve cities have implemented a pilot program to test different body camera offerings and develop workable policies for wider implementation</w:t>
      </w:r>
      <w:r>
        <w:rPr>
          <w:rStyle w:val="FootnoteReference"/>
          <w:szCs w:val="24"/>
        </w:rPr>
        <w:footnoteReference w:id="12"/>
      </w:r>
    </w:p>
    <w:p>
      <w:pPr>
        <w:pStyle w:val="RBUBullets"/>
        <w:rPr>
          <w:szCs w:val="24"/>
        </w:rPr>
      </w:pPr>
      <w:r>
        <w:rPr>
          <w:szCs w:val="24"/>
        </w:rPr>
        <w:t>Five cities have approved the large-scale purchase of body cameras, with procurements ranging from five hundred to one thousand cameras</w:t>
      </w:r>
      <w:r>
        <w:rPr>
          <w:rStyle w:val="FootnoteReference"/>
          <w:szCs w:val="24"/>
        </w:rPr>
        <w:footnoteReference w:id="13"/>
      </w:r>
    </w:p>
    <w:p>
      <w:pPr>
        <w:pStyle w:val="RBUBullets"/>
        <w:rPr>
          <w:szCs w:val="24"/>
        </w:rPr>
      </w:pPr>
      <w:r>
        <w:rPr>
          <w:szCs w:val="24"/>
        </w:rPr>
        <w:t>An additional three cities have a proposed budget item for body cameras currently pending before the city’s governing board</w:t>
      </w:r>
      <w:r>
        <w:rPr>
          <w:rStyle w:val="FootnoteReference"/>
          <w:szCs w:val="24"/>
        </w:rPr>
        <w:footnoteReference w:id="14"/>
      </w:r>
      <w:r>
        <w:rPr>
          <w:szCs w:val="24"/>
        </w:rPr>
        <w:t xml:space="preserve">  </w:t>
      </w:r>
    </w:p>
    <w:p>
      <w:pPr>
        <w:pStyle w:val="RBUBullets"/>
        <w:rPr>
          <w:szCs w:val="24"/>
        </w:rPr>
      </w:pPr>
      <w:r>
        <w:rPr>
          <w:szCs w:val="24"/>
        </w:rPr>
        <w:t>Only Boston has proved completely unwilling to consider the implementation of body camera systems.</w:t>
      </w:r>
    </w:p>
    <w:p>
      <w:pPr>
        <w:spacing w:after="120" w:line="240" w:lineRule="auto"/>
        <w:rPr>
          <w:rFonts w:ascii="Times New Roman" w:hAnsi="Times New Roman" w:cs="Times New Roman"/>
          <w:sz w:val="24"/>
          <w:szCs w:val="24"/>
        </w:rPr>
      </w:pPr>
      <w:r>
        <w:rPr>
          <w:rFonts w:ascii="Times New Roman" w:hAnsi="Times New Roman" w:cs="Times New Roman"/>
          <w:sz w:val="24"/>
          <w:szCs w:val="24"/>
        </w:rPr>
        <w:tab/>
        <w:t xml:space="preserve">Many municipalities find themselves in the position of purchasing body camera equipment while simultaneously developing appropriate policies to accompany its use.  In the ongoing conversation between elected officials, police leaders, civil libertarians, and community representatives, questions of when to record and who can have access to the recordings have proven difficult to resolve.  While the majority of cities with clearly defined policies prohibit recording interviews with sexual assault and domestic violence victims, or in areas with an expectation of privacy, the overwhelming response has been to err on the side of recording more, rather than less, police-citizen interaction.  Access policies differ widely, ranging from Seattle, which releases all videos (after redaction) on its YouTube page, to San Diego, which treats all </w:t>
      </w:r>
      <w:r>
        <w:rPr>
          <w:rFonts w:ascii="Times New Roman" w:hAnsi="Times New Roman" w:cs="Times New Roman"/>
          <w:sz w:val="24"/>
          <w:szCs w:val="24"/>
        </w:rPr>
        <w:lastRenderedPageBreak/>
        <w:t xml:space="preserve">videos as evidence and therefore does not release them.  The most common standard for length of retention is ninety days for non-evidentiary recordings. </w:t>
      </w:r>
    </w:p>
    <w:p>
      <w:pPr>
        <w:spacing w:after="120" w:line="240" w:lineRule="auto"/>
        <w:rPr>
          <w:rFonts w:ascii="Times New Roman" w:hAnsi="Times New Roman" w:cs="Times New Roman"/>
          <w:sz w:val="24"/>
          <w:szCs w:val="24"/>
        </w:rPr>
      </w:pPr>
      <w:r>
        <w:rPr>
          <w:rFonts w:ascii="Times New Roman" w:hAnsi="Times New Roman" w:cs="Times New Roman"/>
          <w:sz w:val="24"/>
          <w:szCs w:val="24"/>
        </w:rPr>
        <w:tab/>
        <w:t xml:space="preserve">While state-level policies likely are going to control the conversation going forward, decisions occurring at the local level are distinct for two reasons.  </w:t>
      </w:r>
      <w:proofErr w:type="gramStart"/>
      <w:r>
        <w:rPr>
          <w:rFonts w:ascii="Times New Roman" w:hAnsi="Times New Roman" w:cs="Times New Roman"/>
          <w:sz w:val="24"/>
          <w:szCs w:val="24"/>
        </w:rPr>
        <w:t>First, many municipal proposals and policies are being developed and enacted at a much faster pace than their state counterparts.</w:t>
      </w:r>
      <w:proofErr w:type="gramEnd"/>
      <w:r>
        <w:rPr>
          <w:rFonts w:ascii="Times New Roman" w:hAnsi="Times New Roman" w:cs="Times New Roman"/>
          <w:sz w:val="24"/>
          <w:szCs w:val="24"/>
        </w:rPr>
        <w:t xml:space="preserve">  Second, the interplay between local and state officials on this issue has created an environment where some cities have attempted to craft a model policy to anticipate and guide statewide debate. </w:t>
      </w:r>
    </w:p>
    <w:p/>
    <w:sectPr>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DocID"/>
    </w:pPr>
    <w:fldSimple w:instr=" DOCPROPERTY DOCXDOCID DMS=InterwovenIManage Format=&lt;&lt;NUM&gt;&gt;_&lt;&lt;VER&gt;&gt; PRESERVELOCATION \* MERGEFORMAT ">
      <w:r>
        <w:t>51358573_3</w:t>
      </w:r>
    </w:fldSimple>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DocID"/>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DocID"/>
    </w:pPr>
    <w:fldSimple w:instr=" DOCPROPERTY DOCXDOCID DMS=InterwovenIManage Format=&lt;&lt;NUM&gt;&gt;_&lt;&lt;VER&gt;&gt; PRESERVELOCATION \* MERGEFORMAT ">
      <w:r>
        <w:t>51358573_3</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pPr>
        <w:spacing w:after="0" w:line="240" w:lineRule="auto"/>
      </w:pPr>
      <w:r>
        <w:separator/>
      </w:r>
    </w:p>
  </w:footnote>
  <w:footnote w:type="continuationSeparator" w:id="0">
    <w:p>
      <w:pPr>
        <w:spacing w:after="0" w:line="240" w:lineRule="auto"/>
      </w:pPr>
      <w:r>
        <w:continuationSeparator/>
      </w:r>
    </w:p>
  </w:footnote>
  <w:footnote w:id="1">
    <w:p>
      <w:pPr>
        <w:pStyle w:val="FootnoteText"/>
      </w:pPr>
      <w:r>
        <w:rPr>
          <w:rStyle w:val="FootnoteReference"/>
        </w:rPr>
        <w:footnoteRef/>
      </w:r>
      <w:r>
        <w:t xml:space="preserve"> </w:t>
      </w:r>
      <w:proofErr w:type="gramStart"/>
      <w:r>
        <w:t>AZ, CO, FL, GA, MD, NV, ND, OK, and SC.</w:t>
      </w:r>
      <w:proofErr w:type="gramEnd"/>
      <w:r>
        <w:t xml:space="preserve"> </w:t>
      </w:r>
    </w:p>
  </w:footnote>
  <w:footnote w:id="2">
    <w:p>
      <w:pPr>
        <w:pStyle w:val="FootnoteText"/>
      </w:pPr>
      <w:r>
        <w:rPr>
          <w:rStyle w:val="FootnoteReference"/>
        </w:rPr>
        <w:footnoteRef/>
      </w:r>
      <w:r>
        <w:t xml:space="preserve"> </w:t>
      </w:r>
      <w:proofErr w:type="gramStart"/>
      <w:r>
        <w:t>IL and TX.</w:t>
      </w:r>
      <w:proofErr w:type="gramEnd"/>
    </w:p>
  </w:footnote>
  <w:footnote w:id="3">
    <w:p>
      <w:pPr>
        <w:pStyle w:val="FootnoteText"/>
      </w:pPr>
      <w:r>
        <w:rPr>
          <w:rStyle w:val="FootnoteReference"/>
        </w:rPr>
        <w:footnoteRef/>
      </w:r>
      <w:r>
        <w:t xml:space="preserve"> </w:t>
      </w:r>
      <w:proofErr w:type="gramStart"/>
      <w:r>
        <w:t>AL, AK, AR, DE, ID, KY, ME, NB, NM, OH, SD, WV, WS, and WY.</w:t>
      </w:r>
      <w:proofErr w:type="gramEnd"/>
    </w:p>
  </w:footnote>
  <w:footnote w:id="4">
    <w:p>
      <w:pPr>
        <w:pStyle w:val="FootnoteText"/>
      </w:pPr>
      <w:r>
        <w:rPr>
          <w:rStyle w:val="FootnoteReference"/>
        </w:rPr>
        <w:footnoteRef/>
      </w:r>
      <w:r>
        <w:t xml:space="preserve"> KY</w:t>
      </w:r>
    </w:p>
  </w:footnote>
  <w:footnote w:id="5">
    <w:p>
      <w:pPr>
        <w:pStyle w:val="FootnoteText"/>
      </w:pPr>
      <w:r>
        <w:rPr>
          <w:rStyle w:val="FootnoteReference"/>
        </w:rPr>
        <w:footnoteRef/>
      </w:r>
      <w:r>
        <w:t xml:space="preserve"> CA, CT, HI, IN, IA, KS, LA, MA, MI, MN, MO, NH, NJ, NY, NC, OR, PA, RI, TN, and UT.</w:t>
      </w:r>
    </w:p>
  </w:footnote>
  <w:footnote w:id="6">
    <w:p>
      <w:pPr>
        <w:pStyle w:val="FootnoteText"/>
      </w:pPr>
      <w:r>
        <w:rPr>
          <w:rStyle w:val="FootnoteReference"/>
        </w:rPr>
        <w:footnoteRef/>
      </w:r>
      <w:r>
        <w:t xml:space="preserve"> </w:t>
      </w:r>
      <w:proofErr w:type="gramStart"/>
      <w:r>
        <w:t>MS, MT, UT, and VA.</w:t>
      </w:r>
      <w:proofErr w:type="gramEnd"/>
      <w:r>
        <w:t xml:space="preserve"> </w:t>
      </w:r>
    </w:p>
  </w:footnote>
  <w:footnote w:id="7">
    <w:p>
      <w:pPr>
        <w:pStyle w:val="FootnoteText"/>
      </w:pPr>
      <w:r>
        <w:rPr>
          <w:rStyle w:val="FootnoteReference"/>
        </w:rPr>
        <w:footnoteRef/>
      </w:r>
      <w:r>
        <w:t xml:space="preserve"> </w:t>
      </w:r>
      <w:proofErr w:type="gramStart"/>
      <w:r>
        <w:t>CT, LA, MD, MN, NV, NH, SC, and VA.</w:t>
      </w:r>
      <w:proofErr w:type="gramEnd"/>
    </w:p>
  </w:footnote>
  <w:footnote w:id="8">
    <w:p>
      <w:pPr>
        <w:pStyle w:val="FootnoteText"/>
      </w:pPr>
      <w:r>
        <w:rPr>
          <w:rStyle w:val="FootnoteReference"/>
        </w:rPr>
        <w:footnoteRef/>
      </w:r>
      <w:r>
        <w:t xml:space="preserve"> </w:t>
      </w:r>
      <w:proofErr w:type="gramStart"/>
      <w:r>
        <w:t>PA, TN, and WA.</w:t>
      </w:r>
      <w:proofErr w:type="gramEnd"/>
    </w:p>
  </w:footnote>
  <w:footnote w:id="9">
    <w:p>
      <w:pPr>
        <w:pStyle w:val="FootnoteText"/>
      </w:pPr>
      <w:r>
        <w:rPr>
          <w:rStyle w:val="FootnoteReference"/>
        </w:rPr>
        <w:footnoteRef/>
      </w:r>
      <w:r>
        <w:t xml:space="preserve"> </w:t>
      </w:r>
      <w:proofErr w:type="gramStart"/>
      <w:r>
        <w:t>CA, CT, LA, MD, NV, NC, SC, and VA.</w:t>
      </w:r>
      <w:proofErr w:type="gramEnd"/>
    </w:p>
  </w:footnote>
  <w:footnote w:id="10">
    <w:p>
      <w:pPr>
        <w:pStyle w:val="FootnoteText"/>
      </w:pPr>
      <w:r>
        <w:rPr>
          <w:rStyle w:val="FootnoteReference"/>
        </w:rPr>
        <w:footnoteRef/>
      </w:r>
      <w:r>
        <w:t xml:space="preserve"> </w:t>
      </w:r>
      <w:proofErr w:type="gramStart"/>
      <w:r>
        <w:t>KS, MA, MO, NH, and SC.</w:t>
      </w:r>
      <w:proofErr w:type="gramEnd"/>
    </w:p>
  </w:footnote>
  <w:footnote w:id="11">
    <w:p>
      <w:pPr>
        <w:pStyle w:val="FootnoteText"/>
      </w:pPr>
      <w:r>
        <w:rPr>
          <w:rStyle w:val="FootnoteReference"/>
        </w:rPr>
        <w:footnoteRef/>
      </w:r>
      <w:r>
        <w:t xml:space="preserve"> </w:t>
      </w:r>
      <w:proofErr w:type="gramStart"/>
      <w:r>
        <w:t>MO, NV, NJ, and NY.</w:t>
      </w:r>
      <w:proofErr w:type="gramEnd"/>
    </w:p>
  </w:footnote>
  <w:footnote w:id="12">
    <w:p>
      <w:pPr>
        <w:pStyle w:val="FootnoteText"/>
      </w:pPr>
      <w:r>
        <w:rPr>
          <w:rStyle w:val="FootnoteReference"/>
        </w:rPr>
        <w:footnoteRef/>
      </w:r>
      <w:r>
        <w:t xml:space="preserve"> Chicago, Dallas, Detroit, Houston, Miami, Minneapolis, New York, Philadelphia, Phoenix, San Diego, San Francisco, Seattle.</w:t>
      </w:r>
    </w:p>
  </w:footnote>
  <w:footnote w:id="13">
    <w:p>
      <w:pPr>
        <w:pStyle w:val="FootnoteText"/>
      </w:pPr>
      <w:r>
        <w:rPr>
          <w:rStyle w:val="FootnoteReference"/>
        </w:rPr>
        <w:footnoteRef/>
      </w:r>
      <w:r>
        <w:t xml:space="preserve"> </w:t>
      </w:r>
      <w:proofErr w:type="gramStart"/>
      <w:r>
        <w:t>Dallas, Los Angeles, Miami, New York, San Diego.</w:t>
      </w:r>
      <w:proofErr w:type="gramEnd"/>
    </w:p>
  </w:footnote>
  <w:footnote w:id="14">
    <w:p>
      <w:pPr>
        <w:pStyle w:val="FootnoteText"/>
      </w:pPr>
      <w:r>
        <w:rPr>
          <w:rStyle w:val="FootnoteReference"/>
        </w:rPr>
        <w:footnoteRef/>
      </w:r>
      <w:r>
        <w:t xml:space="preserve"> Atlanta, Philadelphia, San Francisco.</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94376F6"/>
    <w:multiLevelType w:val="multilevel"/>
    <w:tmpl w:val="C578284A"/>
    <w:name w:val="RBU"/>
    <w:lvl w:ilvl="0">
      <w:start w:val="1"/>
      <w:numFmt w:val="bullet"/>
      <w:lvlRestart w:val="0"/>
      <w:pStyle w:val="RBUBullets"/>
      <w:lvlText w:val=""/>
      <w:lvlJc w:val="left"/>
      <w:pPr>
        <w:ind w:left="720" w:hanging="360"/>
      </w:pPr>
      <w:rPr>
        <w:rFonts w:ascii="Symbol" w:hAnsi="Symbol" w:hint="default"/>
        <w:b w:val="0"/>
        <w:i w:val="0"/>
        <w:caps w:val="0"/>
        <w:strike w:val="0"/>
        <w:dstrike w:val="0"/>
        <w:vanish w:val="0"/>
        <w:color w:val="auto"/>
        <w:sz w:val="24"/>
        <w:u w:val="none"/>
        <w:vertAlign w:val="baseline"/>
      </w:rPr>
    </w:lvl>
    <w:lvl w:ilvl="1">
      <w:start w:val="1"/>
      <w:numFmt w:val="bullet"/>
      <w:pStyle w:val="RB2Bullets"/>
      <w:lvlText w:val=""/>
      <w:lvlJc w:val="left"/>
      <w:pPr>
        <w:ind w:left="1080" w:hanging="360"/>
      </w:pPr>
      <w:rPr>
        <w:rFonts w:ascii="Symbol" w:hAnsi="Symbol" w:hint="default"/>
        <w:b w:val="0"/>
        <w:i w:val="0"/>
        <w:caps w:val="0"/>
        <w:strike w:val="0"/>
        <w:dstrike w:val="0"/>
        <w:vanish w:val="0"/>
        <w:color w:val="auto"/>
        <w:sz w:val="24"/>
        <w:u w:val="none"/>
        <w:vertAlign w:val="baseline"/>
      </w:rPr>
    </w:lvl>
    <w:lvl w:ilvl="2">
      <w:start w:val="1"/>
      <w:numFmt w:val="bullet"/>
      <w:pStyle w:val="RB3Bullets"/>
      <w:lvlText w:val=""/>
      <w:lvlJc w:val="left"/>
      <w:pPr>
        <w:ind w:left="1440" w:hanging="360"/>
      </w:pPr>
      <w:rPr>
        <w:rFonts w:ascii="Symbol" w:hAnsi="Symbol" w:hint="default"/>
        <w:b w:val="0"/>
        <w:i w:val="0"/>
        <w:caps w:val="0"/>
        <w:strike w:val="0"/>
        <w:dstrike w:val="0"/>
        <w:vanish w:val="0"/>
        <w:color w:val="auto"/>
        <w:sz w:val="24"/>
        <w:u w:val="none"/>
        <w:vertAlign w:val="baseline"/>
      </w:rPr>
    </w:lvl>
    <w:lvl w:ilvl="3">
      <w:start w:val="1"/>
      <w:numFmt w:val="bullet"/>
      <w:pStyle w:val="RB4Bullets"/>
      <w:lvlText w:val=""/>
      <w:lvlJc w:val="left"/>
      <w:pPr>
        <w:ind w:left="1800" w:hanging="360"/>
      </w:pPr>
      <w:rPr>
        <w:rFonts w:ascii="Symbol" w:hAnsi="Symbol" w:hint="default"/>
        <w:b w:val="0"/>
        <w:i w:val="0"/>
        <w:caps w:val="0"/>
        <w:strike w:val="0"/>
        <w:dstrike w:val="0"/>
        <w:vanish w:val="0"/>
        <w:color w:val="auto"/>
        <w:sz w:val="24"/>
        <w:u w:val="none"/>
        <w:vertAlign w:val="baseline"/>
      </w:rPr>
    </w:lvl>
    <w:lvl w:ilvl="4">
      <w:start w:val="1"/>
      <w:numFmt w:val="bullet"/>
      <w:pStyle w:val="RB5Bullets"/>
      <w:lvlText w:val=""/>
      <w:lvlJc w:val="left"/>
      <w:pPr>
        <w:ind w:left="2160" w:hanging="360"/>
      </w:pPr>
      <w:rPr>
        <w:rFonts w:ascii="Symbol" w:hAnsi="Symbol" w:hint="default"/>
        <w:b w:val="0"/>
        <w:i w:val="0"/>
        <w:caps w:val="0"/>
        <w:strike w:val="0"/>
        <w:dstrike w:val="0"/>
        <w:vanish w:val="0"/>
        <w:color w:val="auto"/>
        <w:sz w:val="24"/>
        <w:u w:val="none"/>
        <w:vertAlign w:val="baseline"/>
      </w:rPr>
    </w:lvl>
    <w:lvl w:ilvl="5">
      <w:start w:val="1"/>
      <w:numFmt w:val="bullet"/>
      <w:pStyle w:val="RB6Bullets"/>
      <w:lvlText w:val=""/>
      <w:lvlJc w:val="left"/>
      <w:pPr>
        <w:ind w:left="2520" w:hanging="360"/>
      </w:pPr>
      <w:rPr>
        <w:rFonts w:ascii="Symbol" w:hAnsi="Symbol" w:hint="default"/>
        <w:b w:val="0"/>
        <w:i w:val="0"/>
        <w:caps w:val="0"/>
        <w:strike w:val="0"/>
        <w:dstrike w:val="0"/>
        <w:vanish w:val="0"/>
        <w:color w:val="auto"/>
        <w:sz w:val="24"/>
        <w:u w:val="none"/>
        <w:vertAlign w:val="baseline"/>
      </w:rPr>
    </w:lvl>
    <w:lvl w:ilvl="6">
      <w:start w:val="1"/>
      <w:numFmt w:val="bullet"/>
      <w:pStyle w:val="RB7Bullets"/>
      <w:lvlText w:val=""/>
      <w:lvlJc w:val="left"/>
      <w:pPr>
        <w:ind w:left="2880" w:hanging="360"/>
      </w:pPr>
      <w:rPr>
        <w:rFonts w:ascii="Symbol" w:hAnsi="Symbol" w:hint="default"/>
        <w:b w:val="0"/>
        <w:i w:val="0"/>
        <w:caps w:val="0"/>
        <w:strike w:val="0"/>
        <w:dstrike w:val="0"/>
        <w:vanish w:val="0"/>
        <w:color w:val="auto"/>
        <w:sz w:val="24"/>
        <w:u w:val="none"/>
        <w:vertAlign w:val="baseline"/>
      </w:rPr>
    </w:lvl>
    <w:lvl w:ilvl="7">
      <w:start w:val="1"/>
      <w:numFmt w:val="bullet"/>
      <w:pStyle w:val="RB8Bullets"/>
      <w:lvlText w:val=""/>
      <w:lvlJc w:val="left"/>
      <w:pPr>
        <w:ind w:left="3240" w:hanging="360"/>
      </w:pPr>
      <w:rPr>
        <w:rFonts w:ascii="Symbol" w:hAnsi="Symbol" w:hint="default"/>
        <w:b w:val="0"/>
        <w:i w:val="0"/>
        <w:caps w:val="0"/>
        <w:strike w:val="0"/>
        <w:dstrike w:val="0"/>
        <w:vanish w:val="0"/>
        <w:color w:val="auto"/>
        <w:sz w:val="24"/>
        <w:u w:val="none"/>
        <w:vertAlign w:val="baseline"/>
      </w:rPr>
    </w:lvl>
    <w:lvl w:ilvl="8">
      <w:start w:val="1"/>
      <w:numFmt w:val="bullet"/>
      <w:pStyle w:val="RB9Bullets"/>
      <w:lvlText w:val=""/>
      <w:lvlJc w:val="left"/>
      <w:pPr>
        <w:ind w:left="3600" w:hanging="360"/>
      </w:pPr>
      <w:rPr>
        <w:rFonts w:ascii="Symbol" w:hAnsi="Symbol" w:hint="default"/>
        <w:b w:val="0"/>
        <w:i w:val="0"/>
        <w:caps w:val="0"/>
        <w:strike w:val="0"/>
        <w:dstrike w:val="0"/>
        <w:vanish w:val="0"/>
        <w:color w:val="auto"/>
        <w:sz w:val="24"/>
        <w:u w:val="none"/>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customStyle="1" w:styleId="RBUBullets">
    <w:name w:val="RBU Bullets"/>
    <w:basedOn w:val="Normal"/>
    <w:link w:val="RBUBulletsChar"/>
    <w:pPr>
      <w:numPr>
        <w:numId w:val="1"/>
      </w:numPr>
      <w:spacing w:after="120" w:line="240" w:lineRule="auto"/>
    </w:pPr>
    <w:rPr>
      <w:rFonts w:ascii="Times New Roman" w:eastAsia="Calibri" w:hAnsi="Times New Roman" w:cs="Times New Roman"/>
      <w:sz w:val="24"/>
      <w:szCs w:val="20"/>
      <w:lang w:eastAsia="en-US"/>
    </w:rPr>
  </w:style>
  <w:style w:type="character" w:customStyle="1" w:styleId="RBUBulletsChar">
    <w:name w:val="RBU Bullets Char"/>
    <w:basedOn w:val="DefaultParagraphFont"/>
    <w:link w:val="RBUBullets"/>
    <w:rPr>
      <w:rFonts w:ascii="Times New Roman" w:eastAsia="Calibri" w:hAnsi="Times New Roman" w:cs="Times New Roman"/>
      <w:sz w:val="24"/>
      <w:szCs w:val="20"/>
      <w:lang w:eastAsia="en-US"/>
    </w:rPr>
  </w:style>
  <w:style w:type="paragraph" w:customStyle="1" w:styleId="RB9Bullets">
    <w:name w:val="RB9 Bullets"/>
    <w:basedOn w:val="Normal"/>
    <w:pPr>
      <w:numPr>
        <w:ilvl w:val="8"/>
        <w:numId w:val="1"/>
      </w:numPr>
      <w:spacing w:after="120" w:line="240" w:lineRule="auto"/>
    </w:pPr>
    <w:rPr>
      <w:rFonts w:ascii="Times New Roman" w:eastAsia="Calibri" w:hAnsi="Times New Roman" w:cs="Times New Roman"/>
      <w:sz w:val="24"/>
      <w:szCs w:val="20"/>
      <w:lang w:eastAsia="en-US"/>
    </w:rPr>
  </w:style>
  <w:style w:type="paragraph" w:customStyle="1" w:styleId="RB8Bullets">
    <w:name w:val="RB8 Bullets"/>
    <w:basedOn w:val="Normal"/>
    <w:pPr>
      <w:numPr>
        <w:ilvl w:val="7"/>
        <w:numId w:val="1"/>
      </w:numPr>
      <w:spacing w:after="120" w:line="240" w:lineRule="auto"/>
    </w:pPr>
    <w:rPr>
      <w:rFonts w:ascii="Times New Roman" w:eastAsia="Calibri" w:hAnsi="Times New Roman" w:cs="Times New Roman"/>
      <w:sz w:val="24"/>
      <w:szCs w:val="20"/>
      <w:lang w:eastAsia="en-US"/>
    </w:rPr>
  </w:style>
  <w:style w:type="paragraph" w:customStyle="1" w:styleId="RB7Bullets">
    <w:name w:val="RB7 Bullets"/>
    <w:basedOn w:val="Normal"/>
    <w:pPr>
      <w:numPr>
        <w:ilvl w:val="6"/>
        <w:numId w:val="1"/>
      </w:numPr>
      <w:spacing w:after="120" w:line="240" w:lineRule="auto"/>
    </w:pPr>
    <w:rPr>
      <w:rFonts w:ascii="Times New Roman" w:eastAsia="Calibri" w:hAnsi="Times New Roman" w:cs="Times New Roman"/>
      <w:sz w:val="24"/>
      <w:szCs w:val="20"/>
      <w:lang w:eastAsia="en-US"/>
    </w:rPr>
  </w:style>
  <w:style w:type="paragraph" w:customStyle="1" w:styleId="RB6Bullets">
    <w:name w:val="RB6 Bullets"/>
    <w:basedOn w:val="Normal"/>
    <w:pPr>
      <w:numPr>
        <w:ilvl w:val="5"/>
        <w:numId w:val="1"/>
      </w:numPr>
      <w:spacing w:after="120" w:line="240" w:lineRule="auto"/>
    </w:pPr>
    <w:rPr>
      <w:rFonts w:ascii="Times New Roman" w:eastAsia="Calibri" w:hAnsi="Times New Roman" w:cs="Times New Roman"/>
      <w:sz w:val="24"/>
      <w:szCs w:val="20"/>
      <w:lang w:eastAsia="en-US"/>
    </w:rPr>
  </w:style>
  <w:style w:type="paragraph" w:customStyle="1" w:styleId="RB5Bullets">
    <w:name w:val="RB5 Bullets"/>
    <w:basedOn w:val="Normal"/>
    <w:pPr>
      <w:numPr>
        <w:ilvl w:val="4"/>
        <w:numId w:val="1"/>
      </w:numPr>
      <w:spacing w:after="120" w:line="240" w:lineRule="auto"/>
    </w:pPr>
    <w:rPr>
      <w:rFonts w:ascii="Times New Roman" w:eastAsia="Calibri" w:hAnsi="Times New Roman" w:cs="Times New Roman"/>
      <w:sz w:val="24"/>
      <w:szCs w:val="20"/>
      <w:lang w:eastAsia="en-US"/>
    </w:rPr>
  </w:style>
  <w:style w:type="paragraph" w:customStyle="1" w:styleId="RB4Bullets">
    <w:name w:val="RB4 Bullets"/>
    <w:basedOn w:val="Normal"/>
    <w:pPr>
      <w:numPr>
        <w:ilvl w:val="3"/>
        <w:numId w:val="1"/>
      </w:numPr>
      <w:spacing w:after="120" w:line="240" w:lineRule="auto"/>
    </w:pPr>
    <w:rPr>
      <w:rFonts w:ascii="Times New Roman" w:eastAsia="Calibri" w:hAnsi="Times New Roman" w:cs="Times New Roman"/>
      <w:sz w:val="24"/>
      <w:szCs w:val="20"/>
      <w:lang w:eastAsia="en-US"/>
    </w:rPr>
  </w:style>
  <w:style w:type="paragraph" w:customStyle="1" w:styleId="RB3Bullets">
    <w:name w:val="RB3 Bullets"/>
    <w:basedOn w:val="Normal"/>
    <w:link w:val="RB3BulletsChar"/>
    <w:pPr>
      <w:numPr>
        <w:ilvl w:val="2"/>
        <w:numId w:val="1"/>
      </w:numPr>
      <w:spacing w:after="120" w:line="240" w:lineRule="auto"/>
    </w:pPr>
    <w:rPr>
      <w:rFonts w:ascii="Times New Roman" w:eastAsia="Calibri" w:hAnsi="Times New Roman" w:cs="Times New Roman"/>
      <w:sz w:val="24"/>
      <w:szCs w:val="20"/>
      <w:lang w:eastAsia="en-US"/>
    </w:rPr>
  </w:style>
  <w:style w:type="character" w:customStyle="1" w:styleId="RB3BulletsChar">
    <w:name w:val="RB3 Bullets Char"/>
    <w:basedOn w:val="DefaultParagraphFont"/>
    <w:link w:val="RB3Bullets"/>
    <w:rPr>
      <w:rFonts w:ascii="Times New Roman" w:eastAsia="Calibri" w:hAnsi="Times New Roman" w:cs="Times New Roman"/>
      <w:sz w:val="24"/>
      <w:szCs w:val="20"/>
      <w:lang w:eastAsia="en-US"/>
    </w:rPr>
  </w:style>
  <w:style w:type="paragraph" w:customStyle="1" w:styleId="RB2Bullets">
    <w:name w:val="RB2 Bullets"/>
    <w:basedOn w:val="Normal"/>
    <w:link w:val="RB2BulletsChar"/>
    <w:pPr>
      <w:numPr>
        <w:ilvl w:val="1"/>
        <w:numId w:val="1"/>
      </w:numPr>
      <w:spacing w:after="120" w:line="240" w:lineRule="auto"/>
    </w:pPr>
    <w:rPr>
      <w:rFonts w:ascii="Times New Roman" w:eastAsia="Calibri" w:hAnsi="Times New Roman" w:cs="Times New Roman"/>
      <w:sz w:val="24"/>
      <w:szCs w:val="20"/>
      <w:lang w:eastAsia="en-US"/>
    </w:rPr>
  </w:style>
  <w:style w:type="character" w:customStyle="1" w:styleId="RB2BulletsChar">
    <w:name w:val="RB2 Bullets Char"/>
    <w:basedOn w:val="DefaultParagraphFont"/>
    <w:link w:val="RB2Bullets"/>
    <w:rPr>
      <w:rFonts w:ascii="Times New Roman" w:eastAsia="Calibri" w:hAnsi="Times New Roman" w:cs="Times New Roman"/>
      <w:sz w:val="24"/>
      <w:szCs w:val="20"/>
      <w:lang w:eastAsia="en-US"/>
    </w:rPr>
  </w:style>
  <w:style w:type="paragraph" w:styleId="FootnoteText">
    <w:name w:val="footnote text"/>
    <w:basedOn w:val="Normal"/>
    <w:link w:val="FootnoteTextChar"/>
    <w:uiPriority w:val="99"/>
    <w:semiHidden/>
    <w:unhideWhenUsed/>
    <w:pPr>
      <w:spacing w:after="0" w:line="240" w:lineRule="auto"/>
    </w:pPr>
    <w:rPr>
      <w:rFonts w:ascii="Times New Roman" w:eastAsia="Calibri" w:hAnsi="Times New Roman" w:cs="Times New Roman"/>
      <w:sz w:val="20"/>
      <w:szCs w:val="20"/>
      <w:lang w:eastAsia="en-US"/>
    </w:rPr>
  </w:style>
  <w:style w:type="character" w:customStyle="1" w:styleId="FootnoteTextChar">
    <w:name w:val="Footnote Text Char"/>
    <w:basedOn w:val="DefaultParagraphFont"/>
    <w:link w:val="FootnoteText"/>
    <w:uiPriority w:val="99"/>
    <w:semiHidden/>
    <w:rPr>
      <w:rFonts w:ascii="Times New Roman" w:eastAsia="Calibri" w:hAnsi="Times New Roman" w:cs="Times New Roman"/>
      <w:sz w:val="20"/>
      <w:szCs w:val="20"/>
      <w:lang w:eastAsia="en-US"/>
    </w:rPr>
  </w:style>
  <w:style w:type="character" w:styleId="FootnoteReference">
    <w:name w:val="footnote reference"/>
    <w:basedOn w:val="DefaultParagraphFont"/>
    <w:uiPriority w:val="99"/>
    <w:semiHidden/>
    <w:unhideWhenUsed/>
    <w:rPr>
      <w:vertAlign w:val="superscript"/>
    </w:rPr>
  </w:style>
  <w:style w:type="paragraph" w:customStyle="1" w:styleId="DocID">
    <w:name w:val="DocID"/>
    <w:basedOn w:val="Normal"/>
    <w:uiPriority w:val="25"/>
    <w:pPr>
      <w:spacing w:after="0" w:line="240" w:lineRule="auto"/>
    </w:pPr>
    <w:rPr>
      <w:rFonts w:ascii="Times New Roman" w:hAnsi="Times New Roman"/>
      <w:sz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customStyle="1" w:styleId="RBUBullets">
    <w:name w:val="RBU Bullets"/>
    <w:basedOn w:val="Normal"/>
    <w:link w:val="RBUBulletsChar"/>
    <w:pPr>
      <w:numPr>
        <w:numId w:val="1"/>
      </w:numPr>
      <w:spacing w:after="120" w:line="240" w:lineRule="auto"/>
    </w:pPr>
    <w:rPr>
      <w:rFonts w:ascii="Times New Roman" w:eastAsia="Calibri" w:hAnsi="Times New Roman" w:cs="Times New Roman"/>
      <w:sz w:val="24"/>
      <w:szCs w:val="20"/>
      <w:lang w:eastAsia="en-US"/>
    </w:rPr>
  </w:style>
  <w:style w:type="character" w:customStyle="1" w:styleId="RBUBulletsChar">
    <w:name w:val="RBU Bullets Char"/>
    <w:basedOn w:val="DefaultParagraphFont"/>
    <w:link w:val="RBUBullets"/>
    <w:rPr>
      <w:rFonts w:ascii="Times New Roman" w:eastAsia="Calibri" w:hAnsi="Times New Roman" w:cs="Times New Roman"/>
      <w:sz w:val="24"/>
      <w:szCs w:val="20"/>
      <w:lang w:eastAsia="en-US"/>
    </w:rPr>
  </w:style>
  <w:style w:type="paragraph" w:customStyle="1" w:styleId="RB9Bullets">
    <w:name w:val="RB9 Bullets"/>
    <w:basedOn w:val="Normal"/>
    <w:pPr>
      <w:numPr>
        <w:ilvl w:val="8"/>
        <w:numId w:val="1"/>
      </w:numPr>
      <w:spacing w:after="120" w:line="240" w:lineRule="auto"/>
    </w:pPr>
    <w:rPr>
      <w:rFonts w:ascii="Times New Roman" w:eastAsia="Calibri" w:hAnsi="Times New Roman" w:cs="Times New Roman"/>
      <w:sz w:val="24"/>
      <w:szCs w:val="20"/>
      <w:lang w:eastAsia="en-US"/>
    </w:rPr>
  </w:style>
  <w:style w:type="paragraph" w:customStyle="1" w:styleId="RB8Bullets">
    <w:name w:val="RB8 Bullets"/>
    <w:basedOn w:val="Normal"/>
    <w:pPr>
      <w:numPr>
        <w:ilvl w:val="7"/>
        <w:numId w:val="1"/>
      </w:numPr>
      <w:spacing w:after="120" w:line="240" w:lineRule="auto"/>
    </w:pPr>
    <w:rPr>
      <w:rFonts w:ascii="Times New Roman" w:eastAsia="Calibri" w:hAnsi="Times New Roman" w:cs="Times New Roman"/>
      <w:sz w:val="24"/>
      <w:szCs w:val="20"/>
      <w:lang w:eastAsia="en-US"/>
    </w:rPr>
  </w:style>
  <w:style w:type="paragraph" w:customStyle="1" w:styleId="RB7Bullets">
    <w:name w:val="RB7 Bullets"/>
    <w:basedOn w:val="Normal"/>
    <w:pPr>
      <w:numPr>
        <w:ilvl w:val="6"/>
        <w:numId w:val="1"/>
      </w:numPr>
      <w:spacing w:after="120" w:line="240" w:lineRule="auto"/>
    </w:pPr>
    <w:rPr>
      <w:rFonts w:ascii="Times New Roman" w:eastAsia="Calibri" w:hAnsi="Times New Roman" w:cs="Times New Roman"/>
      <w:sz w:val="24"/>
      <w:szCs w:val="20"/>
      <w:lang w:eastAsia="en-US"/>
    </w:rPr>
  </w:style>
  <w:style w:type="paragraph" w:customStyle="1" w:styleId="RB6Bullets">
    <w:name w:val="RB6 Bullets"/>
    <w:basedOn w:val="Normal"/>
    <w:pPr>
      <w:numPr>
        <w:ilvl w:val="5"/>
        <w:numId w:val="1"/>
      </w:numPr>
      <w:spacing w:after="120" w:line="240" w:lineRule="auto"/>
    </w:pPr>
    <w:rPr>
      <w:rFonts w:ascii="Times New Roman" w:eastAsia="Calibri" w:hAnsi="Times New Roman" w:cs="Times New Roman"/>
      <w:sz w:val="24"/>
      <w:szCs w:val="20"/>
      <w:lang w:eastAsia="en-US"/>
    </w:rPr>
  </w:style>
  <w:style w:type="paragraph" w:customStyle="1" w:styleId="RB5Bullets">
    <w:name w:val="RB5 Bullets"/>
    <w:basedOn w:val="Normal"/>
    <w:pPr>
      <w:numPr>
        <w:ilvl w:val="4"/>
        <w:numId w:val="1"/>
      </w:numPr>
      <w:spacing w:after="120" w:line="240" w:lineRule="auto"/>
    </w:pPr>
    <w:rPr>
      <w:rFonts w:ascii="Times New Roman" w:eastAsia="Calibri" w:hAnsi="Times New Roman" w:cs="Times New Roman"/>
      <w:sz w:val="24"/>
      <w:szCs w:val="20"/>
      <w:lang w:eastAsia="en-US"/>
    </w:rPr>
  </w:style>
  <w:style w:type="paragraph" w:customStyle="1" w:styleId="RB4Bullets">
    <w:name w:val="RB4 Bullets"/>
    <w:basedOn w:val="Normal"/>
    <w:pPr>
      <w:numPr>
        <w:ilvl w:val="3"/>
        <w:numId w:val="1"/>
      </w:numPr>
      <w:spacing w:after="120" w:line="240" w:lineRule="auto"/>
    </w:pPr>
    <w:rPr>
      <w:rFonts w:ascii="Times New Roman" w:eastAsia="Calibri" w:hAnsi="Times New Roman" w:cs="Times New Roman"/>
      <w:sz w:val="24"/>
      <w:szCs w:val="20"/>
      <w:lang w:eastAsia="en-US"/>
    </w:rPr>
  </w:style>
  <w:style w:type="paragraph" w:customStyle="1" w:styleId="RB3Bullets">
    <w:name w:val="RB3 Bullets"/>
    <w:basedOn w:val="Normal"/>
    <w:link w:val="RB3BulletsChar"/>
    <w:pPr>
      <w:numPr>
        <w:ilvl w:val="2"/>
        <w:numId w:val="1"/>
      </w:numPr>
      <w:spacing w:after="120" w:line="240" w:lineRule="auto"/>
    </w:pPr>
    <w:rPr>
      <w:rFonts w:ascii="Times New Roman" w:eastAsia="Calibri" w:hAnsi="Times New Roman" w:cs="Times New Roman"/>
      <w:sz w:val="24"/>
      <w:szCs w:val="20"/>
      <w:lang w:eastAsia="en-US"/>
    </w:rPr>
  </w:style>
  <w:style w:type="character" w:customStyle="1" w:styleId="RB3BulletsChar">
    <w:name w:val="RB3 Bullets Char"/>
    <w:basedOn w:val="DefaultParagraphFont"/>
    <w:link w:val="RB3Bullets"/>
    <w:rPr>
      <w:rFonts w:ascii="Times New Roman" w:eastAsia="Calibri" w:hAnsi="Times New Roman" w:cs="Times New Roman"/>
      <w:sz w:val="24"/>
      <w:szCs w:val="20"/>
      <w:lang w:eastAsia="en-US"/>
    </w:rPr>
  </w:style>
  <w:style w:type="paragraph" w:customStyle="1" w:styleId="RB2Bullets">
    <w:name w:val="RB2 Bullets"/>
    <w:basedOn w:val="Normal"/>
    <w:link w:val="RB2BulletsChar"/>
    <w:pPr>
      <w:numPr>
        <w:ilvl w:val="1"/>
        <w:numId w:val="1"/>
      </w:numPr>
      <w:spacing w:after="120" w:line="240" w:lineRule="auto"/>
    </w:pPr>
    <w:rPr>
      <w:rFonts w:ascii="Times New Roman" w:eastAsia="Calibri" w:hAnsi="Times New Roman" w:cs="Times New Roman"/>
      <w:sz w:val="24"/>
      <w:szCs w:val="20"/>
      <w:lang w:eastAsia="en-US"/>
    </w:rPr>
  </w:style>
  <w:style w:type="character" w:customStyle="1" w:styleId="RB2BulletsChar">
    <w:name w:val="RB2 Bullets Char"/>
    <w:basedOn w:val="DefaultParagraphFont"/>
    <w:link w:val="RB2Bullets"/>
    <w:rPr>
      <w:rFonts w:ascii="Times New Roman" w:eastAsia="Calibri" w:hAnsi="Times New Roman" w:cs="Times New Roman"/>
      <w:sz w:val="24"/>
      <w:szCs w:val="20"/>
      <w:lang w:eastAsia="en-US"/>
    </w:rPr>
  </w:style>
  <w:style w:type="paragraph" w:styleId="FootnoteText">
    <w:name w:val="footnote text"/>
    <w:basedOn w:val="Normal"/>
    <w:link w:val="FootnoteTextChar"/>
    <w:uiPriority w:val="99"/>
    <w:semiHidden/>
    <w:unhideWhenUsed/>
    <w:pPr>
      <w:spacing w:after="0" w:line="240" w:lineRule="auto"/>
    </w:pPr>
    <w:rPr>
      <w:rFonts w:ascii="Times New Roman" w:eastAsia="Calibri" w:hAnsi="Times New Roman" w:cs="Times New Roman"/>
      <w:sz w:val="20"/>
      <w:szCs w:val="20"/>
      <w:lang w:eastAsia="en-US"/>
    </w:rPr>
  </w:style>
  <w:style w:type="character" w:customStyle="1" w:styleId="FootnoteTextChar">
    <w:name w:val="Footnote Text Char"/>
    <w:basedOn w:val="DefaultParagraphFont"/>
    <w:link w:val="FootnoteText"/>
    <w:uiPriority w:val="99"/>
    <w:semiHidden/>
    <w:rPr>
      <w:rFonts w:ascii="Times New Roman" w:eastAsia="Calibri" w:hAnsi="Times New Roman" w:cs="Times New Roman"/>
      <w:sz w:val="20"/>
      <w:szCs w:val="20"/>
      <w:lang w:eastAsia="en-US"/>
    </w:rPr>
  </w:style>
  <w:style w:type="character" w:styleId="FootnoteReference">
    <w:name w:val="footnote reference"/>
    <w:basedOn w:val="DefaultParagraphFont"/>
    <w:uiPriority w:val="99"/>
    <w:semiHidden/>
    <w:unhideWhenUsed/>
    <w:rPr>
      <w:vertAlign w:val="superscript"/>
    </w:rPr>
  </w:style>
  <w:style w:type="paragraph" w:customStyle="1" w:styleId="DocID">
    <w:name w:val="DocID"/>
    <w:basedOn w:val="Normal"/>
    <w:uiPriority w:val="25"/>
    <w:pPr>
      <w:spacing w:after="0" w:line="240" w:lineRule="auto"/>
    </w:pPr>
    <w:rPr>
      <w:rFonts w:ascii="Times New Roman" w:hAnsi="Times New Roman"/>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Relationship Target="header1.xml" Type="http://schemas.openxmlformats.org/officeDocument/2006/relationships/header" Id="rId8"></Relationship><Relationship Target="footer3.xml" Type="http://schemas.openxmlformats.org/officeDocument/2006/relationships/footer" Id="rId13"></Relationship><Relationship Target="stylesWithEffects.xml" Type="http://schemas.microsoft.com/office/2007/relationships/stylesWithEffects" Id="rId3"></Relationship><Relationship Target="endnotes.xml" Type="http://schemas.openxmlformats.org/officeDocument/2006/relationships/endnotes" Id="rId7"></Relationship><Relationship Target="header3.xml" Type="http://schemas.openxmlformats.org/officeDocument/2006/relationships/header" Id="rId12"></Relationship><Relationship Target="styles.xml" Type="http://schemas.openxmlformats.org/officeDocument/2006/relationships/styles" Id="rId2"></Relationship><Relationship Target="numbering.xml" Type="http://schemas.openxmlformats.org/officeDocument/2006/relationships/numbering" Id="rId1"></Relationship><Relationship Target="footnotes.xml" Type="http://schemas.openxmlformats.org/officeDocument/2006/relationships/footnotes" Id="rId6"></Relationship><Relationship Target="footer2.xml" Type="http://schemas.openxmlformats.org/officeDocument/2006/relationships/footer" Id="rId11"></Relationship><Relationship Target="webSettings.xml" Type="http://schemas.openxmlformats.org/officeDocument/2006/relationships/webSettings" Id="rId5"></Relationship><Relationship Target="theme/theme1.xml" Type="http://schemas.openxmlformats.org/officeDocument/2006/relationships/theme" Id="rId15"></Relationship><Relationship Target="footer1.xml" Type="http://schemas.openxmlformats.org/officeDocument/2006/relationships/footer" Id="rId10"></Relationship><Relationship Target="settings.xml" Type="http://schemas.openxmlformats.org/officeDocument/2006/relationships/settings" Id="rId4"></Relationship><Relationship Target="header2.xml" Type="http://schemas.openxmlformats.org/officeDocument/2006/relationships/header" Id="rId9"></Relationship><Relationship Target="fontTable.xml" Type="http://schemas.openxmlformats.org/officeDocument/2006/relationships/fontTable" Id="rId14"></Relationshi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custom.xml><?xml version="1.0" encoding="utf-8"?>
<Properties xmlns="http://schemas.openxmlformats.org/officeDocument/2006/custom-properties" xmlns:vt="http://schemas.openxmlformats.org/officeDocument/2006/docPropsVTypes">
  <property fmtid="{D5CDD505-2E9C-101B-9397-08002B2CF9AE}" pid="2" name="DocXLocation">
    <vt:lpwstr>Every Page</vt:lpwstr>
  </property>
  <property fmtid="{D5CDD505-2E9C-101B-9397-08002B2CF9AE}" pid="3" name="DocXFormat">
    <vt:lpwstr>DefaultFormat</vt:lpwstr>
  </property>
  <property fmtid="{D5CDD505-2E9C-101B-9397-08002B2CF9AE}" pid="4" name="DOCXDOCID">
    <vt:lpwstr>51358573_3</vt:lpwstr>
  </property>
</Properties>
</file>