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4E78"/>
          <w:sz w:val="40"/>
        </w:rPr>
        <w:t>MCSI V5 — Answers to Gerald’s Follow-up Questions</w:t>
      </w:r>
    </w:p>
    <w:p>
      <w:pPr>
        <w:spacing w:after="120"/>
      </w:pPr>
      <w:r>
        <w:rPr>
          <w:color w:val="444444"/>
          <w:sz w:val="24"/>
        </w:rPr>
        <w:t>Prepared for Adrian · working notes for the reply to Gerald · July 2026</w:t>
      </w:r>
    </w:p>
    <w:p>
      <w:pPr>
        <w:pBdr>
          <w:bottom w:val="single" w:sz="6" w:space="1" w:color="CCCCCC"/>
        </w:pBdr>
      </w:pPr>
    </w:p>
    <w:p>
      <w:pPr>
        <w:spacing w:after="120"/>
      </w:pPr>
      <w:r>
        <w:rPr>
          <w:sz w:val="21"/>
        </w:rPr>
        <w:t xml:space="preserve">Adrian — Gerald’s six questions are answered below, each grounded in the actual calibration and, where relevant, the original published MCSI. For each one there is a </w:t>
      </w:r>
      <w:r>
        <w:rPr>
          <w:b/>
          <w:sz w:val="21"/>
        </w:rPr>
        <w:t>quote of his question</w:t>
      </w:r>
      <w:r>
        <w:rPr>
          <w:sz w:val="21"/>
        </w:rPr>
        <w:t xml:space="preserve">, a </w:t>
      </w:r>
      <w:r>
        <w:rPr>
          <w:b/>
          <w:sz w:val="21"/>
        </w:rPr>
        <w:t>suggested reply you can lift straight into your email</w:t>
      </w:r>
      <w:r>
        <w:rPr>
          <w:sz w:val="21"/>
        </w:rPr>
        <w:t xml:space="preserve">, and — where a claim needs your own confirmation before it goes out — a short </w:t>
      </w:r>
      <w:r>
        <w:rPr>
          <w:b/>
          <w:sz w:val="21"/>
        </w:rPr>
        <w:t>“before you send”</w:t>
      </w:r>
      <w:r>
        <w:rPr>
          <w:sz w:val="21"/>
        </w:rPr>
        <w:t xml:space="preserve"> note. Two of these (the 2014 provenance and the acronym) need a quick check with Peter first; everything else is ready to send.</w:t>
      </w:r>
    </w:p>
    <w:p>
      <w:pPr>
        <w:spacing w:before="320" w:after="120"/>
      </w:pPr>
      <w:r>
        <w:rPr>
          <w:b/>
          <w:color w:val="1F4E78"/>
          <w:sz w:val="30"/>
        </w:rPr>
        <w:t>Key discovery — we can now cite the original MCSI</w:t>
      </w:r>
    </w:p>
    <w:p>
      <w:pPr>
        <w:spacing w:after="120"/>
      </w:pPr>
      <w:r>
        <w:rPr>
          <w:sz w:val="21"/>
        </w:rPr>
        <w:t xml:space="preserve">The original MCSI is published online: </w:t>
      </w:r>
      <w:r>
        <w:rPr>
          <w:b/>
          <w:sz w:val="21"/>
        </w:rPr>
        <w:t>ozfclass.com/articles/mcsi/mcsi.html</w:t>
      </w:r>
      <w:r>
        <w:rPr>
          <w:sz w:val="21"/>
        </w:rPr>
        <w:t>. This lets us answer Gerald’s Question 1 with a source instead of an assertion. The important facts from it:</w:t>
      </w:r>
    </w:p>
    <w:p>
      <w:pPr>
        <w:pStyle w:val="ListBullet"/>
        <w:spacing w:after="60"/>
      </w:pPr>
      <w:r>
        <w:rPr>
          <w:b/>
          <w:sz w:val="21"/>
        </w:rPr>
        <w:t>MCSI = “Mixed Category Score Index.”</w:t>
      </w:r>
      <w:r>
        <w:rPr>
          <w:sz w:val="21"/>
        </w:rPr>
        <w:t xml:space="preserve"> (Not “Multiple” — see the note under Question 1.)</w:t>
      </w:r>
    </w:p>
    <w:p>
      <w:pPr>
        <w:pStyle w:val="ListBullet"/>
        <w:spacing w:after="60"/>
      </w:pPr>
      <w:r>
        <w:rPr>
          <w:b/>
          <w:sz w:val="21"/>
        </w:rPr>
        <w:t>Built on 2014 Queen’s data:</w:t>
      </w:r>
      <w:r>
        <w:rPr>
          <w:sz w:val="21"/>
        </w:rPr>
        <w:t xml:space="preserve"> </w:t>
      </w:r>
      <w:r>
        <w:rPr>
          <w:i/>
          <w:sz w:val="21"/>
        </w:rPr>
        <w:t>“Score data was collected from all Queens shoots (not leadups) held around Australia during calendar 2014.”</w:t>
      </w:r>
      <w:r>
        <w:rPr>
          <w:sz w:val="21"/>
        </w:rPr>
        <w:t xml:space="preserve"> That confirms the 2014 / Queen’s provenance.</w:t>
      </w:r>
    </w:p>
    <w:p>
      <w:pPr>
        <w:pStyle w:val="ListBullet"/>
        <w:spacing w:after="60"/>
      </w:pPr>
      <w:r>
        <w:rPr>
          <w:b/>
          <w:sz w:val="21"/>
        </w:rPr>
        <w:t>Sporter was not in it</w:t>
      </w:r>
      <w:r>
        <w:rPr>
          <w:sz w:val="21"/>
        </w:rPr>
        <w:t xml:space="preserve"> — no mention anywhere, which backs our claim that Sporter was never part of the original build.</w:t>
      </w:r>
    </w:p>
    <w:p>
      <w:pPr>
        <w:pStyle w:val="ListBullet"/>
        <w:spacing w:after="60"/>
      </w:pPr>
      <w:r>
        <w:rPr>
          <w:b/>
          <w:sz w:val="21"/>
        </w:rPr>
        <w:t>The original was intended for “low level team competition, and for miscellaneous award purposes… not… as a replacement for scoring of ranges and aggregates in individual events.”</w:t>
      </w:r>
      <w:r>
        <w:rPr>
          <w:sz w:val="21"/>
        </w:rPr>
        <w:t xml:space="preserve"> That is exactly our Section 8 framing — a constructed award index, not a claim about the objectively best shooter.</w:t>
      </w:r>
    </w:p>
    <w:p>
      <w:pPr>
        <w:spacing w:after="120"/>
      </w:pPr>
      <w:r>
        <w:rPr>
          <w:sz w:val="21"/>
        </w:rPr>
        <w:t xml:space="preserve">But it also shows three things V5 does </w:t>
      </w:r>
      <w:r>
        <w:rPr>
          <w:b/>
          <w:sz w:val="21"/>
        </w:rPr>
        <w:t>differently</w:t>
      </w:r>
      <w:r>
        <w:rPr>
          <w:sz w:val="21"/>
        </w:rPr>
        <w:t xml:space="preserve"> from the 2014 original, and we should be honest about them rather than claim an unbroken lineage:</w:t>
      </w:r>
    </w:p>
    <w:p>
      <w:pPr>
        <w:pStyle w:val="ListBullet"/>
        <w:spacing w:after="60"/>
      </w:pPr>
      <w:r>
        <w:rPr>
          <w:b/>
          <w:sz w:val="21"/>
        </w:rPr>
        <w:t>Different method.</w:t>
      </w:r>
      <w:r>
        <w:rPr>
          <w:sz w:val="21"/>
        </w:rPr>
        <w:t xml:space="preserve"> The 2014 system derived its factors from </w:t>
      </w:r>
      <w:r>
        <w:rPr>
          <w:b/>
          <w:sz w:val="21"/>
        </w:rPr>
        <w:t>standard deviations of group size in minutes of angle</w:t>
      </w:r>
      <w:r>
        <w:rPr>
          <w:sz w:val="21"/>
        </w:rPr>
        <w:t xml:space="preserve"> (SD ratios F-Std:TR 0.725, F-Open:TR 0.533, F/TR:TR 0.623). V5 uses </w:t>
      </w:r>
      <w:r>
        <w:rPr>
          <w:b/>
          <w:sz w:val="21"/>
        </w:rPr>
        <w:t>top-40% cohort averages</w:t>
      </w:r>
      <w:r>
        <w:rPr>
          <w:sz w:val="21"/>
        </w:rPr>
        <w:t>. These are different derivations — V5 is not a numerical continuation of the 2014 numbers.</w:t>
      </w:r>
    </w:p>
    <w:p>
      <w:pPr>
        <w:pStyle w:val="ListBullet"/>
        <w:spacing w:after="60"/>
      </w:pPr>
      <w:r>
        <w:rPr>
          <w:b/>
          <w:sz w:val="21"/>
        </w:rPr>
        <w:t>Different centre weight.</w:t>
      </w:r>
      <w:r>
        <w:rPr>
          <w:sz w:val="21"/>
        </w:rPr>
        <w:t xml:space="preserve"> The 2014 system added centres/super-Vs at </w:t>
      </w:r>
      <w:r>
        <w:rPr>
          <w:b/>
          <w:sz w:val="21"/>
        </w:rPr>
        <w:t>full value (weight 1.0)</w:t>
      </w:r>
      <w:r>
        <w:rPr>
          <w:sz w:val="21"/>
        </w:rPr>
        <w:t xml:space="preserve">. GRC uses </w:t>
      </w:r>
      <w:r>
        <w:rPr>
          <w:b/>
          <w:sz w:val="21"/>
        </w:rPr>
        <w:t>0.7</w:t>
      </w:r>
      <w:r>
        <w:rPr>
          <w:sz w:val="21"/>
        </w:rPr>
        <w:t xml:space="preserve"> — so the 0.7 is a GRC choice, not inherited (this is Gerald’s Question 2).</w:t>
      </w:r>
    </w:p>
    <w:p>
      <w:pPr>
        <w:pStyle w:val="ListBullet"/>
        <w:spacing w:after="60"/>
      </w:pPr>
      <w:r>
        <w:rPr>
          <w:b/>
          <w:sz w:val="21"/>
        </w:rPr>
        <w:t>Different name in circulation.</w:t>
      </w:r>
      <w:r>
        <w:rPr>
          <w:sz w:val="21"/>
        </w:rPr>
        <w:t xml:space="preserve"> The original and Peter’s club note both say </w:t>
      </w:r>
      <w:r>
        <w:rPr>
          <w:b/>
          <w:sz w:val="21"/>
        </w:rPr>
        <w:t>“Mixed”</w:t>
      </w:r>
      <w:r>
        <w:rPr>
          <w:sz w:val="21"/>
        </w:rPr>
        <w:t xml:space="preserve">; the V5 response document says </w:t>
      </w:r>
      <w:r>
        <w:rPr>
          <w:b/>
          <w:sz w:val="21"/>
        </w:rPr>
        <w:t>“Multiple.”</w:t>
      </w:r>
    </w:p>
    <w:tbl>
      <w:tblPr>
        <w:tblW w:type="auto" w:w="0"/>
        <w:tblLayout w:type="fixed"/>
        <w:tblLook w:firstColumn="1" w:firstRow="1" w:lastColumn="0" w:lastRow="0" w:noHBand="0" w:noVBand="1" w:val="04A0"/>
      </w:tblPr>
      <w:tblGrid>
        <w:gridCol w:w="9638"/>
      </w:tblGrid>
      <w:tr>
        <w:tc>
          <w:tcPr>
            <w:tcW w:type="dxa" w:w="9638"/>
            <w:shd w:val="clear" w:color="auto" w:fill="EEF3F8"/>
            <w:tcBorders>
              <w:left w:val="single" w:sz="24" w:space="0" w:color="1F4E78"/>
            </w:tcBorders>
          </w:tcPr>
          <w:p>
            <w:pPr>
              <w:spacing w:before="40" w:after="40"/>
            </w:pPr>
            <w:r>
              <w:rPr>
                <w:sz w:val="21"/>
              </w:rPr>
            </w:r>
            <w:r>
              <w:rPr>
                <w:b/>
                <w:sz w:val="21"/>
              </w:rPr>
              <w:t>Bottom line for the reply:</w:t>
            </w:r>
            <w:r>
              <w:rPr>
                <w:sz w:val="21"/>
              </w:rPr>
              <w:t xml:space="preserve"> position V5 as keeping the </w:t>
            </w:r>
            <w:r>
              <w:rPr>
                <w:b/>
                <w:sz w:val="21"/>
              </w:rPr>
              <w:t>purpose, scale and spirit</w:t>
            </w:r>
            <w:r>
              <w:rPr>
                <w:sz w:val="21"/>
              </w:rPr>
              <w:t xml:space="preserve"> of the 2014 Mixed Category Score Index, but replacing its MOA method with a transparent, reproducible cohort calibration — and adding a properly-calibrated Sporter factor for the first time. That is fully defensible and turns every difference into a transparency argument.</w:t>
            </w:r>
          </w:p>
        </w:tc>
      </w:tr>
    </w:tbl>
    <w:p>
      <w:pPr>
        <w:spacing w:after="80"/>
      </w:pPr>
    </w:p>
    <w:p>
      <w:pPr>
        <w:spacing w:before="320" w:after="120"/>
      </w:pPr>
      <w:r>
        <w:rPr>
          <w:b/>
          <w:color w:val="1F4E78"/>
          <w:sz w:val="30"/>
        </w:rPr>
        <w:t>1. Provenance of the original formula</w:t>
      </w:r>
    </w:p>
    <w:tbl>
      <w:tblPr>
        <w:tblW w:type="auto" w:w="0"/>
        <w:tblLayout w:type="fixed"/>
        <w:tblLook w:firstColumn="1" w:firstRow="1" w:lastColumn="0" w:lastRow="0" w:noHBand="0" w:noVBand="1" w:val="04A0"/>
      </w:tblPr>
      <w:tblGrid>
        <w:gridCol w:w="9638"/>
      </w:tblGrid>
      <w:tr>
        <w:tc>
          <w:tcPr>
            <w:tcW w:type="dxa" w:w="9638"/>
            <w:shd w:val="clear" w:color="auto" w:fill="F4F4F4"/>
            <w:tcBorders>
              <w:left w:val="single" w:sz="24" w:space="0" w:color="888888"/>
            </w:tcBorders>
          </w:tcPr>
          <w:p>
            <w:pPr>
              <w:spacing w:before="40" w:after="40"/>
            </w:pPr>
            <w:r>
              <w:rPr>
                <w:sz w:val="21"/>
              </w:rPr>
            </w:r>
            <w:r>
              <w:rPr>
                <w:i/>
                <w:sz w:val="21"/>
              </w:rPr>
              <w:t>Gerald asked:</w:t>
            </w:r>
            <w:r>
              <w:rPr>
                <w:sz w:val="21"/>
              </w:rPr>
              <w:t xml:space="preserve">  “The original MCSI was built on King’s/Queen’s competition data from 2014 and earlier, and the club has used that formula for the last four years. You better be 100% certain of the accuracy of this statement! Explain where you got this data.”</w:t>
            </w:r>
          </w:p>
        </w:tc>
      </w:tr>
    </w:tbl>
    <w:p>
      <w:pPr>
        <w:spacing w:after="80"/>
      </w:pPr>
    </w:p>
    <w:tbl>
      <w:tblPr>
        <w:tblW w:type="auto" w:w="0"/>
        <w:tblLayout w:type="fixed"/>
        <w:tblLook w:firstColumn="1" w:firstRow="1" w:lastColumn="0" w:lastRow="0" w:noHBand="0" w:noVBand="1" w:val="04A0"/>
      </w:tblPr>
      <w:tblGrid>
        <w:gridCol w:w="9638"/>
      </w:tblGrid>
      <w:tr>
        <w:tc>
          <w:tcPr>
            <w:tcW w:type="dxa" w:w="9638"/>
            <w:shd w:val="clear" w:color="auto" w:fill="EAF3EA"/>
            <w:tcBorders>
              <w:left w:val="single" w:sz="24" w:space="0" w:color="3C7A3C"/>
            </w:tcBorders>
          </w:tcPr>
          <w:p>
            <w:pPr>
              <w:spacing w:before="40" w:after="40"/>
            </w:pPr>
            <w:r>
              <w:rPr>
                <w:sz w:val="21"/>
              </w:rPr>
            </w:r>
            <w:r>
              <w:rPr>
                <w:b/>
                <w:sz w:val="21"/>
              </w:rPr>
              <w:t>Suggested reply →</w:t>
            </w:r>
            <w:r>
              <w:rPr>
                <w:sz w:val="21"/>
              </w:rPr>
              <w:t xml:space="preserve">  The Mixed Category Score Index originates from a 2014 project that calibrated the Australian fullbore classes against one another using all of that year’s Queen’s shoots across the country — it is published at ozfclass.com/articles/mcsi/mcsi.html. Sporter was not part of it. GRC adopted the MCSI concept and has run a version of it for the last four years. V5 keeps that same purpose and scoring scale, but re-calibrates using recent (2024-onward) King’s/Queen’s data and a transparent cohort method, and calibrates Sporter properly for the first time.</w:t>
            </w:r>
          </w:p>
        </w:tc>
      </w:tr>
    </w:tbl>
    <w:p>
      <w:pPr>
        <w:spacing w:after="80"/>
      </w:pPr>
    </w:p>
    <w:tbl>
      <w:tblPr>
        <w:tblW w:type="auto" w:w="0"/>
        <w:tblLayout w:type="fixed"/>
        <w:tblLook w:firstColumn="1" w:firstRow="1" w:lastColumn="0" w:lastRow="0" w:noHBand="0" w:noVBand="1" w:val="04A0"/>
      </w:tblPr>
      <w:tblGrid>
        <w:gridCol w:w="9638"/>
      </w:tblGrid>
      <w:tr>
        <w:tc>
          <w:tcPr>
            <w:tcW w:type="dxa" w:w="9638"/>
            <w:shd w:val="clear" w:color="auto" w:fill="FFF9E6"/>
            <w:tcBorders>
              <w:left w:val="single" w:sz="24" w:space="0" w:color="C9A227"/>
            </w:tcBorders>
          </w:tcPr>
          <w:p>
            <w:pPr>
              <w:spacing w:before="40" w:after="40"/>
            </w:pPr>
            <w:r>
              <w:rPr>
                <w:sz w:val="21"/>
              </w:rPr>
            </w:r>
            <w:r>
              <w:rPr>
                <w:b/>
                <w:sz w:val="21"/>
              </w:rPr>
              <w:t>⚑ Before you send:</w:t>
            </w:r>
            <w:r>
              <w:rPr>
                <w:sz w:val="21"/>
              </w:rPr>
              <w:t xml:space="preserve">  Two accuracy points to lock down before this goes out. (a) The original data is </w:t>
            </w:r>
            <w:r>
              <w:rPr>
                <w:b/>
                <w:sz w:val="21"/>
              </w:rPr>
              <w:t>calendar 2014 Queen’s</w:t>
            </w:r>
            <w:r>
              <w:rPr>
                <w:sz w:val="21"/>
              </w:rPr>
              <w:t xml:space="preserve"> specifically — the phrase “2014 </w:t>
            </w:r>
            <w:r>
              <w:rPr>
                <w:i/>
                <w:sz w:val="21"/>
              </w:rPr>
              <w:t>and earlier</w:t>
            </w:r>
            <w:r>
              <w:rPr>
                <w:sz w:val="21"/>
              </w:rPr>
              <w:t xml:space="preserve">” overstates it; drop “and earlier.” (b) Confirm with Peter </w:t>
            </w:r>
            <w:r>
              <w:rPr>
                <w:b/>
                <w:sz w:val="21"/>
              </w:rPr>
              <w:t>what GRC actually ran for four years</w:t>
            </w:r>
            <w:r>
              <w:rPr>
                <w:sz w:val="21"/>
              </w:rPr>
              <w:t xml:space="preserve"> — Peter’s own club note describes a “median of the top half of shooters” method, which is neither the 2014 MOA method nor V5. Safest to say the club adopted the MCSI </w:t>
            </w:r>
            <w:r>
              <w:rPr>
                <w:i/>
                <w:sz w:val="21"/>
              </w:rPr>
              <w:t>concept</w:t>
            </w:r>
            <w:r>
              <w:rPr>
                <w:sz w:val="21"/>
              </w:rPr>
              <w:t xml:space="preserve"> rather than claim it ran this exact formula, unless Peter confirms otherwise.</w:t>
            </w:r>
          </w:p>
        </w:tc>
      </w:tr>
    </w:tbl>
    <w:p>
      <w:pPr>
        <w:spacing w:after="80"/>
      </w:pPr>
    </w:p>
    <w:p>
      <w:pPr>
        <w:spacing w:before="320" w:after="120"/>
      </w:pPr>
      <w:r>
        <w:rPr>
          <w:b/>
          <w:color w:val="1F4E78"/>
          <w:sz w:val="30"/>
        </w:rPr>
        <w:t>2. The 0.7 centre weight — and the brackets</w:t>
      </w:r>
    </w:p>
    <w:tbl>
      <w:tblPr>
        <w:tblW w:type="auto" w:w="0"/>
        <w:tblLayout w:type="fixed"/>
        <w:tblLook w:firstColumn="1" w:firstRow="1" w:lastColumn="0" w:lastRow="0" w:noHBand="0" w:noVBand="1" w:val="04A0"/>
      </w:tblPr>
      <w:tblGrid>
        <w:gridCol w:w="9638"/>
      </w:tblGrid>
      <w:tr>
        <w:tc>
          <w:tcPr>
            <w:tcW w:type="dxa" w:w="9638"/>
            <w:shd w:val="clear" w:color="auto" w:fill="F4F4F4"/>
            <w:tcBorders>
              <w:left w:val="single" w:sz="24" w:space="0" w:color="888888"/>
            </w:tcBorders>
          </w:tcPr>
          <w:p>
            <w:pPr>
              <w:spacing w:before="40" w:after="40"/>
            </w:pPr>
            <w:r>
              <w:rPr>
                <w:sz w:val="21"/>
              </w:rPr>
            </w:r>
            <w:r>
              <w:rPr>
                <w:i/>
                <w:sz w:val="21"/>
              </w:rPr>
              <w:t>Gerald asked:</w:t>
            </w:r>
            <w:r>
              <w:rPr>
                <w:sz w:val="21"/>
              </w:rPr>
              <w:t xml:space="preserve">  “The 0.7 is still a black box number with no source quoted. Is it actually needed at all if you say the rankings are stable between 0.5 and 0.8? … the equation … should be bracketed: Adjusted MCSI = ( (score × conversion) + (centres × 0.7) ) × factor.”</w:t>
            </w:r>
          </w:p>
        </w:tc>
      </w:tr>
    </w:tbl>
    <w:p>
      <w:pPr>
        <w:spacing w:after="80"/>
      </w:pPr>
    </w:p>
    <w:p>
      <w:pPr>
        <w:spacing w:before="160" w:after="60"/>
      </w:pPr>
      <w:r>
        <w:rPr>
          <w:b/>
          <w:color w:val="444444"/>
          <w:sz w:val="22"/>
        </w:rPr>
        <w:t>On the brackets — he is right, adopt it</w:t>
      </w:r>
    </w:p>
    <w:tbl>
      <w:tblPr>
        <w:tblW w:type="auto" w:w="0"/>
        <w:tblLayout w:type="fixed"/>
        <w:tblLook w:firstColumn="1" w:firstRow="1" w:lastColumn="0" w:lastRow="0" w:noHBand="0" w:noVBand="1" w:val="04A0"/>
      </w:tblPr>
      <w:tblGrid>
        <w:gridCol w:w="9638"/>
      </w:tblGrid>
      <w:tr>
        <w:tc>
          <w:tcPr>
            <w:tcW w:type="dxa" w:w="9638"/>
            <w:shd w:val="clear" w:color="auto" w:fill="EAF3EA"/>
            <w:tcBorders>
              <w:left w:val="single" w:sz="24" w:space="0" w:color="3C7A3C"/>
            </w:tcBorders>
          </w:tcPr>
          <w:p>
            <w:pPr>
              <w:spacing w:before="40" w:after="40"/>
            </w:pPr>
            <w:r>
              <w:rPr>
                <w:sz w:val="21"/>
              </w:rPr>
            </w:r>
            <w:r>
              <w:rPr>
                <w:b/>
                <w:sz w:val="21"/>
              </w:rPr>
              <w:t>Suggested reply →</w:t>
            </w:r>
            <w:r>
              <w:rPr>
                <w:sz w:val="21"/>
              </w:rPr>
              <w:t xml:space="preserve">  Agreed, and adopted. The bracketed form </w:t>
            </w:r>
            <w:r>
              <w:rPr>
                <w:b/>
                <w:sz w:val="21"/>
              </w:rPr>
              <w:t>( (Score × Conversion) + (Centres × 0.7) ) × Factor</w:t>
            </w:r>
            <w:r>
              <w:rPr>
                <w:sz w:val="21"/>
              </w:rPr>
              <w:t xml:space="preserve"> is clearer and is mathematically identical to what we had, so no number changes.</w:t>
            </w:r>
          </w:p>
        </w:tc>
      </w:tr>
    </w:tbl>
    <w:p>
      <w:pPr>
        <w:spacing w:after="80"/>
      </w:pPr>
    </w:p>
    <w:p>
      <w:pPr>
        <w:spacing w:before="160" w:after="60"/>
      </w:pPr>
      <w:r>
        <w:rPr>
          <w:b/>
          <w:color w:val="444444"/>
          <w:sz w:val="22"/>
        </w:rPr>
        <w:t>On whether 0.7 is needed — yes; the value is a policy choice</w:t>
      </w:r>
    </w:p>
    <w:tbl>
      <w:tblPr>
        <w:tblW w:type="auto" w:w="0"/>
        <w:tblLayout w:type="fixed"/>
        <w:tblLook w:firstColumn="1" w:firstRow="1" w:lastColumn="0" w:lastRow="0" w:noHBand="0" w:noVBand="1" w:val="04A0"/>
      </w:tblPr>
      <w:tblGrid>
        <w:gridCol w:w="9638"/>
      </w:tblGrid>
      <w:tr>
        <w:tc>
          <w:tcPr>
            <w:tcW w:type="dxa" w:w="9638"/>
            <w:shd w:val="clear" w:color="auto" w:fill="EAF3EA"/>
            <w:tcBorders>
              <w:left w:val="single" w:sz="24" w:space="0" w:color="3C7A3C"/>
            </w:tcBorders>
          </w:tcPr>
          <w:p>
            <w:pPr>
              <w:spacing w:before="40" w:after="40"/>
            </w:pPr>
            <w:r>
              <w:rPr>
                <w:sz w:val="21"/>
              </w:rPr>
            </w:r>
            <w:r>
              <w:rPr>
                <w:b/>
                <w:sz w:val="21"/>
              </w:rPr>
              <w:t>Suggested reply →</w:t>
            </w:r>
            <w:r>
              <w:rPr>
                <w:sz w:val="21"/>
              </w:rPr>
              <w:t xml:space="preserve">  The centre-weight term is needed: it is the only mechanism by which centres and V-bulls count toward the index, which is the whole premise that a well-centred near-possible can be a better shoot than a possible with few centres. What is </w:t>
            </w:r>
            <w:r>
              <w:rPr>
                <w:b/>
                <w:sz w:val="21"/>
              </w:rPr>
              <w:t>not</w:t>
            </w:r>
            <w:r>
              <w:rPr>
                <w:sz w:val="21"/>
              </w:rPr>
              <w:t xml:space="preserve"> critical is the exact value — the rankings are stable anywhere from 0.5 to 0.8, so 0.7 is a robust policy setting rather than a fragile magic number. Its meaning is transparent: the break-even is 1 ÷ 0.7 = 1.43, i.e. it takes about 1½ extra centres to make up one dropped point. Note the original 2014 MCSI counted centres at full value (1.0); GRC deliberately moderated that to 0.7 so centres inform the ranking without dominating it.</w:t>
            </w:r>
          </w:p>
        </w:tc>
      </w:tr>
    </w:tbl>
    <w:p>
      <w:pPr>
        <w:spacing w:after="80"/>
      </w:pPr>
    </w:p>
    <w:p>
      <w:pPr>
        <w:spacing w:after="120"/>
      </w:pPr>
      <w:r>
        <w:rPr>
          <w:sz w:val="21"/>
        </w:rPr>
        <w:t xml:space="preserve">On Gerald’s specific point that removing the 0.7 would require re-doing the factors — </w:t>
      </w:r>
      <w:r>
        <w:rPr>
          <w:b/>
          <w:sz w:val="21"/>
        </w:rPr>
        <w:t>he is exactly right</w:t>
      </w:r>
      <w:r>
        <w:rPr>
          <w:sz w:val="21"/>
        </w:rPr>
        <w:t xml:space="preserve">, and it is a good reason to keep the term rather than drop it. The factors are derived from each discipline’s cohort average of </w:t>
      </w:r>
      <w:r>
        <w:rPr>
          <w:i/>
          <w:sz w:val="21"/>
        </w:rPr>
        <w:t>(Score × Conversion + Centres × 0.7)</w:t>
      </w:r>
      <w:r>
        <w:rPr>
          <w:sz w:val="21"/>
        </w:rPr>
        <w:t>, and the common target (94.471) was itself computed with the 0.7 in place. Setting the weight to zero would (a) remove centres from the championship entirely and (b) force every factor to be re-derived. So the honest position is: the term stays; only its value is a tuning choice, and 0.7 sits safely inside the stable band.</w:t>
      </w:r>
    </w:p>
    <w:p>
      <w:pPr>
        <w:spacing w:before="320" w:after="120"/>
      </w:pPr>
      <w:r>
        <w:rPr>
          <w:b/>
          <w:color w:val="1F4E78"/>
          <w:sz w:val="30"/>
        </w:rPr>
        <w:t>3. Where 94.471 comes from</w:t>
      </w:r>
    </w:p>
    <w:tbl>
      <w:tblPr>
        <w:tblW w:type="auto" w:w="0"/>
        <w:tblLayout w:type="fixed"/>
        <w:tblLook w:firstColumn="1" w:firstRow="1" w:lastColumn="0" w:lastRow="0" w:noHBand="0" w:noVBand="1" w:val="04A0"/>
      </w:tblPr>
      <w:tblGrid>
        <w:gridCol w:w="9638"/>
      </w:tblGrid>
      <w:tr>
        <w:tc>
          <w:tcPr>
            <w:tcW w:type="dxa" w:w="9638"/>
            <w:shd w:val="clear" w:color="auto" w:fill="F4F4F4"/>
            <w:tcBorders>
              <w:left w:val="single" w:sz="24" w:space="0" w:color="888888"/>
            </w:tcBorders>
          </w:tcPr>
          <w:p>
            <w:pPr>
              <w:spacing w:before="40" w:after="40"/>
            </w:pPr>
            <w:r>
              <w:rPr>
                <w:sz w:val="21"/>
              </w:rPr>
            </w:r>
            <w:r>
              <w:rPr>
                <w:i/>
                <w:sz w:val="21"/>
              </w:rPr>
              <w:t>Gerald asked:</w:t>
            </w:r>
            <w:r>
              <w:rPr>
                <w:sz w:val="21"/>
              </w:rPr>
              <w:t xml:space="preserve">  “Where does the 94.471 come from? The calculation of this number needs to be explained.”</w:t>
            </w:r>
          </w:p>
        </w:tc>
      </w:tr>
    </w:tbl>
    <w:p>
      <w:pPr>
        <w:spacing w:after="80"/>
      </w:pPr>
    </w:p>
    <w:tbl>
      <w:tblPr>
        <w:tblW w:type="auto" w:w="0"/>
        <w:tblLayout w:type="fixed"/>
        <w:tblLook w:firstColumn="1" w:firstRow="1" w:lastColumn="0" w:lastRow="0" w:noHBand="0" w:noVBand="1" w:val="04A0"/>
      </w:tblPr>
      <w:tblGrid>
        <w:gridCol w:w="9638"/>
      </w:tblGrid>
      <w:tr>
        <w:tc>
          <w:tcPr>
            <w:tcW w:type="dxa" w:w="9638"/>
            <w:shd w:val="clear" w:color="auto" w:fill="EAF3EA"/>
            <w:tcBorders>
              <w:left w:val="single" w:sz="24" w:space="0" w:color="3C7A3C"/>
            </w:tcBorders>
          </w:tcPr>
          <w:p>
            <w:pPr>
              <w:spacing w:before="40" w:after="40"/>
            </w:pPr>
            <w:r>
              <w:rPr>
                <w:sz w:val="21"/>
              </w:rPr>
            </w:r>
            <w:r>
              <w:rPr>
                <w:b/>
                <w:sz w:val="21"/>
              </w:rPr>
              <w:t>Suggested reply →</w:t>
            </w:r>
            <w:r>
              <w:rPr>
                <w:sz w:val="21"/>
              </w:rPr>
              <w:t xml:space="preserve">  94.471 is the common target every discipline is lifted onto. It is the </w:t>
            </w:r>
            <w:r>
              <w:rPr>
                <w:b/>
                <w:sz w:val="21"/>
              </w:rPr>
              <w:t>average of the three F-class disciplines’ top-40% cohort scores measured under the existing factors</w:t>
            </w:r>
            <w:r>
              <w:rPr>
                <w:sz w:val="21"/>
              </w:rPr>
              <w:t xml:space="preserve"> — i.e. the level F-class already sat at. We chose F-class as the anchor deliberately: it means the F-classes barely move, and only the mis-calibrated classes (Sporter, and drift in TR / F-Open) are pulled onto that shared level. The arithmetic:</w:t>
            </w:r>
          </w:p>
        </w:tc>
      </w:tr>
    </w:tbl>
    <w:p>
      <w:pPr>
        <w:spacing w:after="80"/>
      </w:pPr>
    </w:p>
    <w:tbl>
      <w:tblPr>
        <w:tblStyle w:val="TableGrid"/>
        <w:tblW w:type="auto" w:w="0"/>
        <w:tblLayout w:type="fixed"/>
        <w:tblLook w:firstColumn="1" w:firstRow="1" w:lastColumn="0" w:lastRow="0" w:noHBand="0" w:noVBand="1" w:val="04A0"/>
      </w:tblPr>
      <w:tblGrid>
        <w:gridCol w:w="2409"/>
        <w:gridCol w:w="2409"/>
        <w:gridCol w:w="2409"/>
        <w:gridCol w:w="2409"/>
      </w:tblGrid>
      <w:tr>
        <w:tc>
          <w:tcPr>
            <w:tcW w:type="dxa" w:w="3118"/>
            <w:vAlign w:val="center"/>
            <w:shd w:val="clear" w:color="auto" w:fill="EEF3F8"/>
          </w:tcPr>
          <w:p>
            <w:pPr>
              <w:spacing w:after="0" w:before="0"/>
            </w:pPr>
            <w:r>
              <w:rPr>
                <w:b/>
                <w:color w:val="1F4E78"/>
                <w:sz w:val="19"/>
              </w:rPr>
            </w:r>
            <w:r>
              <w:rPr>
                <w:b/>
                <w:color w:val="1F4E78"/>
                <w:sz w:val="19"/>
              </w:rPr>
              <w:t>F-class discipline</w:t>
            </w:r>
          </w:p>
        </w:tc>
        <w:tc>
          <w:tcPr>
            <w:tcW w:type="dxa" w:w="2551"/>
            <w:vAlign w:val="center"/>
            <w:shd w:val="clear" w:color="auto" w:fill="EEF3F8"/>
          </w:tcPr>
          <w:p>
            <w:pPr>
              <w:spacing w:after="0" w:before="0"/>
              <w:jc w:val="right"/>
            </w:pPr>
            <w:r>
              <w:rPr>
                <w:b/>
                <w:color w:val="1F4E78"/>
                <w:sz w:val="19"/>
              </w:rPr>
            </w:r>
            <w:r>
              <w:rPr>
                <w:b/>
                <w:color w:val="1F4E78"/>
                <w:sz w:val="19"/>
              </w:rPr>
              <w:t>Top-40% cohort average</w:t>
            </w:r>
          </w:p>
        </w:tc>
        <w:tc>
          <w:tcPr>
            <w:tcW w:type="dxa" w:w="1984"/>
            <w:vAlign w:val="center"/>
            <w:shd w:val="clear" w:color="auto" w:fill="EEF3F8"/>
          </w:tcPr>
          <w:p>
            <w:pPr>
              <w:spacing w:after="0" w:before="0"/>
              <w:jc w:val="right"/>
            </w:pPr>
            <w:r>
              <w:rPr>
                <w:b/>
                <w:color w:val="1F4E78"/>
                <w:sz w:val="19"/>
              </w:rPr>
            </w:r>
            <w:r>
              <w:rPr>
                <w:b/>
                <w:color w:val="1F4E78"/>
                <w:sz w:val="19"/>
              </w:rPr>
              <w:t>× existing factor</w:t>
            </w:r>
          </w:p>
        </w:tc>
        <w:tc>
          <w:tcPr>
            <w:tcW w:type="dxa" w:w="1984"/>
            <w:vAlign w:val="center"/>
            <w:shd w:val="clear" w:color="auto" w:fill="EEF3F8"/>
          </w:tcPr>
          <w:p>
            <w:pPr>
              <w:spacing w:after="0" w:before="0"/>
              <w:jc w:val="right"/>
            </w:pPr>
            <w:r>
              <w:rPr>
                <w:b/>
                <w:color w:val="1F4E78"/>
                <w:sz w:val="19"/>
              </w:rPr>
            </w:r>
            <w:r>
              <w:rPr>
                <w:b/>
                <w:color w:val="1F4E78"/>
                <w:sz w:val="19"/>
              </w:rPr>
              <w:t>= level</w:t>
            </w:r>
          </w:p>
        </w:tc>
      </w:tr>
      <w:tr>
        <w:tc>
          <w:tcPr>
            <w:tcW w:type="dxa" w:w="3118"/>
            <w:vAlign w:val="center"/>
          </w:tcPr>
          <w:p>
            <w:pPr>
              <w:spacing w:after="0" w:before="0"/>
            </w:pPr>
            <w:r>
              <w:rPr>
                <w:sz w:val="19"/>
              </w:rPr>
            </w:r>
            <w:r>
              <w:rPr>
                <w:sz w:val="19"/>
              </w:rPr>
              <w:t>F-Open</w:t>
            </w:r>
          </w:p>
        </w:tc>
        <w:tc>
          <w:tcPr>
            <w:tcW w:type="dxa" w:w="2551"/>
            <w:vAlign w:val="center"/>
          </w:tcPr>
          <w:p>
            <w:pPr>
              <w:spacing w:after="0" w:before="0"/>
              <w:jc w:val="right"/>
            </w:pPr>
            <w:r>
              <w:rPr>
                <w:sz w:val="19"/>
              </w:rPr>
            </w:r>
            <w:r>
              <w:rPr>
                <w:sz w:val="19"/>
              </w:rPr>
              <w:t>67.198</w:t>
            </w:r>
          </w:p>
        </w:tc>
        <w:tc>
          <w:tcPr>
            <w:tcW w:type="dxa" w:w="1984"/>
            <w:vAlign w:val="center"/>
          </w:tcPr>
          <w:p>
            <w:pPr>
              <w:spacing w:after="0" w:before="0"/>
              <w:jc w:val="right"/>
            </w:pPr>
            <w:r>
              <w:rPr>
                <w:sz w:val="19"/>
              </w:rPr>
            </w:r>
            <w:r>
              <w:rPr>
                <w:sz w:val="19"/>
              </w:rPr>
              <w:t>1.42</w:t>
            </w:r>
          </w:p>
        </w:tc>
        <w:tc>
          <w:tcPr>
            <w:tcW w:type="dxa" w:w="1984"/>
            <w:vAlign w:val="center"/>
          </w:tcPr>
          <w:p>
            <w:pPr>
              <w:spacing w:after="0" w:before="0"/>
              <w:jc w:val="right"/>
            </w:pPr>
            <w:r>
              <w:rPr>
                <w:sz w:val="19"/>
              </w:rPr>
            </w:r>
            <w:r>
              <w:rPr>
                <w:sz w:val="19"/>
              </w:rPr>
              <w:t>95.42</w:t>
            </w:r>
          </w:p>
        </w:tc>
      </w:tr>
      <w:tr>
        <w:tc>
          <w:tcPr>
            <w:tcW w:type="dxa" w:w="3118"/>
            <w:vAlign w:val="center"/>
          </w:tcPr>
          <w:p>
            <w:pPr>
              <w:spacing w:after="0" w:before="0"/>
            </w:pPr>
            <w:r>
              <w:rPr>
                <w:sz w:val="19"/>
              </w:rPr>
            </w:r>
            <w:r>
              <w:rPr>
                <w:sz w:val="19"/>
              </w:rPr>
              <w:t>F-Standard</w:t>
            </w:r>
          </w:p>
        </w:tc>
        <w:tc>
          <w:tcPr>
            <w:tcW w:type="dxa" w:w="2551"/>
            <w:vAlign w:val="center"/>
          </w:tcPr>
          <w:p>
            <w:pPr>
              <w:spacing w:after="0" w:before="0"/>
              <w:jc w:val="right"/>
            </w:pPr>
            <w:r>
              <w:rPr>
                <w:sz w:val="19"/>
              </w:rPr>
            </w:r>
            <w:r>
              <w:rPr>
                <w:sz w:val="19"/>
              </w:rPr>
              <w:t>64.062</w:t>
            </w:r>
          </w:p>
        </w:tc>
        <w:tc>
          <w:tcPr>
            <w:tcW w:type="dxa" w:w="1984"/>
            <w:vAlign w:val="center"/>
          </w:tcPr>
          <w:p>
            <w:pPr>
              <w:spacing w:after="0" w:before="0"/>
              <w:jc w:val="right"/>
            </w:pPr>
            <w:r>
              <w:rPr>
                <w:sz w:val="19"/>
              </w:rPr>
            </w:r>
            <w:r>
              <w:rPr>
                <w:sz w:val="19"/>
              </w:rPr>
              <w:t>1.46</w:t>
            </w:r>
          </w:p>
        </w:tc>
        <w:tc>
          <w:tcPr>
            <w:tcW w:type="dxa" w:w="1984"/>
            <w:vAlign w:val="center"/>
          </w:tcPr>
          <w:p>
            <w:pPr>
              <w:spacing w:after="0" w:before="0"/>
              <w:jc w:val="right"/>
            </w:pPr>
            <w:r>
              <w:rPr>
                <w:sz w:val="19"/>
              </w:rPr>
            </w:r>
            <w:r>
              <w:rPr>
                <w:sz w:val="19"/>
              </w:rPr>
              <w:t>93.53</w:t>
            </w:r>
          </w:p>
        </w:tc>
      </w:tr>
      <w:tr>
        <w:tc>
          <w:tcPr>
            <w:tcW w:type="dxa" w:w="3118"/>
            <w:vAlign w:val="center"/>
          </w:tcPr>
          <w:p>
            <w:pPr>
              <w:spacing w:after="0" w:before="0"/>
            </w:pPr>
            <w:r>
              <w:rPr>
                <w:sz w:val="19"/>
              </w:rPr>
            </w:r>
            <w:r>
              <w:rPr>
                <w:sz w:val="19"/>
              </w:rPr>
              <w:t>F/TR</w:t>
            </w:r>
          </w:p>
        </w:tc>
        <w:tc>
          <w:tcPr>
            <w:tcW w:type="dxa" w:w="2551"/>
            <w:vAlign w:val="center"/>
          </w:tcPr>
          <w:p>
            <w:pPr>
              <w:spacing w:after="0" w:before="0"/>
              <w:jc w:val="right"/>
            </w:pPr>
            <w:r>
              <w:rPr>
                <w:sz w:val="19"/>
              </w:rPr>
            </w:r>
            <w:r>
              <w:rPr>
                <w:sz w:val="19"/>
              </w:rPr>
              <w:t>65.165</w:t>
            </w:r>
          </w:p>
        </w:tc>
        <w:tc>
          <w:tcPr>
            <w:tcW w:type="dxa" w:w="1984"/>
            <w:vAlign w:val="center"/>
          </w:tcPr>
          <w:p>
            <w:pPr>
              <w:spacing w:after="0" w:before="0"/>
              <w:jc w:val="right"/>
            </w:pPr>
            <w:r>
              <w:rPr>
                <w:sz w:val="19"/>
              </w:rPr>
            </w:r>
            <w:r>
              <w:rPr>
                <w:sz w:val="19"/>
              </w:rPr>
              <w:t>1.45</w:t>
            </w:r>
          </w:p>
        </w:tc>
        <w:tc>
          <w:tcPr>
            <w:tcW w:type="dxa" w:w="1984"/>
            <w:vAlign w:val="center"/>
          </w:tcPr>
          <w:p>
            <w:pPr>
              <w:spacing w:after="0" w:before="0"/>
              <w:jc w:val="right"/>
            </w:pPr>
            <w:r>
              <w:rPr>
                <w:sz w:val="19"/>
              </w:rPr>
            </w:r>
            <w:r>
              <w:rPr>
                <w:sz w:val="19"/>
              </w:rPr>
              <w:t>94.49</w:t>
            </w:r>
          </w:p>
        </w:tc>
      </w:tr>
      <w:tr>
        <w:tc>
          <w:tcPr>
            <w:tcW w:type="dxa" w:w="3118"/>
            <w:vAlign w:val="center"/>
            <w:shd w:val="clear" w:color="auto" w:fill="FFF9E6"/>
          </w:tcPr>
          <w:p>
            <w:pPr>
              <w:spacing w:after="0" w:before="0"/>
            </w:pPr>
            <w:r>
              <w:rPr>
                <w:sz w:val="19"/>
              </w:rPr>
            </w:r>
            <w:r>
              <w:rPr>
                <w:b/>
                <w:sz w:val="19"/>
              </w:rPr>
              <w:t>Average → target</w:t>
            </w:r>
          </w:p>
        </w:tc>
        <w:tc>
          <w:tcPr>
            <w:tcW w:type="dxa" w:w="2551"/>
            <w:vAlign w:val="center"/>
            <w:shd w:val="clear" w:color="auto" w:fill="FFF9E6"/>
          </w:tcPr>
          <w:p>
            <w:pPr>
              <w:spacing w:after="0" w:before="0"/>
              <w:jc w:val="right"/>
            </w:pPr>
            <w:r>
              <w:rPr>
                <w:sz w:val="19"/>
              </w:rPr>
            </w:r>
          </w:p>
        </w:tc>
        <w:tc>
          <w:tcPr>
            <w:tcW w:type="dxa" w:w="1984"/>
            <w:vAlign w:val="center"/>
            <w:shd w:val="clear" w:color="auto" w:fill="FFF9E6"/>
          </w:tcPr>
          <w:p>
            <w:pPr>
              <w:spacing w:after="0" w:before="0"/>
              <w:jc w:val="right"/>
            </w:pPr>
            <w:r>
              <w:rPr>
                <w:sz w:val="19"/>
              </w:rPr>
            </w:r>
          </w:p>
        </w:tc>
        <w:tc>
          <w:tcPr>
            <w:tcW w:type="dxa" w:w="1984"/>
            <w:vAlign w:val="center"/>
            <w:shd w:val="clear" w:color="auto" w:fill="FFF9E6"/>
          </w:tcPr>
          <w:p>
            <w:pPr>
              <w:spacing w:after="0" w:before="0"/>
              <w:jc w:val="right"/>
            </w:pPr>
            <w:r>
              <w:rPr>
                <w:sz w:val="19"/>
              </w:rPr>
            </w:r>
            <w:r>
              <w:rPr>
                <w:b/>
                <w:sz w:val="19"/>
              </w:rPr>
              <w:t>≈ 94.47</w:t>
            </w:r>
          </w:p>
        </w:tc>
      </w:tr>
    </w:tbl>
    <w:p>
      <w:pPr>
        <w:spacing w:after="80"/>
      </w:pPr>
    </w:p>
    <w:p>
      <w:pPr>
        <w:spacing w:after="120"/>
      </w:pPr>
      <w:r>
        <w:rPr>
          <w:sz w:val="21"/>
        </w:rPr>
        <w:t xml:space="preserve">Each discipline’s factor is then just </w:t>
      </w:r>
      <w:r>
        <w:rPr>
          <w:b/>
          <w:sz w:val="21"/>
        </w:rPr>
        <w:t>94.471 ÷ (its own top-40% cohort average)</w:t>
      </w:r>
      <w:r>
        <w:rPr>
          <w:sz w:val="21"/>
        </w:rPr>
        <w:t>. The units resolve because the ~94 target (after factor) is divided by the ~67 cohort average (before factor): 94.471 ÷ 66.907 = 1.412 for Target Rifle, and so on.</w:t>
      </w:r>
    </w:p>
    <w:tbl>
      <w:tblPr>
        <w:tblW w:type="auto" w:w="0"/>
        <w:tblLayout w:type="fixed"/>
        <w:tblLook w:firstColumn="1" w:firstRow="1" w:lastColumn="0" w:lastRow="0" w:noHBand="0" w:noVBand="1" w:val="04A0"/>
      </w:tblPr>
      <w:tblGrid>
        <w:gridCol w:w="9638"/>
      </w:tblGrid>
      <w:tr>
        <w:tc>
          <w:tcPr>
            <w:tcW w:type="dxa" w:w="9638"/>
            <w:shd w:val="clear" w:color="auto" w:fill="FFF9E6"/>
            <w:tcBorders>
              <w:left w:val="single" w:sz="24" w:space="0" w:color="C9A227"/>
            </w:tcBorders>
          </w:tcPr>
          <w:p>
            <w:pPr>
              <w:spacing w:before="40" w:after="40"/>
            </w:pPr>
            <w:r>
              <w:rPr>
                <w:sz w:val="21"/>
              </w:rPr>
            </w:r>
            <w:r>
              <w:rPr>
                <w:b/>
                <w:sz w:val="21"/>
              </w:rPr>
              <w:t>⚑ Before you send:</w:t>
            </w:r>
            <w:r>
              <w:rPr>
                <w:sz w:val="21"/>
              </w:rPr>
              <w:t xml:space="preserve">  Be ready for the obvious follow-up — </w:t>
            </w:r>
            <w:r>
              <w:rPr>
                <w:i/>
                <w:sz w:val="21"/>
              </w:rPr>
              <w:t>“isn’t it circular to use the old factors to set the new target?”</w:t>
            </w:r>
            <w:r>
              <w:rPr>
                <w:sz w:val="21"/>
              </w:rPr>
              <w:t xml:space="preserve"> Yes, and intentionally: F-class was considered about right, so we anchor to it and fix the outliers rather than re-normalise everything from scratch. Say that plainly if asked. Also note the response document’s phrase </w:t>
            </w:r>
            <w:r>
              <w:rPr>
                <w:i/>
                <w:sz w:val="21"/>
              </w:rPr>
              <w:t>“the average of the three F-class cohorts”</w:t>
            </w:r>
            <w:r>
              <w:rPr>
                <w:sz w:val="21"/>
              </w:rPr>
              <w:t xml:space="preserve"> is too loose — it invites the reading that 94.471 is the average of the raw means (65.5). Reword it to the definition above.</w:t>
            </w:r>
          </w:p>
        </w:tc>
      </w:tr>
    </w:tbl>
    <w:p>
      <w:pPr>
        <w:spacing w:after="80"/>
      </w:pPr>
    </w:p>
    <w:p>
      <w:pPr>
        <w:spacing w:before="320" w:after="120"/>
      </w:pPr>
      <w:r>
        <w:rPr>
          <w:b/>
          <w:color w:val="1F4E78"/>
          <w:sz w:val="30"/>
        </w:rPr>
        <w:t>4. “Top-40% cohort mean converted score” — and the top-60% question</w:t>
      </w:r>
    </w:p>
    <w:tbl>
      <w:tblPr>
        <w:tblW w:type="auto" w:w="0"/>
        <w:tblLayout w:type="fixed"/>
        <w:tblLook w:firstColumn="1" w:firstRow="1" w:lastColumn="0" w:lastRow="0" w:noHBand="0" w:noVBand="1" w:val="04A0"/>
      </w:tblPr>
      <w:tblGrid>
        <w:gridCol w:w="9638"/>
      </w:tblGrid>
      <w:tr>
        <w:tc>
          <w:tcPr>
            <w:tcW w:type="dxa" w:w="9638"/>
            <w:shd w:val="clear" w:color="auto" w:fill="F4F4F4"/>
            <w:tcBorders>
              <w:left w:val="single" w:sz="24" w:space="0" w:color="888888"/>
            </w:tcBorders>
          </w:tcPr>
          <w:p>
            <w:pPr>
              <w:spacing w:before="40" w:after="40"/>
            </w:pPr>
            <w:r>
              <w:rPr>
                <w:sz w:val="21"/>
              </w:rPr>
            </w:r>
            <w:r>
              <w:rPr>
                <w:i/>
                <w:sz w:val="21"/>
              </w:rPr>
              <w:t>Gerald asked:</w:t>
            </w:r>
            <w:r>
              <w:rPr>
                <w:sz w:val="21"/>
              </w:rPr>
              <w:t xml:space="preserve">  “What do you mean by top-40% cohort mean converted score? Are you only taking the top 60% of all records, if so why?”</w:t>
            </w:r>
          </w:p>
        </w:tc>
      </w:tr>
    </w:tbl>
    <w:p>
      <w:pPr>
        <w:spacing w:after="80"/>
      </w:pPr>
    </w:p>
    <w:tbl>
      <w:tblPr>
        <w:tblW w:type="auto" w:w="0"/>
        <w:tblLayout w:type="fixed"/>
        <w:tblLook w:firstColumn="1" w:firstRow="1" w:lastColumn="0" w:lastRow="0" w:noHBand="0" w:noVBand="1" w:val="04A0"/>
      </w:tblPr>
      <w:tblGrid>
        <w:gridCol w:w="9638"/>
      </w:tblGrid>
      <w:tr>
        <w:tc>
          <w:tcPr>
            <w:tcW w:type="dxa" w:w="9638"/>
            <w:shd w:val="clear" w:color="auto" w:fill="EAF3EA"/>
            <w:tcBorders>
              <w:left w:val="single" w:sz="24" w:space="0" w:color="3C7A3C"/>
            </w:tcBorders>
          </w:tcPr>
          <w:p>
            <w:pPr>
              <w:spacing w:before="40" w:after="40"/>
            </w:pPr>
            <w:r>
              <w:rPr>
                <w:sz w:val="21"/>
              </w:rPr>
            </w:r>
            <w:r>
              <w:rPr>
                <w:b/>
                <w:sz w:val="21"/>
              </w:rPr>
              <w:t>Suggested reply →</w:t>
            </w:r>
            <w:r>
              <w:rPr>
                <w:sz w:val="21"/>
              </w:rPr>
              <w:t xml:space="preserve">  It is the top </w:t>
            </w:r>
            <w:r>
              <w:rPr>
                <w:b/>
                <w:sz w:val="21"/>
              </w:rPr>
              <w:t>40%</w:t>
            </w:r>
            <w:r>
              <w:rPr>
                <w:sz w:val="21"/>
              </w:rPr>
              <w:t xml:space="preserve"> — the best 40% of scores — not the top 60%. For each combination of state, year, discipline and range we take the best 40% of that field (with a floor of 5 scores so small fields still count), then pool them for the discipline. The “converted score” is </w:t>
            </w:r>
            <w:r>
              <w:rPr>
                <w:i/>
                <w:sz w:val="21"/>
              </w:rPr>
              <w:t>(Score × Conversion + Centres × 0.7)</w:t>
            </w:r>
            <w:r>
              <w:rPr>
                <w:sz w:val="21"/>
              </w:rPr>
              <w:t>, and we take its average over that pooled top 40%. We use the top 40% rather than the whole field because the full field is dominated by casual and beginner entrants whose spread varies between disciplines for reasons unrelated to the scoring scale; the championship is decided at the sharp end, so calibrating on competitive scores is far more stable. It is the same instinct as the top-half approach used in the club system, just tightened to 40%.</w:t>
            </w:r>
          </w:p>
        </w:tc>
      </w:tr>
    </w:tbl>
    <w:p>
      <w:pPr>
        <w:spacing w:after="80"/>
      </w:pPr>
    </w:p>
    <w:p>
      <w:pPr>
        <w:spacing w:before="320" w:after="120"/>
      </w:pPr>
      <w:r>
        <w:rPr>
          <w:b/>
          <w:color w:val="1F4E78"/>
          <w:sz w:val="30"/>
        </w:rPr>
        <w:t>5. What “cohort” means</w:t>
      </w:r>
    </w:p>
    <w:tbl>
      <w:tblPr>
        <w:tblW w:type="auto" w:w="0"/>
        <w:tblLayout w:type="fixed"/>
        <w:tblLook w:firstColumn="1" w:firstRow="1" w:lastColumn="0" w:lastRow="0" w:noHBand="0" w:noVBand="1" w:val="04A0"/>
      </w:tblPr>
      <w:tblGrid>
        <w:gridCol w:w="9638"/>
      </w:tblGrid>
      <w:tr>
        <w:tc>
          <w:tcPr>
            <w:tcW w:type="dxa" w:w="9638"/>
            <w:shd w:val="clear" w:color="auto" w:fill="F4F4F4"/>
            <w:tcBorders>
              <w:left w:val="single" w:sz="24" w:space="0" w:color="888888"/>
            </w:tcBorders>
          </w:tcPr>
          <w:p>
            <w:pPr>
              <w:spacing w:before="40" w:after="40"/>
            </w:pPr>
            <w:r>
              <w:rPr>
                <w:sz w:val="21"/>
              </w:rPr>
            </w:r>
            <w:r>
              <w:rPr>
                <w:i/>
                <w:sz w:val="21"/>
              </w:rPr>
              <w:t>Gerald asked:</w:t>
            </w:r>
            <w:r>
              <w:rPr>
                <w:sz w:val="21"/>
              </w:rPr>
              <w:t xml:space="preserve">  “What do you mean by the term ‘cohort’?”</w:t>
            </w:r>
          </w:p>
        </w:tc>
      </w:tr>
    </w:tbl>
    <w:p>
      <w:pPr>
        <w:spacing w:after="80"/>
      </w:pPr>
    </w:p>
    <w:tbl>
      <w:tblPr>
        <w:tblW w:type="auto" w:w="0"/>
        <w:tblLayout w:type="fixed"/>
        <w:tblLook w:firstColumn="1" w:firstRow="1" w:lastColumn="0" w:lastRow="0" w:noHBand="0" w:noVBand="1" w:val="04A0"/>
      </w:tblPr>
      <w:tblGrid>
        <w:gridCol w:w="9638"/>
      </w:tblGrid>
      <w:tr>
        <w:tc>
          <w:tcPr>
            <w:tcW w:type="dxa" w:w="9638"/>
            <w:shd w:val="clear" w:color="auto" w:fill="EAF3EA"/>
            <w:tcBorders>
              <w:left w:val="single" w:sz="24" w:space="0" w:color="3C7A3C"/>
            </w:tcBorders>
          </w:tcPr>
          <w:p>
            <w:pPr>
              <w:spacing w:before="40" w:after="40"/>
            </w:pPr>
            <w:r>
              <w:rPr>
                <w:sz w:val="21"/>
              </w:rPr>
            </w:r>
            <w:r>
              <w:rPr>
                <w:b/>
                <w:sz w:val="21"/>
              </w:rPr>
              <w:t>Suggested reply →</w:t>
            </w:r>
            <w:r>
              <w:rPr>
                <w:sz w:val="21"/>
              </w:rPr>
              <w:t xml:space="preserve">  A “cohort” is simply </w:t>
            </w:r>
            <w:r>
              <w:rPr>
                <w:b/>
                <w:sz w:val="21"/>
              </w:rPr>
              <w:t>the top 40% of scores in a discipline</w:t>
            </w:r>
            <w:r>
              <w:rPr>
                <w:sz w:val="21"/>
              </w:rPr>
              <w:t xml:space="preserve"> — that discipline’s pool of competitive performances across all the King’s/Queen’s ranges in the dataset. We will drop the jargon in the report and write “the top 40% of scores in each discipline” instead, which is plainer.</w:t>
            </w:r>
          </w:p>
        </w:tc>
      </w:tr>
    </w:tbl>
    <w:p>
      <w:pPr>
        <w:spacing w:after="80"/>
      </w:pPr>
    </w:p>
    <w:p>
      <w:pPr>
        <w:spacing w:before="320" w:after="120"/>
      </w:pPr>
      <w:r>
        <w:rPr>
          <w:b/>
          <w:color w:val="1F4E78"/>
          <w:sz w:val="30"/>
        </w:rPr>
        <w:t>6. “Average” vs “mean” — consistent wording</w:t>
      </w:r>
    </w:p>
    <w:tbl>
      <w:tblPr>
        <w:tblW w:type="auto" w:w="0"/>
        <w:tblLayout w:type="fixed"/>
        <w:tblLook w:firstColumn="1" w:firstRow="1" w:lastColumn="0" w:lastRow="0" w:noHBand="0" w:noVBand="1" w:val="04A0"/>
      </w:tblPr>
      <w:tblGrid>
        <w:gridCol w:w="9638"/>
      </w:tblGrid>
      <w:tr>
        <w:tc>
          <w:tcPr>
            <w:tcW w:type="dxa" w:w="9638"/>
            <w:shd w:val="clear" w:color="auto" w:fill="F4F4F4"/>
            <w:tcBorders>
              <w:left w:val="single" w:sz="24" w:space="0" w:color="888888"/>
            </w:tcBorders>
          </w:tcPr>
          <w:p>
            <w:pPr>
              <w:spacing w:before="40" w:after="40"/>
            </w:pPr>
            <w:r>
              <w:rPr>
                <w:sz w:val="21"/>
              </w:rPr>
            </w:r>
            <w:r>
              <w:rPr>
                <w:i/>
                <w:sz w:val="21"/>
              </w:rPr>
              <w:t>Gerald asked:</w:t>
            </w:r>
            <w:r>
              <w:rPr>
                <w:sz w:val="21"/>
              </w:rPr>
              <w:t xml:space="preserve">  “…the factor equalises each discipline’s cohort average. Your terminology should be consistent: use ‘average’ or ‘mean’ but don’t use both… I suggest ‘average.’”</w:t>
            </w:r>
          </w:p>
        </w:tc>
      </w:tr>
    </w:tbl>
    <w:p>
      <w:pPr>
        <w:spacing w:after="80"/>
      </w:pPr>
    </w:p>
    <w:tbl>
      <w:tblPr>
        <w:tblW w:type="auto" w:w="0"/>
        <w:tblLayout w:type="fixed"/>
        <w:tblLook w:firstColumn="1" w:firstRow="1" w:lastColumn="0" w:lastRow="0" w:noHBand="0" w:noVBand="1" w:val="04A0"/>
      </w:tblPr>
      <w:tblGrid>
        <w:gridCol w:w="9638"/>
      </w:tblGrid>
      <w:tr>
        <w:tc>
          <w:tcPr>
            <w:tcW w:type="dxa" w:w="9638"/>
            <w:shd w:val="clear" w:color="auto" w:fill="EAF3EA"/>
            <w:tcBorders>
              <w:left w:val="single" w:sz="24" w:space="0" w:color="3C7A3C"/>
            </w:tcBorders>
          </w:tcPr>
          <w:p>
            <w:pPr>
              <w:spacing w:before="40" w:after="40"/>
            </w:pPr>
            <w:r>
              <w:rPr>
                <w:sz w:val="21"/>
              </w:rPr>
            </w:r>
            <w:r>
              <w:rPr>
                <w:b/>
                <w:sz w:val="21"/>
              </w:rPr>
              <w:t>Suggested reply →</w:t>
            </w:r>
            <w:r>
              <w:rPr>
                <w:sz w:val="21"/>
              </w:rPr>
              <w:t xml:space="preserve">  Agreed — we will use </w:t>
            </w:r>
            <w:r>
              <w:rPr>
                <w:b/>
                <w:sz w:val="21"/>
              </w:rPr>
              <w:t>“average”</w:t>
            </w:r>
            <w:r>
              <w:rPr>
                <w:sz w:val="21"/>
              </w:rPr>
              <w:t xml:space="preserve"> throughout and remove “mean.” The underlying calculation is an arithmetic average, so the plainer word is also the accurate one.</w:t>
            </w:r>
          </w:p>
        </w:tc>
      </w:tr>
    </w:tbl>
    <w:p>
      <w:pPr>
        <w:spacing w:after="80"/>
      </w:pPr>
    </w:p>
    <w:p>
      <w:pPr>
        <w:spacing w:before="320" w:after="120"/>
      </w:pPr>
      <w:r>
        <w:rPr>
          <w:b/>
          <w:color w:val="1F4E78"/>
          <w:sz w:val="30"/>
        </w:rPr>
        <w:t>Two more housekeeping items Gerald will notice</w:t>
      </w:r>
    </w:p>
    <w:p>
      <w:pPr>
        <w:spacing w:before="160" w:after="60"/>
      </w:pPr>
      <w:r>
        <w:rPr>
          <w:b/>
          <w:color w:val="444444"/>
          <w:sz w:val="22"/>
        </w:rPr>
        <w:t>The acronym</w:t>
      </w:r>
    </w:p>
    <w:tbl>
      <w:tblPr>
        <w:tblW w:type="auto" w:w="0"/>
        <w:tblLayout w:type="fixed"/>
        <w:tblLook w:firstColumn="1" w:firstRow="1" w:lastColumn="0" w:lastRow="0" w:noHBand="0" w:noVBand="1" w:val="04A0"/>
      </w:tblPr>
      <w:tblGrid>
        <w:gridCol w:w="9638"/>
      </w:tblGrid>
      <w:tr>
        <w:tc>
          <w:tcPr>
            <w:tcW w:type="dxa" w:w="9638"/>
            <w:shd w:val="clear" w:color="auto" w:fill="FFF9E6"/>
            <w:tcBorders>
              <w:left w:val="single" w:sz="24" w:space="0" w:color="C9A227"/>
            </w:tcBorders>
          </w:tcPr>
          <w:p>
            <w:pPr>
              <w:spacing w:before="40" w:after="40"/>
            </w:pPr>
            <w:r>
              <w:rPr>
                <w:sz w:val="21"/>
              </w:rPr>
            </w:r>
            <w:r>
              <w:rPr>
                <w:b/>
                <w:sz w:val="21"/>
              </w:rPr>
              <w:t>⚑ Before you send:</w:t>
            </w:r>
            <w:r>
              <w:rPr>
                <w:sz w:val="21"/>
              </w:rPr>
              <w:t xml:space="preserve">  The response document is titled </w:t>
            </w:r>
            <w:r>
              <w:rPr>
                <w:b/>
                <w:sz w:val="21"/>
              </w:rPr>
              <w:t>“Multiple</w:t>
            </w:r>
            <w:r>
              <w:rPr>
                <w:sz w:val="21"/>
              </w:rPr>
              <w:t xml:space="preserve"> Category Score Index.” Both the original source and Peter’s club note call it the </w:t>
            </w:r>
            <w:r>
              <w:rPr>
                <w:b/>
                <w:sz w:val="21"/>
              </w:rPr>
              <w:t>“Mixed</w:t>
            </w:r>
            <w:r>
              <w:rPr>
                <w:sz w:val="21"/>
              </w:rPr>
              <w:t xml:space="preserve"> Category Score Index.” In a document arguing for rigour this is exactly the kind of slip a reviewer flags — recommend standardising on </w:t>
            </w:r>
            <w:r>
              <w:rPr>
                <w:b/>
                <w:sz w:val="21"/>
              </w:rPr>
              <w:t>“Mixed”</w:t>
            </w:r>
            <w:r>
              <w:rPr>
                <w:sz w:val="21"/>
              </w:rPr>
              <w:t xml:space="preserve"> everywhere. Worth a quick word with Peter to confirm the club’s preferred form.</w:t>
            </w:r>
          </w:p>
        </w:tc>
      </w:tr>
    </w:tbl>
    <w:p>
      <w:pPr>
        <w:spacing w:after="80"/>
      </w:pPr>
    </w:p>
    <w:p>
      <w:pPr>
        <w:spacing w:before="160" w:after="60"/>
      </w:pPr>
      <w:r>
        <w:rPr>
          <w:b/>
          <w:color w:val="444444"/>
          <w:sz w:val="22"/>
        </w:rPr>
        <w:t>The two-page committee proposal Gerald asked for</w:t>
      </w:r>
    </w:p>
    <w:p>
      <w:pPr>
        <w:spacing w:after="120"/>
      </w:pPr>
      <w:r>
        <w:rPr>
          <w:sz w:val="21"/>
        </w:rPr>
        <w:t xml:space="preserve">Gerald also asked for the </w:t>
      </w:r>
      <w:r>
        <w:rPr>
          <w:b/>
          <w:sz w:val="21"/>
        </w:rPr>
        <w:t>simple, under-two-page proposal</w:t>
      </w:r>
      <w:r>
        <w:rPr>
          <w:sz w:val="21"/>
        </w:rPr>
        <w:t xml:space="preserve"> to circulate at the meeting, with the deeper detail held in reserve. The full technical response is the “deeper answer” reserve; the two-pager should be just: (1) what the MCSI is and is for, (2) the one formula in its bracketed form, (3) the factor table with record counts, (4) the three things V5 changes (recent data, transparent method, Sporter), and (5) the governance rule (factors locked per season). Happy to draft that next.</w:t>
      </w:r>
    </w:p>
    <w:p>
      <w:pPr>
        <w:pBdr>
          <w:bottom w:val="single" w:sz="6" w:space="1" w:color="CCCCCC"/>
        </w:pBdr>
      </w:pPr>
    </w:p>
    <w:p>
      <w:pPr>
        <w:spacing w:after="120"/>
      </w:pPr>
      <w:r>
        <w:rPr>
          <w:i/>
          <w:sz w:val="21"/>
        </w:rPr>
        <w:t xml:space="preserve">Everything marked </w:t>
      </w:r>
      <w:r>
        <w:rPr>
          <w:b/>
          <w:i/>
          <w:sz w:val="21"/>
        </w:rPr>
        <w:t>“Suggested reply”</w:t>
      </w:r>
      <w:r>
        <w:rPr>
          <w:i/>
          <w:sz w:val="21"/>
        </w:rPr>
        <w:t xml:space="preserve"> is ready to send. The </w:t>
      </w:r>
      <w:r>
        <w:rPr>
          <w:b/>
          <w:i/>
          <w:sz w:val="21"/>
        </w:rPr>
        <w:t>amber</w:t>
      </w:r>
      <w:r>
        <w:rPr>
          <w:i/>
          <w:sz w:val="21"/>
        </w:rPr>
        <w:t xml:space="preserve"> notes (2014 wording, the 94.471 circularity follow-up, and the Mixed/Multiple name) are the only places you need your own confirmation first — mostly a quick check with Peter.</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