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E78"/>
          <w:sz w:val="40"/>
        </w:rPr>
        <w:t>Technical Response — Review of the V5 MCSI</w:t>
      </w:r>
    </w:p>
    <w:p>
      <w:pPr>
        <w:spacing w:after="120"/>
      </w:pPr>
      <w:r>
        <w:rPr>
          <w:color w:val="444444"/>
          <w:sz w:val="24"/>
        </w:rPr>
        <w:t>Geelong Rifle Club — Multiple Category Score Index, Version 5 · Prepared for the GRC committee · July 2026</w:t>
      </w:r>
    </w:p>
    <w:p>
      <w:pPr>
        <w:pBdr>
          <w:bottom w:val="single" w:sz="6" w:space="1" w:color="CCCCCC"/>
        </w:pBdr>
      </w:pPr>
    </w:p>
    <w:p>
      <w:pPr>
        <w:spacing w:after="120"/>
      </w:pPr>
      <w:r>
        <w:rPr>
          <w:sz w:val="21"/>
        </w:rPr>
        <w:t>This document responds to the technical review of the V5 MCSI. Most of the points raised are fair, several improve the model, and a few rest on a misunderstanding of what the MCSI is for. Each is answered directly below, with the actual numbers from our dataset.</w:t>
      </w:r>
    </w:p>
    <w:p>
      <w:pPr>
        <w:spacing w:before="320" w:after="120"/>
      </w:pPr>
      <w:r>
        <w:rPr>
          <w:b/>
          <w:color w:val="1F4E78"/>
          <w:sz w:val="30"/>
        </w:rPr>
        <w:t>1. What the MCSI is — and what it is not</w:t>
      </w:r>
    </w:p>
    <w:p>
      <w:pPr>
        <w:spacing w:after="120"/>
      </w:pPr>
      <w:r>
        <w:rPr>
          <w:sz w:val="21"/>
        </w:rPr>
        <w:t xml:space="preserve">This is the most important point, because several objections dissolve once it is clear. The MCSI was </w:t>
      </w:r>
      <w:r>
        <w:rPr>
          <w:b/>
          <w:sz w:val="21"/>
        </w:rPr>
        <w:t>not</w:t>
      </w:r>
      <w:r>
        <w:rPr>
          <w:sz w:val="21"/>
        </w:rPr>
        <w:t xml:space="preserve"> built as a club-level tool and it does </w:t>
      </w:r>
      <w:r>
        <w:rPr>
          <w:b/>
          <w:sz w:val="21"/>
        </w:rPr>
        <w:t>not</w:t>
      </w:r>
      <w:r>
        <w:rPr>
          <w:sz w:val="21"/>
        </w:rPr>
        <w:t xml:space="preserve"> compare GRC members against elite shooters as individuals. The original MCSI was built on King’s/Queen’s competition data from </w:t>
      </w:r>
      <w:r>
        <w:rPr>
          <w:b/>
          <w:sz w:val="21"/>
        </w:rPr>
        <w:t>2014 and earlier</w:t>
      </w:r>
      <w:r>
        <w:rPr>
          <w:sz w:val="21"/>
        </w:rPr>
        <w:t xml:space="preserve">, and the club has used that formula for the last four years. The current V5 work is an </w:t>
      </w:r>
      <w:r>
        <w:rPr>
          <w:b/>
          <w:sz w:val="21"/>
        </w:rPr>
        <w:t>update</w:t>
      </w:r>
      <w:r>
        <w:rPr>
          <w:sz w:val="21"/>
        </w:rPr>
        <w:t xml:space="preserve"> of it using recent competition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F8"/>
            <w:tcBorders>
              <w:left w:val="single" w:sz="24" w:space="0" w:color="1F4E78"/>
            </w:tcBorders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The large external dataset is used to estimate the shape and relative behaviour of each discipline’s score distribution — not to create individual shooter ratings.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 xml:space="preserve">No GRC member is being told their score equals a national champion’s. The model asks </w:t>
      </w:r>
      <w:r>
        <w:rPr>
          <w:i/>
          <w:sz w:val="21"/>
        </w:rPr>
        <w:t>“how are scores distributed within each discipline — how compressed, how often is a possible reached, how do the top performers cluster?”</w:t>
      </w:r>
      <w:r>
        <w:rPr>
          <w:sz w:val="21"/>
        </w:rPr>
        <w:t xml:space="preserve"> It does </w:t>
      </w:r>
      <w:r>
        <w:rPr>
          <w:b/>
          <w:sz w:val="21"/>
        </w:rPr>
        <w:t>not</w:t>
      </w:r>
      <w:r>
        <w:rPr>
          <w:sz w:val="21"/>
        </w:rPr>
        <w:t xml:space="preserve"> ask </w:t>
      </w:r>
      <w:r>
        <w:rPr>
          <w:i/>
          <w:sz w:val="21"/>
        </w:rPr>
        <w:t>“is this member as skilled as a King’s medallist?”</w:t>
      </w:r>
      <w:r>
        <w:rPr>
          <w:sz w:val="21"/>
        </w:rPr>
        <w:t xml:space="preserve"> Because King’s events produce genuinely large, statistically significant samples in each discipline, we can measure those distributions reliably — which is exactly why that data is used.</w:t>
      </w:r>
    </w:p>
    <w:p>
      <w:pPr>
        <w:spacing w:after="120"/>
      </w:pPr>
      <w:r>
        <w:rPr>
          <w:sz w:val="21"/>
        </w:rPr>
        <w:t>Its purpose is narrow and worth stating plainly: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F8"/>
            <w:tcBorders>
              <w:left w:val="single" w:sz="24" w:space="0" w:color="1F4E78"/>
            </w:tcBorders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sz w:val="21"/>
              </w:rPr>
              <w:t xml:space="preserve">To convert performances recorded under different scoring systems (50-point vs 60-point) and equipment conditions into a </w:t>
            </w:r>
            <w:r>
              <w:rPr>
                <w:b/>
                <w:sz w:val="21"/>
              </w:rPr>
              <w:t>common index</w:t>
            </w:r>
            <w:r>
              <w:rPr>
                <w:sz w:val="21"/>
              </w:rPr>
              <w:t xml:space="preserve"> that gives a reasonably equitable basis for comparing </w:t>
            </w:r>
            <w:r>
              <w:rPr>
                <w:b/>
                <w:sz w:val="21"/>
              </w:rPr>
              <w:t>relative</w:t>
            </w:r>
            <w:r>
              <w:rPr>
                <w:sz w:val="21"/>
              </w:rPr>
              <w:t xml:space="preserve"> performance across GRC disciplines.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sz w:val="21"/>
        </w:rPr>
        <w:t>Two things have changed since the original formula, and they are the reason for the V5 update.</w:t>
      </w:r>
      <w:r>
        <w:rPr>
          <w:sz w:val="21"/>
        </w:rPr>
        <w:t xml:space="preserve"> First, </w:t>
      </w:r>
      <w:r>
        <w:rPr>
          <w:b/>
          <w:sz w:val="21"/>
        </w:rPr>
        <w:t>Sporter was never part of the 2014 build.</w:t>
      </w:r>
      <w:r>
        <w:rPr>
          <w:sz w:val="21"/>
        </w:rPr>
        <w:t xml:space="preserve"> For the last few years it has been carried in the championship using an </w:t>
      </w:r>
      <w:r>
        <w:rPr>
          <w:i/>
          <w:sz w:val="21"/>
        </w:rPr>
        <w:t>estimated</w:t>
      </w:r>
      <w:r>
        <w:rPr>
          <w:sz w:val="21"/>
        </w:rPr>
        <w:t xml:space="preserve"> factor that was, in effect, a placeholder rather than a calibrated value. We now have enough recent King’s/Queen’s data to calibrate Sporter properly — and we have demonstrated that the sample is large enough to do so (Section 3). Second, </w:t>
      </w:r>
      <w:r>
        <w:rPr>
          <w:b/>
          <w:sz w:val="21"/>
        </w:rPr>
        <w:t>equipment has moved on</w:t>
      </w:r>
      <w:r>
        <w:rPr>
          <w:sz w:val="21"/>
        </w:rPr>
        <w:t xml:space="preserve"> — most visibly in F-Open — so the older factors no longer reflect current scoring.</w:t>
      </w:r>
    </w:p>
    <w:p>
      <w:pPr>
        <w:spacing w:after="120"/>
      </w:pPr>
      <w:r>
        <w:rPr>
          <w:sz w:val="21"/>
        </w:rPr>
        <w:t xml:space="preserve">The V5 update therefore uses the recent dataset to produce factors representative of the present era. One honest limitation: </w:t>
      </w:r>
      <w:r>
        <w:rPr>
          <w:b/>
          <w:sz w:val="21"/>
        </w:rPr>
        <w:t>Sporter Open and Sporter (Production) were combined in the earlier records</w:t>
      </w:r>
      <w:r>
        <w:rPr>
          <w:sz w:val="21"/>
        </w:rPr>
        <w:t>, so at this stage they cannot be cleanly separated — V5 uses a single merged Sporter factor. That can be revisited once the two are recorded distinctly for long enough to calibrate separately.</w:t>
      </w:r>
    </w:p>
    <w:p>
      <w:pPr>
        <w:spacing w:after="120"/>
      </w:pPr>
      <w:r>
        <w:rPr>
          <w:sz w:val="21"/>
        </w:rPr>
        <w:t>None of this re-normalises the formula on GRC’s own small sample. The aim is to (a) properly include the smaller classes — especially Sporter — which were previously under-represented or estimated, and (b) rebalance the disciplines so no single class holds a structural advantage. Celebrating individual discipline champions in their own right remains entirely compatible with this — the two are not mutually exclusive.</w:t>
      </w:r>
    </w:p>
    <w:p>
      <w:pPr>
        <w:spacing w:before="320" w:after="120"/>
      </w:pPr>
      <w:r>
        <w:rPr>
          <w:b/>
          <w:color w:val="1F4E78"/>
          <w:sz w:val="30"/>
        </w:rPr>
        <w:t>2. “The factors are a black box / magic numbers” — they are not</w:t>
      </w:r>
    </w:p>
    <w:p>
      <w:pPr>
        <w:spacing w:after="120"/>
      </w:pPr>
      <w:r>
        <w:rPr>
          <w:sz w:val="21"/>
        </w:rPr>
        <w:t xml:space="preserve">This is a fair criticism of the </w:t>
      </w:r>
      <w:r>
        <w:rPr>
          <w:i/>
          <w:sz w:val="21"/>
        </w:rPr>
        <w:t>report</w:t>
      </w:r>
      <w:r>
        <w:rPr>
          <w:sz w:val="21"/>
        </w:rPr>
        <w:t xml:space="preserve">, not the </w:t>
      </w:r>
      <w:r>
        <w:rPr>
          <w:i/>
          <w:sz w:val="21"/>
        </w:rPr>
        <w:t>calculator</w:t>
      </w:r>
      <w:r>
        <w:rPr>
          <w:sz w:val="21"/>
        </w:rPr>
        <w:t>. The derivation was never published; here it is. The V5 formula is: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4F4"/>
            <w:tcBorders>
              <w:left w:val="single" w:sz="24" w:space="0" w:color="444444"/>
            </w:tcBorders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Adjusted MCSI = (Score × Conversion + Centres × 0.7) × Factor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 xml:space="preserve">Each discipline’s factor is </w:t>
      </w:r>
      <w:r>
        <w:rPr>
          <w:b/>
          <w:sz w:val="21"/>
        </w:rPr>
        <w:t>not chosen by eye</w:t>
      </w:r>
      <w:r>
        <w:rPr>
          <w:sz w:val="21"/>
        </w:rPr>
        <w:t>. It is the single number that lifts that discipline’s top-40% cohort average onto one common target (94.471, the average of the three F-class cohorts):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F8"/>
            <w:tcBorders>
              <w:left w:val="single" w:sz="24" w:space="0" w:color="1F4E78"/>
            </w:tcBorders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Factor = 94.471 ÷ (that discipline’s top-40% cohort mean converted score)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969"/>
            <w:vAlign w:val="center"/>
            <w:shd w:val="clear" w:color="auto" w:fill="EEF3F8"/>
          </w:tcPr>
          <w:p>
            <w:pPr>
              <w:spacing w:after="0" w:before="0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Discipline</w:t>
            </w:r>
          </w:p>
        </w:tc>
        <w:tc>
          <w:tcPr>
            <w:tcW w:type="dxa" w:w="2268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Top-40% cohort mean</w:t>
            </w:r>
          </w:p>
        </w:tc>
        <w:tc>
          <w:tcPr>
            <w:tcW w:type="dxa" w:w="1701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94.471 ÷ mean</w:t>
            </w:r>
          </w:p>
        </w:tc>
        <w:tc>
          <w:tcPr>
            <w:tcW w:type="dxa" w:w="1701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V5 factor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Target Rifle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66.907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1.412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1.412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F-Open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67.198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1.406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1.406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F-Standard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64.062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1.475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1.475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F/TR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65.165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1.450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1.450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Sporter (Open + Prod. merged)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68.292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1.383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1.383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 xml:space="preserve">The factor is fully reproducible — it can be recomputed independently from the cohort means. The discipline whose strong scores average </w:t>
      </w:r>
      <w:r>
        <w:rPr>
          <w:b/>
          <w:sz w:val="21"/>
        </w:rPr>
        <w:t>lowest</w:t>
      </w:r>
      <w:r>
        <w:rPr>
          <w:sz w:val="21"/>
        </w:rPr>
        <w:t xml:space="preserve"> (F-Standard, 64.06) gets the </w:t>
      </w:r>
      <w:r>
        <w:rPr>
          <w:b/>
          <w:sz w:val="21"/>
        </w:rPr>
        <w:t>largest</w:t>
      </w:r>
      <w:r>
        <w:rPr>
          <w:sz w:val="21"/>
        </w:rPr>
        <w:t xml:space="preserve"> factor; the one that averages </w:t>
      </w:r>
      <w:r>
        <w:rPr>
          <w:b/>
          <w:sz w:val="21"/>
        </w:rPr>
        <w:t>highest</w:t>
      </w:r>
      <w:r>
        <w:rPr>
          <w:sz w:val="21"/>
        </w:rPr>
        <w:t xml:space="preserve"> (Sporter, 68.29) gets the </w:t>
      </w:r>
      <w:r>
        <w:rPr>
          <w:b/>
          <w:sz w:val="21"/>
        </w:rPr>
        <w:t>smallest</w:t>
      </w:r>
      <w:r>
        <w:rPr>
          <w:sz w:val="21"/>
        </w:rPr>
        <w:t xml:space="preserve">. There is nothing magic in it: it is one division per discipline. </w:t>
      </w:r>
      <w:r>
        <w:rPr>
          <w:b/>
          <w:sz w:val="21"/>
        </w:rPr>
        <w:t>The final report will publish this table with the underlying record counts.</w:t>
      </w:r>
    </w:p>
    <w:p>
      <w:pPr>
        <w:spacing w:before="320" w:after="120"/>
      </w:pPr>
      <w:r>
        <w:rPr>
          <w:b/>
          <w:color w:val="1F4E78"/>
          <w:sz w:val="30"/>
        </w:rPr>
        <w:t>3. “Why King’s/Queen’s data, not club data?” — sample size</w:t>
      </w:r>
    </w:p>
    <w:p>
      <w:pPr>
        <w:spacing w:after="120"/>
      </w:pPr>
      <w:r>
        <w:rPr>
          <w:sz w:val="21"/>
        </w:rPr>
        <w:t xml:space="preserve">The instinct to use our own club data is reasonable, but the numbers make it impossible today. The V5 calibration uses </w:t>
      </w:r>
      <w:r>
        <w:rPr>
          <w:b/>
          <w:sz w:val="21"/>
        </w:rPr>
        <w:t>~19,800 individual range scores across 135 championship days</w:t>
      </w:r>
      <w:r>
        <w:rPr>
          <w:sz w:val="21"/>
        </w:rPr>
        <w:t>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102"/>
            <w:vAlign w:val="center"/>
            <w:shd w:val="clear" w:color="auto" w:fill="EEF3F8"/>
          </w:tcPr>
          <w:p>
            <w:pPr>
              <w:spacing w:after="0" w:before="0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Discipline</w:t>
            </w:r>
          </w:p>
        </w:tc>
        <w:tc>
          <w:tcPr>
            <w:tcW w:type="dxa" w:w="2268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Scores</w:t>
            </w:r>
          </w:p>
        </w:tc>
        <w:tc>
          <w:tcPr>
            <w:tcW w:type="dxa" w:w="2268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Distinct shooters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Target Rifle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7,510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351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F-Open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4,082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222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F-Standard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3,731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193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F/TR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2,437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124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Sporter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2,018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152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 xml:space="preserve">A stable calibration needs roughly 3,000–4,000 scores </w:t>
      </w:r>
      <w:r>
        <w:rPr>
          <w:b/>
          <w:sz w:val="21"/>
        </w:rPr>
        <w:t>per discipline</w:t>
      </w:r>
      <w:r>
        <w:rPr>
          <w:sz w:val="21"/>
        </w:rPr>
        <w:t xml:space="preserve">. Geelong produces a small fraction of that in a season. A GRC-only factor wouldn’t describe </w:t>
      </w:r>
      <w:r>
        <w:rPr>
          <w:i/>
          <w:sz w:val="21"/>
        </w:rPr>
        <w:t>the discipline</w:t>
      </w:r>
      <w:r>
        <w:rPr>
          <w:sz w:val="21"/>
        </w:rPr>
        <w:t xml:space="preserve"> — it would describe </w:t>
      </w:r>
      <w:r>
        <w:rPr>
          <w:b/>
          <w:sz w:val="21"/>
        </w:rPr>
        <w:t>the two or three regulars who happened to turn out</w:t>
      </w:r>
      <w:r>
        <w:rPr>
          <w:sz w:val="21"/>
        </w:rPr>
        <w:t xml:space="preserve">, and it would lurch year to year. We would need to roughly </w:t>
      </w:r>
      <w:r>
        <w:rPr>
          <w:b/>
          <w:sz w:val="21"/>
        </w:rPr>
        <w:t>5× our participation</w:t>
      </w:r>
      <w:r>
        <w:rPr>
          <w:sz w:val="21"/>
        </w:rPr>
        <w:t xml:space="preserve"> before a club-only model became statistically meaningful — and for Sporter, not even then.</w:t>
      </w:r>
    </w:p>
    <w:p>
      <w:pPr>
        <w:spacing w:after="120"/>
      </w:pPr>
      <w:r>
        <w:rPr>
          <w:b/>
          <w:sz w:val="21"/>
        </w:rPr>
        <w:t>We have also tested this directly.</w:t>
      </w:r>
      <w:r>
        <w:rPr>
          <w:sz w:val="21"/>
        </w:rPr>
        <w:t xml:space="preserve"> We applied the V5 factors to the most recent New South Wales King’s data — </w:t>
      </w:r>
      <w:r>
        <w:rPr>
          <w:b/>
          <w:sz w:val="21"/>
        </w:rPr>
        <w:t>data not used to derive them</w:t>
      </w:r>
      <w:r>
        <w:rPr>
          <w:sz w:val="21"/>
        </w:rPr>
        <w:t xml:space="preserve"> — and the factors held: the results were consistent. When that new block of championship data was folded into the existing dataset, the factors </w:t>
      </w:r>
      <w:r>
        <w:rPr>
          <w:b/>
          <w:sz w:val="21"/>
        </w:rPr>
        <w:t>barely moved</w:t>
      </w:r>
      <w:r>
        <w:rPr>
          <w:sz w:val="21"/>
        </w:rPr>
        <w:t xml:space="preserve"> (a marginal shift on F-Standard only). This matters: if our sample were too small to be statistically meaningful, adding a fresh season of championship data would have swung the factors noticeably. It did not — which is direct evidence the sample is large enough to rely on.</w:t>
      </w:r>
    </w:p>
    <w:p>
      <w:pPr>
        <w:spacing w:after="120"/>
      </w:pPr>
      <w:r>
        <w:rPr>
          <w:sz w:val="21"/>
        </w:rPr>
        <w:t xml:space="preserve">This is exactly why the external data is used for the </w:t>
      </w:r>
      <w:r>
        <w:rPr>
          <w:i/>
          <w:sz w:val="21"/>
        </w:rPr>
        <w:t>distribution shape</w:t>
      </w:r>
      <w:r>
        <w:rPr>
          <w:sz w:val="21"/>
        </w:rPr>
        <w:t xml:space="preserve"> while GRC data is the </w:t>
      </w:r>
      <w:r>
        <w:rPr>
          <w:i/>
          <w:sz w:val="21"/>
        </w:rPr>
        <w:t>local sanity check</w:t>
      </w:r>
      <w:r>
        <w:rPr>
          <w:sz w:val="21"/>
        </w:rPr>
        <w:t xml:space="preserve">. Elite data isn’t a perfect mirror of club shooting; the honest long-term answer is a </w:t>
      </w:r>
      <w:r>
        <w:rPr>
          <w:b/>
          <w:sz w:val="21"/>
        </w:rPr>
        <w:t>hybrid</w:t>
      </w:r>
      <w:r>
        <w:rPr>
          <w:sz w:val="21"/>
        </w:rPr>
        <w:t xml:space="preserve"> — anchor on the national distribution now, and give GRC data progressively more weight as it accumulates (credibility weighting).</w:t>
      </w:r>
    </w:p>
    <w:p>
      <w:pPr>
        <w:spacing w:before="320" w:after="120"/>
      </w:pPr>
      <w:r>
        <w:rPr>
          <w:b/>
          <w:color w:val="1F4E78"/>
          <w:sz w:val="30"/>
        </w:rPr>
        <w:t>4. “All-else-equal, F-Standard always wins” — correct, and here’s why</w:t>
      </w:r>
    </w:p>
    <w:p>
      <w:pPr>
        <w:spacing w:after="120"/>
      </w:pPr>
      <w:r>
        <w:rPr>
          <w:sz w:val="21"/>
        </w:rPr>
        <w:t>This is a valid observation. When every discipline is put on the same percentage of possible with the same centres, F-Standard leads every row. Reproducing the test exactly (perfect score, 10 centres):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587"/>
            <w:vAlign w:val="center"/>
            <w:shd w:val="clear" w:color="auto" w:fill="EEF3F8"/>
          </w:tcPr>
          <w:p>
            <w:pPr>
              <w:spacing w:after="0" w:before="0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% of possible</w:t>
            </w:r>
          </w:p>
        </w:tc>
        <w:tc>
          <w:tcPr>
            <w:tcW w:type="dxa" w:w="1077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TR</w:t>
            </w:r>
          </w:p>
        </w:tc>
        <w:tc>
          <w:tcPr>
            <w:tcW w:type="dxa" w:w="1247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F-Open</w:t>
            </w:r>
          </w:p>
        </w:tc>
        <w:tc>
          <w:tcPr>
            <w:tcW w:type="dxa" w:w="1247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F-Std</w:t>
            </w:r>
          </w:p>
        </w:tc>
        <w:tc>
          <w:tcPr>
            <w:tcW w:type="dxa" w:w="1077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FTR</w:t>
            </w:r>
          </w:p>
        </w:tc>
        <w:tc>
          <w:tcPr>
            <w:tcW w:type="dxa" w:w="1247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Sporter</w:t>
            </w:r>
          </w:p>
        </w:tc>
        <w:tc>
          <w:tcPr>
            <w:tcW w:type="dxa" w:w="1020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Wins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100%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94.60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94.20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98.83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97.15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92.66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F-Std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98%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92.91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92.51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97.06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95.41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91.00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F-Std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96%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91.22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90.83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95.28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93.67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89.34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F-Std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90%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86.13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85.77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89.98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88.45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84.36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F-Std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color w:val="888888"/>
          <w:sz w:val="18"/>
        </w:rPr>
        <w:t>Order: F-Std → FTR → TR → F-Open → Sporter.</w:t>
      </w:r>
    </w:p>
    <w:p>
      <w:pPr>
        <w:spacing w:after="120"/>
      </w:pPr>
      <w:r>
        <w:rPr>
          <w:b/>
          <w:sz w:val="21"/>
        </w:rPr>
        <w:t>Why it happens:</w:t>
      </w:r>
      <w:r>
        <w:rPr>
          <w:sz w:val="21"/>
        </w:rPr>
        <w:t xml:space="preserve"> the factor equalises each discipline’s </w:t>
      </w:r>
      <w:r>
        <w:rPr>
          <w:i/>
          <w:sz w:val="21"/>
        </w:rPr>
        <w:t>cohort average</w:t>
      </w:r>
      <w:r>
        <w:rPr>
          <w:sz w:val="21"/>
        </w:rPr>
        <w:t xml:space="preserve"> (Section 2), not its </w:t>
      </w:r>
      <w:r>
        <w:rPr>
          <w:i/>
          <w:sz w:val="21"/>
        </w:rPr>
        <w:t>maximum</w:t>
      </w:r>
      <w:r>
        <w:rPr>
          <w:sz w:val="21"/>
        </w:rPr>
        <w:t xml:space="preserve">. F-Standard’s top shooters sit furthest below their ceiling, so F-Std earns the biggest multiplier. When you then feed in a score at or near the </w:t>
      </w:r>
      <w:r>
        <w:rPr>
          <w:b/>
          <w:sz w:val="21"/>
        </w:rPr>
        <w:t>maximum</w:t>
      </w:r>
      <w:r>
        <w:rPr>
          <w:sz w:val="21"/>
        </w:rPr>
        <w:t xml:space="preserve"> — i.e. above F-Std’s own cohort average — that large multiplier over-rewards it. It is a mathematical property of </w:t>
      </w:r>
      <w:r>
        <w:rPr>
          <w:b/>
          <w:sz w:val="21"/>
        </w:rPr>
        <w:t>mean-equalisation</w:t>
      </w:r>
      <w:r>
        <w:rPr>
          <w:sz w:val="21"/>
        </w:rPr>
        <w:t>, not a hidden preference for F-Standard.</w:t>
      </w:r>
    </w:p>
    <w:p>
      <w:pPr>
        <w:spacing w:after="120"/>
      </w:pPr>
      <w:r>
        <w:rPr>
          <w:sz w:val="21"/>
        </w:rPr>
        <w:t>This must be acknowledged as a real trade-off. Two honest fixes, if the committee finds it unacceptable:</w:t>
      </w:r>
    </w:p>
    <w:p>
      <w:pPr>
        <w:pStyle w:val="ListBullet"/>
        <w:spacing w:after="60"/>
      </w:pPr>
      <w:r>
        <w:rPr>
          <w:b/>
          <w:sz w:val="21"/>
        </w:rPr>
        <w:t>Factor shrinkage</w:t>
      </w:r>
      <w:r>
        <w:rPr>
          <w:sz w:val="21"/>
        </w:rPr>
        <w:t xml:space="preserve"> — pull all factors part-way toward a common value, keeping half the calibration but reducing the equal-score spread; or</w:t>
      </w:r>
    </w:p>
    <w:p>
      <w:pPr>
        <w:pStyle w:val="ListBullet"/>
        <w:spacing w:after="60"/>
      </w:pPr>
      <w:r>
        <w:rPr>
          <w:sz w:val="21"/>
        </w:rPr>
        <w:t xml:space="preserve">calibrate to a </w:t>
      </w:r>
      <w:r>
        <w:rPr>
          <w:b/>
          <w:sz w:val="21"/>
        </w:rPr>
        <w:t>top-cohort / possibles</w:t>
      </w:r>
      <w:r>
        <w:rPr>
          <w:sz w:val="21"/>
        </w:rPr>
        <w:t xml:space="preserve"> target instead of the mean (this equalises the elite tail rather than the average — a different, defensible choice).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9E6"/>
            <w:tcBorders>
              <w:left w:val="single" w:sz="24" w:space="0" w:color="C9A227"/>
            </w:tcBorders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NOTE — factor consistency:</w:t>
            </w:r>
            <w:r>
              <w:rPr>
                <w:sz w:val="21"/>
              </w:rPr>
              <w:t xml:space="preserve"> an earlier draft circulated an F-Standard factor of </w:t>
            </w:r>
            <w:r>
              <w:rPr>
                <w:b/>
                <w:sz w:val="21"/>
              </w:rPr>
              <w:t>1.440</w:t>
            </w:r>
            <w:r>
              <w:rPr>
                <w:sz w:val="21"/>
              </w:rPr>
              <w:t xml:space="preserve">; the current calibration uses </w:t>
            </w:r>
            <w:r>
              <w:rPr>
                <w:b/>
                <w:sz w:val="21"/>
              </w:rPr>
              <w:t>1.475</w:t>
            </w:r>
            <w:r>
              <w:rPr>
                <w:sz w:val="21"/>
              </w:rPr>
              <w:t xml:space="preserve">. At 1.475, F-Std has the largest factor — which is exactly the behaviour described above. Every figure in this document uses </w:t>
            </w:r>
            <w:r>
              <w:rPr>
                <w:b/>
                <w:sz w:val="21"/>
              </w:rPr>
              <w:t>1.475</w:t>
            </w:r>
            <w:r>
              <w:rPr>
                <w:sz w:val="21"/>
              </w:rPr>
              <w:t>; the final report must too.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F4E78"/>
          <w:sz w:val="30"/>
        </w:rPr>
        <w:t>5. Does a possible always beat a near-possible? — no, but only a 2-centre swing flips it</w:t>
      </w:r>
    </w:p>
    <w:p>
      <w:pPr>
        <w:spacing w:after="120"/>
      </w:pPr>
      <w:r>
        <w:rPr>
          <w:sz w:val="21"/>
        </w:rPr>
        <w:t xml:space="preserve">This is also correct, and the earlier claim that “a possible always beats a near-possible” should be withdrawn. Within a single discipline, ranking is by (score + 0.7 × centres) — the factor cancels, so the comparison is identical in every class. A dropped point is worth </w:t>
      </w:r>
      <w:r>
        <w:rPr>
          <w:b/>
          <w:sz w:val="21"/>
        </w:rPr>
        <w:t>1</w:t>
      </w:r>
      <w:r>
        <w:rPr>
          <w:sz w:val="21"/>
        </w:rPr>
        <w:t xml:space="preserve">; a centre is worth </w:t>
      </w:r>
      <w:r>
        <w:rPr>
          <w:b/>
          <w:sz w:val="21"/>
        </w:rPr>
        <w:t>0.7</w:t>
      </w:r>
      <w:r>
        <w:rPr>
          <w:sz w:val="21"/>
        </w:rPr>
        <w:t xml:space="preserve">. The break-even is 1 ÷ 0.7 = </w:t>
      </w:r>
      <w:r>
        <w:rPr>
          <w:b/>
          <w:sz w:val="21"/>
        </w:rPr>
        <w:t>1.43 centres</w:t>
      </w:r>
      <w:r>
        <w:rPr>
          <w:sz w:val="21"/>
        </w:rPr>
        <w:t xml:space="preserve"> — so a near-possible must carry at least </w:t>
      </w:r>
      <w:r>
        <w:rPr>
          <w:b/>
          <w:sz w:val="21"/>
        </w:rPr>
        <w:t>2 more centres</w:t>
      </w:r>
      <w:r>
        <w:rPr>
          <w:sz w:val="21"/>
        </w:rPr>
        <w:t xml:space="preserve"> than the possible to overtake it: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vAlign w:val="center"/>
            <w:shd w:val="clear" w:color="auto" w:fill="EEF3F8"/>
          </w:tcPr>
          <w:p>
            <w:pPr>
              <w:spacing w:after="0" w:before="0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Possible</w:t>
            </w:r>
          </w:p>
        </w:tc>
        <w:tc>
          <w:tcPr>
            <w:tcW w:type="dxa" w:w="1984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Near-possible</w:t>
            </w:r>
          </w:p>
        </w:tc>
        <w:tc>
          <w:tcPr>
            <w:tcW w:type="dxa" w:w="3118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score + 0.7 × centres</w:t>
            </w:r>
          </w:p>
        </w:tc>
        <w:tc>
          <w:tcPr>
            <w:tcW w:type="dxa" w:w="2835"/>
            <w:vAlign w:val="center"/>
            <w:shd w:val="clear" w:color="auto" w:fill="EEF3F8"/>
          </w:tcPr>
          <w:p>
            <w:pPr>
              <w:spacing w:after="0" w:before="0"/>
              <w:jc w:val="right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Winner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50.8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49.9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55.6 vs 55.3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50 holds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50.7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49.9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54.9 vs 55.3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49 wins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50.10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49.10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57.0 vs 56.0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50 wins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color w:val="888888"/>
          <w:sz w:val="18"/>
        </w:rPr>
        <w:t>Shown for a 50-max discipline; the same 2-centre rule applies in F-class — 60 vs 59.</w:t>
      </w:r>
    </w:p>
    <w:p>
      <w:pPr>
        <w:spacing w:after="120"/>
      </w:pPr>
      <w:r>
        <w:rPr>
          <w:sz w:val="21"/>
        </w:rPr>
        <w:t xml:space="preserve">So a possible with a normal centre count is </w:t>
      </w:r>
      <w:r>
        <w:rPr>
          <w:b/>
          <w:sz w:val="21"/>
        </w:rPr>
        <w:t>robust</w:t>
      </w:r>
      <w:r>
        <w:rPr>
          <w:sz w:val="21"/>
        </w:rPr>
        <w:t xml:space="preserve">: only a near-possible carrying two extra centres — an uncommon result — overturns it. Whether even that should be allowed is a </w:t>
      </w:r>
      <w:r>
        <w:rPr>
          <w:b/>
          <w:sz w:val="21"/>
        </w:rPr>
        <w:t>policy choice</w:t>
      </w:r>
      <w:r>
        <w:rPr>
          <w:sz w:val="21"/>
        </w:rPr>
        <w:t>, not a maths error:</w:t>
      </w:r>
    </w:p>
    <w:p>
      <w:pPr>
        <w:pStyle w:val="ListBullet"/>
        <w:spacing w:after="60"/>
      </w:pPr>
      <w:r>
        <w:rPr>
          <w:b/>
          <w:sz w:val="21"/>
        </w:rPr>
        <w:t>Policy 1 (primary absolute):</w:t>
      </w:r>
      <w:r>
        <w:rPr>
          <w:sz w:val="21"/>
        </w:rPr>
        <w:t xml:space="preserve"> a higher score always wins; centres only break ties.</w:t>
      </w:r>
    </w:p>
    <w:p>
      <w:pPr>
        <w:pStyle w:val="ListBullet"/>
        <w:spacing w:after="60"/>
      </w:pPr>
      <w:r>
        <w:rPr>
          <w:b/>
          <w:sz w:val="21"/>
        </w:rPr>
        <w:t>Policy 2 (combined performance — current V5):</w:t>
      </w:r>
      <w:r>
        <w:rPr>
          <w:sz w:val="21"/>
        </w:rPr>
        <w:t xml:space="preserve"> a large enough centre advantage can outweigh one dropped point.</w:t>
      </w:r>
    </w:p>
    <w:p>
      <w:pPr>
        <w:spacing w:after="120"/>
      </w:pPr>
      <w:r>
        <w:rPr>
          <w:sz w:val="21"/>
        </w:rPr>
        <w:t xml:space="preserve">The committee should pick one deliberately. The report will be corrected to say: </w:t>
      </w:r>
      <w:r>
        <w:rPr>
          <w:i/>
          <w:sz w:val="21"/>
        </w:rPr>
        <w:t>the system strongly rewards primary score and generally favours possibles, but does not guarantee that every possible outranks every near-possible.</w:t>
      </w:r>
    </w:p>
    <w:p>
      <w:pPr>
        <w:spacing w:before="320" w:after="120"/>
      </w:pPr>
      <w:r>
        <w:rPr>
          <w:b/>
          <w:color w:val="1F4E78"/>
          <w:sz w:val="30"/>
        </w:rPr>
        <w:t>6. Distance — correct in principle, but deliberately not adopted</w:t>
      </w:r>
    </w:p>
    <w:p>
      <w:pPr>
        <w:spacing w:after="120"/>
      </w:pPr>
      <w:r>
        <w:rPr>
          <w:sz w:val="21"/>
        </w:rPr>
        <w:t xml:space="preserve">It is correct that a 50.10 at 900m is, on average, harder than at 500m, and V5 uses one factor per discipline across all distances. </w:t>
      </w:r>
      <w:r>
        <w:rPr>
          <w:b/>
          <w:sz w:val="21"/>
        </w:rPr>
        <w:t>We have looked at this.</w:t>
      </w:r>
      <w:r>
        <w:rPr>
          <w:sz w:val="21"/>
        </w:rPr>
        <w:t xml:space="preserve"> Two reasons it is not in V5:</w:t>
      </w:r>
    </w:p>
    <w:p>
      <w:pPr>
        <w:pStyle w:val="ListBullet"/>
        <w:spacing w:after="60"/>
      </w:pPr>
      <w:r>
        <w:rPr>
          <w:b/>
          <w:sz w:val="21"/>
        </w:rPr>
        <w:t>Data.</w:t>
      </w:r>
      <w:r>
        <w:rPr>
          <w:sz w:val="21"/>
        </w:rPr>
        <w:t xml:space="preserve"> A distance-specific factor means </w:t>
      </w:r>
      <w:r>
        <w:rPr>
          <w:b/>
          <w:sz w:val="21"/>
        </w:rPr>
        <w:t>6 disciplines × 5 distances = 30 cells</w:t>
      </w:r>
      <w:r>
        <w:rPr>
          <w:sz w:val="21"/>
        </w:rPr>
        <w:t xml:space="preserve">, each needing ~100+ scores from 15+ shooters to be stable. We have that depth for some disciplines but not others — </w:t>
      </w:r>
      <w:r>
        <w:rPr>
          <w:b/>
          <w:sz w:val="21"/>
        </w:rPr>
        <w:t>Sporter in particular</w:t>
      </w:r>
      <w:r>
        <w:rPr>
          <w:sz w:val="21"/>
        </w:rPr>
        <w:t xml:space="preserve"> — and there is a real risk of </w:t>
      </w:r>
      <w:r>
        <w:rPr>
          <w:b/>
          <w:sz w:val="21"/>
        </w:rPr>
        <w:t>double-counting difficulty</w:t>
      </w:r>
      <w:r>
        <w:rPr>
          <w:sz w:val="21"/>
        </w:rPr>
        <w:t xml:space="preserve"> that is already reflected in the observed score distribution.</w:t>
      </w:r>
    </w:p>
    <w:p>
      <w:pPr>
        <w:pStyle w:val="ListBullet"/>
        <w:spacing w:after="60"/>
      </w:pPr>
      <w:r>
        <w:rPr>
          <w:b/>
          <w:sz w:val="21"/>
        </w:rPr>
        <w:t>Usability.</w:t>
      </w:r>
      <w:r>
        <w:rPr>
          <w:sz w:val="21"/>
        </w:rPr>
        <w:t xml:space="preserve"> A separate factor for every distance, in both </w:t>
      </w:r>
      <w:r>
        <w:rPr>
          <w:b/>
          <w:sz w:val="21"/>
        </w:rPr>
        <w:t>metres and yards</w:t>
      </w:r>
      <w:r>
        <w:rPr>
          <w:sz w:val="21"/>
        </w:rPr>
        <w:t xml:space="preserve">, across every discipline, would turn the formula into exactly the “black box” the review warns against. We want the MCSI to stay </w:t>
      </w:r>
      <w:r>
        <w:rPr>
          <w:b/>
          <w:sz w:val="21"/>
        </w:rPr>
        <w:t>usable — calculable by any shooter by hand.</w:t>
      </w:r>
      <w:r>
        <w:rPr>
          <w:sz w:val="21"/>
        </w:rPr>
        <w:t xml:space="preserve"> One factor per discipline keeps it transparent.</w:t>
      </w:r>
    </w:p>
    <w:p>
      <w:pPr>
        <w:spacing w:after="120"/>
      </w:pPr>
      <w:r>
        <w:rPr>
          <w:sz w:val="21"/>
        </w:rPr>
        <w:t xml:space="preserve">This is a legitimate </w:t>
      </w:r>
      <w:r>
        <w:rPr>
          <w:b/>
          <w:sz w:val="21"/>
        </w:rPr>
        <w:t>future (V6) development item</w:t>
      </w:r>
      <w:r>
        <w:rPr>
          <w:sz w:val="21"/>
        </w:rPr>
        <w:t>, subject to sample-size thresholds — not a V5 defect.</w:t>
      </w:r>
    </w:p>
    <w:p>
      <w:pPr>
        <w:spacing w:before="320" w:after="120"/>
      </w:pPr>
      <w:r>
        <w:rPr>
          <w:b/>
          <w:color w:val="1F4E78"/>
          <w:sz w:val="30"/>
        </w:rPr>
        <w:t>7. “Factors should evolve” — agreed, under governance</w:t>
      </w:r>
    </w:p>
    <w:p>
      <w:pPr>
        <w:spacing w:after="120"/>
      </w:pPr>
      <w:r>
        <w:rPr>
          <w:sz w:val="21"/>
        </w:rPr>
        <w:t xml:space="preserve">Yes. Equipment (barrels, projectiles, F-Open cartridge design) has changed markedly in a decade, and the factors should track it. But they must </w:t>
      </w:r>
      <w:r>
        <w:rPr>
          <w:b/>
          <w:sz w:val="21"/>
        </w:rPr>
        <w:t>not</w:t>
      </w:r>
      <w:r>
        <w:rPr>
          <w:sz w:val="21"/>
        </w:rPr>
        <w:t xml:space="preserve"> drift continuously, or a January result wouldn’t compare with a November one. The process should be: </w:t>
      </w:r>
      <w:r>
        <w:rPr>
          <w:b/>
          <w:sz w:val="21"/>
        </w:rPr>
        <w:t>lock factors before each season → collect scores → annual post-season review → test proposed changes against history → committee approval → apply from the next season only.</w:t>
      </w:r>
      <w:r>
        <w:rPr>
          <w:sz w:val="21"/>
        </w:rPr>
        <w:t xml:space="preserve"> Every factor set versioned, historical results never rewritten. We’ll add this as a formal governance section.</w:t>
      </w:r>
    </w:p>
    <w:p>
      <w:pPr>
        <w:spacing w:before="320" w:after="120"/>
      </w:pPr>
      <w:r>
        <w:rPr>
          <w:b/>
          <w:color w:val="1F4E78"/>
          <w:sz w:val="30"/>
        </w:rPr>
        <w:t>8. “Is the MCSI goal even possible?”</w:t>
      </w:r>
    </w:p>
    <w:p>
      <w:pPr>
        <w:spacing w:after="120"/>
      </w:pPr>
      <w:r>
        <w:rPr>
          <w:sz w:val="21"/>
        </w:rPr>
        <w:t xml:space="preserve">In a strict scientific sense, there is no single “best shooter” across disciplines that use different equipment and skills — that is philosophically correct. But the MCSI never claimed that. It is a </w:t>
      </w:r>
      <w:r>
        <w:rPr>
          <w:b/>
          <w:sz w:val="21"/>
        </w:rPr>
        <w:t>constructed index</w:t>
      </w:r>
      <w:r>
        <w:rPr>
          <w:sz w:val="21"/>
        </w:rPr>
        <w:t>, in exactly the same family as golf handicaps, the decathlon scoring tables, and motorsport balance-of-performance. None of those prove two performances are physically identical; they provide an agreed, transparent framework for comparison. The right description of the title is: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3F8"/>
            <w:tcBorders>
              <w:left w:val="single" w:sz="24" w:space="0" w:color="1F4E78"/>
            </w:tcBorders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GRC Multiple Category Champion under the adopted MCSI rules</w:t>
            </w:r>
            <w:r>
              <w:rPr>
                <w:sz w:val="21"/>
              </w:rPr>
              <w:t xml:space="preserve"> — not “the objectively best shooter.”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>Four years of work shouldn’t be discarded over the apples-to-oranges objection; and separately celebrating each discipline’s own champion costs us nothing.</w:t>
      </w:r>
    </w:p>
    <w:p>
      <w:pPr>
        <w:spacing w:before="320" w:after="120"/>
      </w:pPr>
      <w:r>
        <w:rPr>
          <w:b/>
          <w:color w:val="1F4E78"/>
          <w:sz w:val="30"/>
        </w:rPr>
        <w:t>9. What we will change in the report</w:t>
      </w:r>
    </w:p>
    <w:p>
      <w:pPr>
        <w:pStyle w:val="ListBullet"/>
        <w:spacing w:after="60"/>
      </w:pPr>
      <w:r>
        <w:rPr>
          <w:sz w:val="21"/>
        </w:rPr>
        <w:t xml:space="preserve">1. </w:t>
      </w:r>
      <w:r>
        <w:rPr>
          <w:b/>
          <w:sz w:val="21"/>
        </w:rPr>
        <w:t>Publish the factor derivation</w:t>
      </w:r>
      <w:r>
        <w:rPr>
          <w:sz w:val="21"/>
        </w:rPr>
        <w:t xml:space="preserve"> — the table in Section 2, with record counts, so the factors are reproducible, not “magic.”</w:t>
      </w:r>
    </w:p>
    <w:p>
      <w:pPr>
        <w:pStyle w:val="ListBullet"/>
        <w:spacing w:after="60"/>
      </w:pPr>
      <w:r>
        <w:rPr>
          <w:sz w:val="21"/>
        </w:rPr>
        <w:t xml:space="preserve">2. </w:t>
      </w:r>
      <w:r>
        <w:rPr>
          <w:b/>
          <w:sz w:val="21"/>
        </w:rPr>
        <w:t>Fix the F-Standard factor inconsistency</w:t>
      </w:r>
      <w:r>
        <w:rPr>
          <w:sz w:val="21"/>
        </w:rPr>
        <w:t xml:space="preserve"> — use </w:t>
      </w:r>
      <w:r>
        <w:rPr>
          <w:b/>
          <w:sz w:val="21"/>
        </w:rPr>
        <w:t>1.475</w:t>
      </w:r>
      <w:r>
        <w:rPr>
          <w:sz w:val="21"/>
        </w:rPr>
        <w:t xml:space="preserve"> throughout.</w:t>
      </w:r>
    </w:p>
    <w:p>
      <w:pPr>
        <w:pStyle w:val="ListBullet"/>
        <w:spacing w:after="60"/>
      </w:pPr>
      <w:r>
        <w:rPr>
          <w:sz w:val="21"/>
        </w:rPr>
        <w:t xml:space="preserve">3. </w:t>
      </w:r>
      <w:r>
        <w:rPr>
          <w:b/>
          <w:sz w:val="21"/>
        </w:rPr>
        <w:t>Add a centre-weight sensitivity test</w:t>
      </w:r>
      <w:r>
        <w:rPr>
          <w:sz w:val="21"/>
        </w:rPr>
        <w:t xml:space="preserve"> — show rankings are stable across w = 0.5–0.8; describe 0.7 as a calibrated policy value, not a universal constant.</w:t>
      </w:r>
    </w:p>
    <w:p>
      <w:pPr>
        <w:pStyle w:val="ListBullet"/>
        <w:spacing w:after="60"/>
      </w:pPr>
      <w:r>
        <w:rPr>
          <w:sz w:val="21"/>
        </w:rPr>
        <w:t xml:space="preserve">4. </w:t>
      </w:r>
      <w:r>
        <w:rPr>
          <w:b/>
          <w:sz w:val="21"/>
        </w:rPr>
        <w:t>Correct the possible/near-possible wording</w:t>
      </w:r>
      <w:r>
        <w:rPr>
          <w:sz w:val="21"/>
        </w:rPr>
        <w:t xml:space="preserve"> (Section 5) and state the chosen policy explicitly.</w:t>
      </w:r>
    </w:p>
    <w:p>
      <w:pPr>
        <w:pStyle w:val="ListBullet"/>
        <w:spacing w:after="60"/>
      </w:pPr>
      <w:r>
        <w:rPr>
          <w:sz w:val="21"/>
        </w:rPr>
        <w:t xml:space="preserve">5. </w:t>
      </w:r>
      <w:r>
        <w:rPr>
          <w:b/>
          <w:sz w:val="21"/>
        </w:rPr>
        <w:t>Acknowledge the equal-score F-Std lead</w:t>
      </w:r>
      <w:r>
        <w:rPr>
          <w:sz w:val="21"/>
        </w:rPr>
        <w:t xml:space="preserve"> (Section 4) and offer factor-shrinkage as the mitigation if the committee wants it.</w:t>
      </w:r>
    </w:p>
    <w:p>
      <w:pPr>
        <w:pStyle w:val="ListBullet"/>
        <w:spacing w:after="60"/>
      </w:pPr>
      <w:r>
        <w:rPr>
          <w:sz w:val="21"/>
        </w:rPr>
        <w:t xml:space="preserve">6. </w:t>
      </w:r>
      <w:r>
        <w:rPr>
          <w:b/>
          <w:sz w:val="21"/>
        </w:rPr>
        <w:t>Add a distance-analysis section</w:t>
      </w:r>
      <w:r>
        <w:rPr>
          <w:sz w:val="21"/>
        </w:rPr>
        <w:t xml:space="preserve"> recording why per-distance factors are deferred to V6 (data gaps + usability), subject to sample-size thresholds.</w:t>
      </w:r>
    </w:p>
    <w:p>
      <w:pPr>
        <w:pStyle w:val="ListBullet"/>
        <w:spacing w:after="60"/>
      </w:pPr>
      <w:r>
        <w:rPr>
          <w:sz w:val="21"/>
        </w:rPr>
        <w:t xml:space="preserve">7. </w:t>
      </w:r>
      <w:r>
        <w:rPr>
          <w:b/>
          <w:sz w:val="21"/>
        </w:rPr>
        <w:t>Add a factor-governance section</w:t>
      </w:r>
      <w:r>
        <w:rPr>
          <w:sz w:val="21"/>
        </w:rPr>
        <w:t xml:space="preserve"> — annual review, seasonal locking, versioning, no retrospective changes.</w:t>
      </w:r>
    </w:p>
    <w:p>
      <w:pPr>
        <w:pBdr>
          <w:bottom w:val="single" w:sz="6" w:space="1" w:color="CCCCCC"/>
        </w:pBdr>
      </w:pPr>
    </w:p>
    <w:p>
      <w:pPr>
        <w:spacing w:after="120"/>
      </w:pPr>
      <w:r>
        <w:rPr>
          <w:sz w:val="21"/>
        </w:rPr>
        <w:t xml:space="preserve">The review doesn’t show V5 is wrong — it shows exactly where the </w:t>
      </w:r>
      <w:r>
        <w:rPr>
          <w:i/>
          <w:sz w:val="21"/>
        </w:rPr>
        <w:t>explanation</w:t>
      </w:r>
      <w:r>
        <w:rPr>
          <w:sz w:val="21"/>
        </w:rPr>
        <w:t xml:space="preserve"> needs strengthening before we present it as final. We’re happy to walk through any of the above.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