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4E78"/>
          <w:sz w:val="34"/>
        </w:rPr>
        <w:t>Proposal — Adopt the V5 Mixed Category Score Index (MCSI)</w:t>
      </w:r>
    </w:p>
    <w:p>
      <w:pPr>
        <w:spacing w:after="100"/>
      </w:pPr>
      <w:r>
        <w:rPr>
          <w:color w:val="444444"/>
          <w:sz w:val="21"/>
        </w:rPr>
        <w:t>Geelong Rifle Club · for the committee meeting · July 2026 · one-page summary (full technical detail available on request)</w:t>
      </w:r>
    </w:p>
    <w:p>
      <w:pPr>
        <w:spacing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b/>
          <w:color w:val="1F4E78"/>
          <w:sz w:val="24"/>
        </w:rPr>
        <w:t>What is being proposed</w:t>
      </w:r>
    </w:p>
    <w:p>
      <w:pPr>
        <w:spacing w:after="100"/>
      </w:pPr>
      <w:r>
        <w:rPr>
          <w:sz w:val="20"/>
        </w:rPr>
        <w:t xml:space="preserve">That the club adopt the </w:t>
      </w:r>
      <w:r>
        <w:rPr>
          <w:b/>
          <w:sz w:val="20"/>
        </w:rPr>
        <w:t>V5 MCSI factors</w:t>
      </w:r>
      <w:r>
        <w:rPr>
          <w:sz w:val="20"/>
        </w:rPr>
        <w:t xml:space="preserve"> (table below) for the combined club championship. V5 replaces the older factors with values calibrated on recent competition data, and — for the first time — includes a properly calibrated </w:t>
      </w:r>
      <w:r>
        <w:rPr>
          <w:b/>
          <w:sz w:val="20"/>
        </w:rPr>
        <w:t>Sporter</w:t>
      </w:r>
      <w:r>
        <w:rPr>
          <w:sz w:val="20"/>
        </w:rPr>
        <w:t xml:space="preserve"> factor rather than an estimate.</w:t>
      </w:r>
    </w:p>
    <w:p>
      <w:pPr>
        <w:spacing w:before="160" w:after="60"/>
      </w:pPr>
      <w:r>
        <w:rPr>
          <w:b/>
          <w:color w:val="1F4E78"/>
          <w:sz w:val="24"/>
        </w:rPr>
        <w:t>What the MCSI is — and is not</w:t>
      </w:r>
    </w:p>
    <w:p>
      <w:pPr>
        <w:spacing w:after="100"/>
      </w:pPr>
      <w:r>
        <w:rPr>
          <w:sz w:val="20"/>
        </w:rPr>
        <w:t xml:space="preserve">The MCSI converts scores shot under different systems (50-point vs 60-point) and different equipment onto a </w:t>
      </w:r>
      <w:r>
        <w:rPr>
          <w:b/>
          <w:sz w:val="20"/>
        </w:rPr>
        <w:t>common scale</w:t>
      </w:r>
      <w:r>
        <w:rPr>
          <w:sz w:val="20"/>
        </w:rPr>
        <w:t xml:space="preserve">, so the disciplines can be compared fairly in the combined championship. It is a </w:t>
      </w:r>
      <w:r>
        <w:rPr>
          <w:b/>
          <w:sz w:val="20"/>
        </w:rPr>
        <w:t>constructed comparison index</w:t>
      </w:r>
      <w:r>
        <w:rPr>
          <w:sz w:val="20"/>
        </w:rPr>
        <w:t xml:space="preserve"> — the same idea as golf handicaps or decathlon points. It does </w:t>
      </w:r>
      <w:r>
        <w:rPr>
          <w:b/>
          <w:sz w:val="20"/>
        </w:rPr>
        <w:t>not</w:t>
      </w:r>
      <w:r>
        <w:rPr>
          <w:sz w:val="20"/>
        </w:rPr>
        <w:t xml:space="preserve"> claim to identify the objectively best shooter, and it does not rank a club member against a national champion. Each discipline’s own champion is still recognised separately.</w:t>
      </w:r>
    </w:p>
    <w:p>
      <w:pPr>
        <w:spacing w:before="160" w:after="60"/>
      </w:pPr>
      <w:r>
        <w:rPr>
          <w:b/>
          <w:color w:val="1F4E78"/>
          <w:sz w:val="24"/>
        </w:rPr>
        <w:t>The formula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4F4F4"/>
            <w:tcBorders>
              <w:left w:val="single" w:sz="24" w:space="0" w:color="444444"/>
            </w:tcBorders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Adjusted MCSI = ( (Score × Conversion) + (Centres × 0.7) ) × Factor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i/>
          <w:sz w:val="20"/>
        </w:rPr>
        <w:t>Conversion</w:t>
      </w:r>
      <w:r>
        <w:rPr>
          <w:sz w:val="20"/>
        </w:rPr>
        <w:t xml:space="preserve"> puts every discipline on a common base; </w:t>
      </w:r>
      <w:r>
        <w:rPr>
          <w:i/>
          <w:sz w:val="20"/>
        </w:rPr>
        <w:t>Centres × 0.7</w:t>
      </w:r>
      <w:r>
        <w:rPr>
          <w:sz w:val="20"/>
        </w:rPr>
        <w:t xml:space="preserve"> rewards a well-centred shoot (about 1½ centres make up one dropped point); </w:t>
      </w:r>
      <w:r>
        <w:rPr>
          <w:i/>
          <w:sz w:val="20"/>
        </w:rPr>
        <w:t>Factor</w:t>
      </w:r>
      <w:r>
        <w:rPr>
          <w:sz w:val="20"/>
        </w:rPr>
        <w:t xml:space="preserve"> balances the disciplines. It stays simple enough to calculate by hand.</w:t>
      </w:r>
    </w:p>
    <w:p>
      <w:pPr>
        <w:spacing w:before="160" w:after="60"/>
      </w:pPr>
      <w:r>
        <w:rPr>
          <w:b/>
          <w:color w:val="1F4E78"/>
          <w:sz w:val="24"/>
        </w:rPr>
        <w:t>The proposed factors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3175"/>
            <w:vAlign w:val="center"/>
            <w:shd w:val="clear" w:color="auto" w:fill="EEF3F8"/>
          </w:tcPr>
          <w:p>
            <w:pPr>
              <w:spacing w:after="0" w:before="0"/>
            </w:pPr>
            <w:r>
              <w:rPr>
                <w:b/>
                <w:color w:val="1F4E78"/>
                <w:sz w:val="19"/>
              </w:rPr>
            </w:r>
            <w:r>
              <w:rPr>
                <w:b/>
                <w:color w:val="1F4E78"/>
                <w:sz w:val="19"/>
              </w:rPr>
              <w:t>Discipline</w:t>
            </w:r>
          </w:p>
        </w:tc>
        <w:tc>
          <w:tcPr>
            <w:tcW w:type="dxa" w:w="1701"/>
            <w:vAlign w:val="center"/>
            <w:shd w:val="clear" w:color="auto" w:fill="EEF3F8"/>
          </w:tcPr>
          <w:p>
            <w:pPr>
              <w:spacing w:after="0" w:before="0"/>
              <w:jc w:val="right"/>
            </w:pPr>
            <w:r>
              <w:rPr>
                <w:b/>
                <w:color w:val="1F4E78"/>
                <w:sz w:val="19"/>
              </w:rPr>
            </w:r>
            <w:r>
              <w:rPr>
                <w:b/>
                <w:color w:val="1F4E78"/>
                <w:sz w:val="19"/>
              </w:rPr>
              <w:t>Scores used</w:t>
            </w:r>
          </w:p>
        </w:tc>
        <w:tc>
          <w:tcPr>
            <w:tcW w:type="dxa" w:w="1474"/>
            <w:vAlign w:val="center"/>
            <w:shd w:val="clear" w:color="auto" w:fill="EEF3F8"/>
          </w:tcPr>
          <w:p>
            <w:pPr>
              <w:spacing w:after="0" w:before="0"/>
              <w:jc w:val="right"/>
            </w:pPr>
            <w:r>
              <w:rPr>
                <w:b/>
                <w:color w:val="1F4E78"/>
                <w:sz w:val="19"/>
              </w:rPr>
            </w:r>
            <w:r>
              <w:rPr>
                <w:b/>
                <w:color w:val="1F4E78"/>
                <w:sz w:val="19"/>
              </w:rPr>
              <w:t>Shooters</w:t>
            </w:r>
          </w:p>
        </w:tc>
        <w:tc>
          <w:tcPr>
            <w:tcW w:type="dxa" w:w="1928"/>
            <w:vAlign w:val="center"/>
            <w:shd w:val="clear" w:color="auto" w:fill="EEF3F8"/>
          </w:tcPr>
          <w:p>
            <w:pPr>
              <w:spacing w:after="0" w:before="0"/>
              <w:jc w:val="right"/>
            </w:pPr>
            <w:r>
              <w:rPr>
                <w:b/>
                <w:color w:val="1F4E78"/>
                <w:sz w:val="19"/>
              </w:rPr>
            </w:r>
            <w:r>
              <w:rPr>
                <w:b/>
                <w:color w:val="1F4E78"/>
                <w:sz w:val="19"/>
              </w:rPr>
              <w:t>Top-40% average</w:t>
            </w:r>
          </w:p>
        </w:tc>
        <w:tc>
          <w:tcPr>
            <w:tcW w:type="dxa" w:w="1587"/>
            <w:vAlign w:val="center"/>
            <w:shd w:val="clear" w:color="auto" w:fill="EEF3F8"/>
          </w:tcPr>
          <w:p>
            <w:pPr>
              <w:spacing w:after="0" w:before="0"/>
              <w:jc w:val="right"/>
            </w:pPr>
            <w:r>
              <w:rPr>
                <w:b/>
                <w:color w:val="1F4E78"/>
                <w:sz w:val="19"/>
              </w:rPr>
            </w:r>
            <w:r>
              <w:rPr>
                <w:b/>
                <w:color w:val="1F4E78"/>
                <w:sz w:val="19"/>
              </w:rPr>
              <w:t>V5 factor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 w:before="0"/>
            </w:pPr>
            <w:r>
              <w:rPr>
                <w:sz w:val="19"/>
              </w:rPr>
            </w:r>
            <w:r>
              <w:rPr>
                <w:sz w:val="19"/>
              </w:rPr>
              <w:t>Target Rifle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7,510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351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66.9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  <w:jc w:val="right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1.412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 w:before="0"/>
            </w:pPr>
            <w:r>
              <w:rPr>
                <w:sz w:val="19"/>
              </w:rPr>
            </w:r>
            <w:r>
              <w:rPr>
                <w:sz w:val="19"/>
              </w:rPr>
              <w:t>F-Open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4,082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222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67.2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  <w:jc w:val="right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1.406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 w:before="0"/>
            </w:pPr>
            <w:r>
              <w:rPr>
                <w:sz w:val="19"/>
              </w:rPr>
            </w:r>
            <w:r>
              <w:rPr>
                <w:sz w:val="19"/>
              </w:rPr>
              <w:t>F-Standard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3,731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193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64.1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  <w:jc w:val="right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1.475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 w:before="0"/>
            </w:pPr>
            <w:r>
              <w:rPr>
                <w:sz w:val="19"/>
              </w:rPr>
            </w:r>
            <w:r>
              <w:rPr>
                <w:sz w:val="19"/>
              </w:rPr>
              <w:t>F/TR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2,437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124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65.2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  <w:jc w:val="right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1.450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 w:before="0"/>
            </w:pPr>
            <w:r>
              <w:rPr>
                <w:sz w:val="19"/>
              </w:rPr>
            </w:r>
            <w:r>
              <w:rPr>
                <w:sz w:val="19"/>
              </w:rPr>
              <w:t>Sporter (Open + Production)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2,018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152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68.3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  <w:jc w:val="right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1.383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i/>
          <w:color w:val="888888"/>
          <w:sz w:val="17"/>
        </w:rPr>
        <w:t>~19,800 King’s/Queen’s range scores across 135 championship days (2024 onward). Sporter Open and Production share one factor for now — the records don’t yet separate them cleanly.</w:t>
      </w:r>
    </w:p>
    <w:p>
      <w:pPr>
        <w:spacing w:before="160" w:after="60"/>
      </w:pPr>
      <w:r>
        <w:rPr>
          <w:b/>
          <w:color w:val="1F4E78"/>
          <w:sz w:val="24"/>
        </w:rPr>
        <w:t>How each factor is set (no magic numbers)</w:t>
      </w:r>
    </w:p>
    <w:p>
      <w:pPr>
        <w:spacing w:after="100"/>
      </w:pPr>
      <w:r>
        <w:rPr>
          <w:sz w:val="20"/>
        </w:rPr>
        <w:t xml:space="preserve">Each factor is </w:t>
      </w:r>
      <w:r>
        <w:rPr>
          <w:b/>
          <w:sz w:val="20"/>
        </w:rPr>
        <w:t>one division</w:t>
      </w:r>
      <w:r>
        <w:rPr>
          <w:sz w:val="20"/>
        </w:rPr>
        <w:t>: it lifts that discipline’s top-40% average onto a single shared level (94.5, the level the F-classes already sit at). The discipline whose strong scores average lowest gets the largest factor; the highest gets the smallest. Anyone can reproduce the table from the averages above.</w:t>
      </w:r>
    </w:p>
    <w:p>
      <w:pPr>
        <w:spacing w:before="160" w:after="60"/>
      </w:pPr>
      <w:r>
        <w:rPr>
          <w:b/>
          <w:color w:val="1F4E78"/>
          <w:sz w:val="24"/>
        </w:rPr>
        <w:t>What V5 changes</w:t>
      </w:r>
    </w:p>
    <w:p>
      <w:pPr>
        <w:pStyle w:val="ListBullet"/>
        <w:spacing w:after="40"/>
      </w:pPr>
      <w:r>
        <w:rPr>
          <w:b/>
          <w:sz w:val="20"/>
        </w:rPr>
        <w:t>Recent data</w:t>
      </w:r>
      <w:r>
        <w:rPr>
          <w:sz w:val="20"/>
        </w:rPr>
        <w:t xml:space="preserve"> — calibrated on 2024-onward results, so it reflects today’s equipment, not a decade ago.</w:t>
      </w:r>
    </w:p>
    <w:p>
      <w:pPr>
        <w:pStyle w:val="ListBullet"/>
        <w:spacing w:after="40"/>
      </w:pPr>
      <w:r>
        <w:rPr>
          <w:b/>
          <w:sz w:val="20"/>
        </w:rPr>
        <w:t>Transparent method</w:t>
      </w:r>
      <w:r>
        <w:rPr>
          <w:sz w:val="20"/>
        </w:rPr>
        <w:t xml:space="preserve"> — factors are a published calculation, not chosen by eye.</w:t>
      </w:r>
    </w:p>
    <w:p>
      <w:pPr>
        <w:pStyle w:val="ListBullet"/>
        <w:spacing w:after="40"/>
      </w:pPr>
      <w:r>
        <w:rPr>
          <w:b/>
          <w:sz w:val="20"/>
        </w:rPr>
        <w:t>Sporter included properly</w:t>
      </w:r>
      <w:r>
        <w:rPr>
          <w:sz w:val="20"/>
        </w:rPr>
        <w:t xml:space="preserve"> — calibrated from real data for the first time, replacing an estimate.</w:t>
      </w:r>
    </w:p>
    <w:p>
      <w:pPr>
        <w:spacing w:before="160" w:after="60"/>
      </w:pPr>
      <w:r>
        <w:rPr>
          <w:b/>
          <w:color w:val="1F4E78"/>
          <w:sz w:val="24"/>
        </w:rPr>
        <w:t>Governance — so results stay comparable</w:t>
      </w:r>
    </w:p>
    <w:p>
      <w:pPr>
        <w:spacing w:after="100"/>
      </w:pPr>
      <w:r>
        <w:rPr>
          <w:sz w:val="20"/>
        </w:rPr>
        <w:t xml:space="preserve">Factors are </w:t>
      </w:r>
      <w:r>
        <w:rPr>
          <w:b/>
          <w:sz w:val="20"/>
        </w:rPr>
        <w:t>locked before each season</w:t>
      </w:r>
      <w:r>
        <w:rPr>
          <w:sz w:val="20"/>
        </w:rPr>
        <w:t xml:space="preserve">, reviewed once a year after the season, tested against past results before any change, and only changed with committee approval — applied from the </w:t>
      </w:r>
      <w:r>
        <w:rPr>
          <w:b/>
          <w:sz w:val="20"/>
        </w:rPr>
        <w:t>next</w:t>
      </w:r>
      <w:r>
        <w:rPr>
          <w:sz w:val="20"/>
        </w:rPr>
        <w:t xml:space="preserve"> season. Past results are never rewritten, and every factor set is versioned.</w:t>
      </w:r>
    </w:p>
    <w:p>
      <w:pPr>
        <w:spacing w:after="80"/>
        <w:pBdr>
          <w:bottom w:val="single" w:sz="6" w:space="1" w:color="CCCCCC"/>
        </w:pBdr>
      </w:pPr>
    </w:p>
    <w:p>
      <w:pPr>
        <w:spacing w:after="100"/>
      </w:pPr>
      <w:r>
        <w:rPr>
          <w:b/>
          <w:i/>
          <w:sz w:val="20"/>
        </w:rPr>
        <w:t>Recommendation:</w:t>
      </w:r>
      <w:r>
        <w:rPr>
          <w:i/>
          <w:sz w:val="20"/>
        </w:rPr>
        <w:t xml:space="preserve"> adopt the V5 factors above for the coming season under the governance rule stated. Fuller technical detail — sample sizes, sensitivity tests and the original 2014 source — is available on request.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